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66F" w:rsidRPr="00DE3248" w:rsidRDefault="008D799F" w:rsidP="000C255C">
      <w:pPr>
        <w:spacing w:line="480" w:lineRule="auto"/>
        <w:jc w:val="center"/>
        <w:rPr>
          <w:rFonts w:cs="Times New Roman"/>
          <w:b/>
          <w:caps/>
          <w:sz w:val="28"/>
          <w:szCs w:val="28"/>
        </w:rPr>
      </w:pPr>
      <w:r w:rsidRPr="00DE3248">
        <w:rPr>
          <w:rFonts w:cs="Times New Roman"/>
          <w:b/>
          <w:caps/>
          <w:sz w:val="28"/>
          <w:szCs w:val="28"/>
        </w:rPr>
        <w:t>Supplementary Data</w:t>
      </w:r>
      <w:r w:rsidR="0077566F" w:rsidRPr="00DE3248">
        <w:rPr>
          <w:rFonts w:cs="Times New Roman"/>
          <w:b/>
          <w:caps/>
          <w:sz w:val="28"/>
          <w:szCs w:val="28"/>
        </w:rPr>
        <w:t xml:space="preserve"> </w:t>
      </w:r>
    </w:p>
    <w:p w:rsidR="00210AEC" w:rsidRPr="00DE3248" w:rsidRDefault="00210AEC" w:rsidP="00210AEC">
      <w:pPr>
        <w:spacing w:line="480" w:lineRule="auto"/>
        <w:jc w:val="center"/>
        <w:rPr>
          <w:rFonts w:cs="Times New Roman"/>
          <w:b/>
          <w:color w:val="000000" w:themeColor="text1"/>
          <w:szCs w:val="24"/>
        </w:rPr>
      </w:pPr>
      <w:r w:rsidRPr="00DE3248">
        <w:rPr>
          <w:rFonts w:cs="Times New Roman"/>
          <w:b/>
          <w:color w:val="000000" w:themeColor="text1"/>
          <w:szCs w:val="24"/>
        </w:rPr>
        <w:t>Modelling and Understanding Powder Flow Properties and Compactability of Selected Active Pharmaceutical Ingredients, Excipients and Physical Mixtures from Critical Material Properties</w:t>
      </w:r>
    </w:p>
    <w:p w:rsidR="00210AEC" w:rsidRPr="00DE3248" w:rsidRDefault="00210AEC" w:rsidP="00210AEC">
      <w:pPr>
        <w:spacing w:line="480" w:lineRule="auto"/>
        <w:jc w:val="center"/>
        <w:rPr>
          <w:rFonts w:cs="Times New Roman"/>
          <w:color w:val="000000" w:themeColor="text1"/>
          <w:szCs w:val="24"/>
        </w:rPr>
      </w:pPr>
      <w:r w:rsidRPr="00DE3248">
        <w:rPr>
          <w:rFonts w:cs="Times New Roman"/>
          <w:color w:val="000000" w:themeColor="text1"/>
          <w:szCs w:val="24"/>
        </w:rPr>
        <w:t>Zelalem Ayenew Worku</w:t>
      </w:r>
      <w:r w:rsidRPr="00DE3248">
        <w:rPr>
          <w:rFonts w:cs="Times New Roman"/>
          <w:color w:val="000000" w:themeColor="text1"/>
          <w:szCs w:val="24"/>
          <w:vertAlign w:val="superscript"/>
        </w:rPr>
        <w:t>a</w:t>
      </w:r>
      <w:r w:rsidRPr="00DE3248">
        <w:rPr>
          <w:rFonts w:cs="Times New Roman"/>
          <w:color w:val="000000" w:themeColor="text1"/>
          <w:szCs w:val="24"/>
        </w:rPr>
        <w:t>, Dinesh Kumar</w:t>
      </w:r>
      <w:r w:rsidRPr="00DE3248">
        <w:rPr>
          <w:rFonts w:cs="Times New Roman"/>
          <w:color w:val="000000" w:themeColor="text1"/>
          <w:szCs w:val="24"/>
          <w:vertAlign w:val="superscript"/>
        </w:rPr>
        <w:t>a</w:t>
      </w:r>
      <w:r w:rsidRPr="00DE3248">
        <w:rPr>
          <w:rFonts w:cs="Times New Roman"/>
          <w:color w:val="000000" w:themeColor="text1"/>
          <w:szCs w:val="24"/>
        </w:rPr>
        <w:t>, João Victor Gomes</w:t>
      </w:r>
      <w:r w:rsidRPr="00DE3248">
        <w:rPr>
          <w:rFonts w:cs="Times New Roman"/>
          <w:color w:val="000000" w:themeColor="text1"/>
          <w:szCs w:val="24"/>
          <w:vertAlign w:val="superscript"/>
        </w:rPr>
        <w:t>b</w:t>
      </w:r>
      <w:r w:rsidRPr="00DE3248">
        <w:rPr>
          <w:rFonts w:cs="Times New Roman"/>
          <w:color w:val="000000" w:themeColor="text1"/>
          <w:szCs w:val="24"/>
        </w:rPr>
        <w:t>, Yunliang He</w:t>
      </w:r>
      <w:r w:rsidRPr="00DE3248">
        <w:rPr>
          <w:rFonts w:cs="Times New Roman"/>
          <w:color w:val="000000" w:themeColor="text1"/>
          <w:szCs w:val="24"/>
          <w:vertAlign w:val="superscript"/>
        </w:rPr>
        <w:t>c</w:t>
      </w:r>
      <w:r w:rsidRPr="00DE3248">
        <w:rPr>
          <w:rFonts w:cs="Times New Roman"/>
          <w:color w:val="000000" w:themeColor="text1"/>
          <w:szCs w:val="24"/>
        </w:rPr>
        <w:t>, Brian Glennon</w:t>
      </w:r>
      <w:r w:rsidRPr="00DE3248">
        <w:rPr>
          <w:rFonts w:cs="Times New Roman"/>
          <w:color w:val="000000" w:themeColor="text1"/>
          <w:szCs w:val="24"/>
          <w:vertAlign w:val="superscript"/>
        </w:rPr>
        <w:t>c</w:t>
      </w:r>
      <w:r w:rsidRPr="00DE3248">
        <w:rPr>
          <w:rFonts w:cs="Times New Roman"/>
          <w:color w:val="000000" w:themeColor="text1"/>
          <w:szCs w:val="24"/>
        </w:rPr>
        <w:t>, Kiran A. Ramisetty</w:t>
      </w:r>
      <w:r w:rsidRPr="00DE3248">
        <w:rPr>
          <w:rFonts w:cs="Times New Roman"/>
          <w:color w:val="000000" w:themeColor="text1"/>
          <w:szCs w:val="24"/>
          <w:vertAlign w:val="superscript"/>
        </w:rPr>
        <w:t>d</w:t>
      </w:r>
      <w:r w:rsidRPr="00DE3248">
        <w:rPr>
          <w:rFonts w:cs="Times New Roman"/>
          <w:color w:val="000000" w:themeColor="text1"/>
          <w:szCs w:val="24"/>
        </w:rPr>
        <w:t>, Åke C. Rasmuson</w:t>
      </w:r>
      <w:r w:rsidRPr="00DE3248">
        <w:rPr>
          <w:rFonts w:cs="Times New Roman"/>
          <w:color w:val="000000" w:themeColor="text1"/>
          <w:szCs w:val="24"/>
          <w:vertAlign w:val="superscript"/>
        </w:rPr>
        <w:t>d</w:t>
      </w:r>
      <w:r w:rsidRPr="00DE3248">
        <w:rPr>
          <w:rFonts w:cs="Times New Roman"/>
          <w:color w:val="000000" w:themeColor="text1"/>
          <w:szCs w:val="24"/>
        </w:rPr>
        <w:t>, Peter O'Connell</w:t>
      </w:r>
      <w:r w:rsidRPr="00DE3248">
        <w:rPr>
          <w:rFonts w:cs="Times New Roman"/>
          <w:color w:val="000000" w:themeColor="text1"/>
          <w:szCs w:val="24"/>
          <w:vertAlign w:val="superscript"/>
        </w:rPr>
        <w:t>a</w:t>
      </w:r>
      <w:r w:rsidRPr="00DE3248">
        <w:rPr>
          <w:rFonts w:cs="Times New Roman"/>
          <w:color w:val="000000" w:themeColor="text1"/>
          <w:szCs w:val="24"/>
        </w:rPr>
        <w:t>, K</w:t>
      </w:r>
      <w:r w:rsidRPr="00DE3248">
        <w:rPr>
          <w:rFonts w:cs="Times New Roman"/>
          <w:color w:val="000000" w:themeColor="text1"/>
          <w:szCs w:val="24"/>
          <w:shd w:val="clear" w:color="auto" w:fill="FFFFFF"/>
        </w:rPr>
        <w:t>ieran Gallagher</w:t>
      </w:r>
      <w:r w:rsidRPr="00DE3248">
        <w:rPr>
          <w:rFonts w:cs="Times New Roman"/>
          <w:color w:val="000000" w:themeColor="text1"/>
          <w:szCs w:val="24"/>
          <w:vertAlign w:val="superscript"/>
        </w:rPr>
        <w:t>a</w:t>
      </w:r>
      <w:r w:rsidRPr="00DE3248">
        <w:rPr>
          <w:rFonts w:cs="Times New Roman"/>
          <w:color w:val="000000" w:themeColor="text1"/>
          <w:szCs w:val="24"/>
        </w:rPr>
        <w:t>, Trevor Woods</w:t>
      </w:r>
      <w:r w:rsidRPr="00DE3248">
        <w:rPr>
          <w:rFonts w:cs="Times New Roman"/>
          <w:color w:val="000000" w:themeColor="text1"/>
          <w:szCs w:val="24"/>
          <w:vertAlign w:val="superscript"/>
        </w:rPr>
        <w:t>a</w:t>
      </w:r>
      <w:r w:rsidRPr="00DE3248">
        <w:rPr>
          <w:rFonts w:cs="Times New Roman"/>
          <w:color w:val="000000" w:themeColor="text1"/>
          <w:szCs w:val="24"/>
        </w:rPr>
        <w:t xml:space="preserve">, </w:t>
      </w:r>
      <w:r w:rsidRPr="00DE3248">
        <w:rPr>
          <w:rFonts w:cs="Times New Roman"/>
          <w:bCs/>
          <w:szCs w:val="24"/>
          <w:shd w:val="clear" w:color="auto" w:fill="FFFFFF"/>
        </w:rPr>
        <w:t>Nalini R. Shastri</w:t>
      </w:r>
      <w:r w:rsidR="00AF10B6" w:rsidRPr="00DE3248">
        <w:rPr>
          <w:rFonts w:cs="Times New Roman"/>
          <w:bCs/>
          <w:color w:val="000000" w:themeColor="text1"/>
          <w:szCs w:val="24"/>
          <w:shd w:val="clear" w:color="auto" w:fill="FFFFFF"/>
          <w:vertAlign w:val="superscript"/>
        </w:rPr>
        <w:t>e</w:t>
      </w:r>
      <w:r w:rsidRPr="00DE3248">
        <w:rPr>
          <w:rStyle w:val="nlmxref-aff"/>
          <w:rFonts w:cs="Times New Roman"/>
          <w:bCs/>
          <w:color w:val="000000" w:themeColor="text1"/>
          <w:szCs w:val="24"/>
          <w:shd w:val="clear" w:color="auto" w:fill="FFFFFF"/>
          <w:vertAlign w:val="superscript"/>
        </w:rPr>
        <w:t xml:space="preserve"> </w:t>
      </w:r>
      <w:r w:rsidRPr="00DE3248">
        <w:rPr>
          <w:rFonts w:cs="Times New Roman"/>
          <w:color w:val="000000" w:themeColor="text1"/>
          <w:szCs w:val="24"/>
        </w:rPr>
        <w:t>and Anne-Marie Healy</w:t>
      </w:r>
      <w:r w:rsidRPr="00DE3248">
        <w:rPr>
          <w:rFonts w:cs="Times New Roman"/>
          <w:color w:val="000000" w:themeColor="text1"/>
          <w:szCs w:val="24"/>
          <w:vertAlign w:val="superscript"/>
        </w:rPr>
        <w:t>a</w:t>
      </w:r>
      <w:r w:rsidRPr="00DE3248">
        <w:rPr>
          <w:rFonts w:cs="Times New Roman"/>
          <w:color w:val="000000" w:themeColor="text1"/>
          <w:szCs w:val="24"/>
        </w:rPr>
        <w:t>*</w:t>
      </w:r>
    </w:p>
    <w:p w:rsidR="00210AEC" w:rsidRPr="00DE3248" w:rsidRDefault="00210AEC" w:rsidP="00210AEC">
      <w:pPr>
        <w:spacing w:line="480" w:lineRule="auto"/>
        <w:jc w:val="both"/>
        <w:rPr>
          <w:rStyle w:val="country"/>
          <w:rFonts w:cs="Times New Roman"/>
          <w:color w:val="000000" w:themeColor="text1"/>
          <w:szCs w:val="24"/>
          <w:shd w:val="clear" w:color="auto" w:fill="FFFFFF"/>
        </w:rPr>
      </w:pPr>
      <w:r w:rsidRPr="00DE3248">
        <w:rPr>
          <w:rFonts w:cs="Times New Roman"/>
          <w:color w:val="000000" w:themeColor="text1"/>
          <w:szCs w:val="24"/>
          <w:shd w:val="clear" w:color="auto" w:fill="FFFFFF"/>
          <w:vertAlign w:val="superscript"/>
        </w:rPr>
        <w:t>a</w:t>
      </w:r>
      <w:r w:rsidRPr="00DE3248">
        <w:rPr>
          <w:rFonts w:cs="Times New Roman"/>
          <w:color w:val="000000" w:themeColor="text1"/>
          <w:szCs w:val="24"/>
          <w:shd w:val="clear" w:color="auto" w:fill="FFFFFF"/>
        </w:rPr>
        <w:t>Synthesis</w:t>
      </w:r>
      <w:r w:rsidRPr="00DE3248">
        <w:rPr>
          <w:rFonts w:cs="Times New Roman"/>
          <w:color w:val="000000" w:themeColor="text1"/>
          <w:szCs w:val="24"/>
          <w:shd w:val="clear" w:color="auto" w:fill="FFFFFF"/>
          <w:vertAlign w:val="superscript"/>
        </w:rPr>
        <w:t xml:space="preserve"> </w:t>
      </w:r>
      <w:r w:rsidRPr="00DE3248">
        <w:rPr>
          <w:rFonts w:cs="Times New Roman"/>
          <w:color w:val="000000" w:themeColor="text1"/>
          <w:szCs w:val="24"/>
          <w:shd w:val="clear" w:color="auto" w:fill="FFFFFF"/>
        </w:rPr>
        <w:t>and Solid State Pharmaceutical Centre, School of Pharmacy and Pharmaceutical Sciences,</w:t>
      </w:r>
      <w:r w:rsidRPr="00DE3248">
        <w:rPr>
          <w:rStyle w:val="apple-converted-space"/>
          <w:rFonts w:cs="Times New Roman"/>
          <w:color w:val="000000" w:themeColor="text1"/>
          <w:szCs w:val="24"/>
          <w:shd w:val="clear" w:color="auto" w:fill="FFFFFF"/>
        </w:rPr>
        <w:t> </w:t>
      </w:r>
      <w:r w:rsidRPr="00DE3248">
        <w:rPr>
          <w:rStyle w:val="institution"/>
          <w:rFonts w:cs="Times New Roman"/>
          <w:color w:val="000000" w:themeColor="text1"/>
          <w:szCs w:val="24"/>
          <w:shd w:val="clear" w:color="auto" w:fill="FFFFFF"/>
        </w:rPr>
        <w:t>Trinity College Dublin</w:t>
      </w:r>
      <w:r w:rsidRPr="00DE3248">
        <w:rPr>
          <w:rFonts w:cs="Times New Roman"/>
          <w:color w:val="000000" w:themeColor="text1"/>
          <w:szCs w:val="24"/>
          <w:shd w:val="clear" w:color="auto" w:fill="FFFFFF"/>
        </w:rPr>
        <w:t>, Dublin,</w:t>
      </w:r>
      <w:r w:rsidRPr="00DE3248">
        <w:rPr>
          <w:rStyle w:val="country"/>
          <w:rFonts w:cs="Times New Roman"/>
          <w:color w:val="000000" w:themeColor="text1"/>
          <w:szCs w:val="24"/>
          <w:shd w:val="clear" w:color="auto" w:fill="FFFFFF"/>
        </w:rPr>
        <w:t xml:space="preserve"> Ireland</w:t>
      </w:r>
    </w:p>
    <w:p w:rsidR="00210AEC" w:rsidRPr="00DE3248" w:rsidRDefault="00210AEC" w:rsidP="00210AEC">
      <w:pPr>
        <w:spacing w:line="480" w:lineRule="auto"/>
        <w:jc w:val="both"/>
        <w:rPr>
          <w:rStyle w:val="country"/>
          <w:rFonts w:cs="Times New Roman"/>
          <w:color w:val="000000" w:themeColor="text1"/>
          <w:szCs w:val="24"/>
          <w:shd w:val="clear" w:color="auto" w:fill="FFFFFF"/>
          <w:vertAlign w:val="superscript"/>
        </w:rPr>
      </w:pPr>
      <w:r w:rsidRPr="00DE3248">
        <w:rPr>
          <w:rStyle w:val="country"/>
          <w:rFonts w:cs="Times New Roman"/>
          <w:color w:val="000000" w:themeColor="text1"/>
          <w:szCs w:val="24"/>
          <w:shd w:val="clear" w:color="auto" w:fill="FFFFFF"/>
          <w:vertAlign w:val="superscript"/>
        </w:rPr>
        <w:t>b</w:t>
      </w:r>
      <w:r w:rsidRPr="00DE3248">
        <w:rPr>
          <w:rStyle w:val="country"/>
          <w:rFonts w:cs="Times New Roman"/>
          <w:color w:val="000000" w:themeColor="text1"/>
          <w:szCs w:val="24"/>
          <w:shd w:val="clear" w:color="auto" w:fill="FFFFFF"/>
        </w:rPr>
        <w:t>Federal University of Rio de Janeiro, Faculty of Pharmacy, Brazil</w:t>
      </w:r>
    </w:p>
    <w:p w:rsidR="00210AEC" w:rsidRPr="00DE3248" w:rsidRDefault="00210AEC" w:rsidP="00210AEC">
      <w:pPr>
        <w:spacing w:line="480" w:lineRule="auto"/>
        <w:jc w:val="both"/>
        <w:rPr>
          <w:rStyle w:val="country"/>
          <w:rFonts w:cs="Times New Roman"/>
          <w:color w:val="000000" w:themeColor="text1"/>
          <w:szCs w:val="24"/>
          <w:shd w:val="clear" w:color="auto" w:fill="FFFFFF"/>
        </w:rPr>
      </w:pPr>
      <w:r w:rsidRPr="00DE3248">
        <w:rPr>
          <w:rStyle w:val="country"/>
          <w:rFonts w:cs="Times New Roman"/>
          <w:color w:val="000000" w:themeColor="text1"/>
          <w:szCs w:val="24"/>
          <w:shd w:val="clear" w:color="auto" w:fill="FFFFFF"/>
          <w:vertAlign w:val="superscript"/>
        </w:rPr>
        <w:t>c</w:t>
      </w:r>
      <w:r w:rsidRPr="00DE3248">
        <w:rPr>
          <w:rFonts w:cs="Times New Roman"/>
          <w:color w:val="000000" w:themeColor="text1"/>
          <w:szCs w:val="24"/>
          <w:shd w:val="clear" w:color="auto" w:fill="FFFFFF"/>
        </w:rPr>
        <w:t>Synthesis and Solid State Pharmaceutical Centre</w:t>
      </w:r>
      <w:r w:rsidRPr="00DE3248">
        <w:rPr>
          <w:rStyle w:val="country"/>
          <w:rFonts w:cs="Times New Roman"/>
          <w:color w:val="000000" w:themeColor="text1"/>
          <w:szCs w:val="24"/>
          <w:shd w:val="clear" w:color="auto" w:fill="FFFFFF"/>
        </w:rPr>
        <w:t>, School of Chemical and Bioprocess Engineering, University College Dublin, Dublin, Ireland</w:t>
      </w:r>
    </w:p>
    <w:p w:rsidR="00210AEC" w:rsidRPr="00DE3248" w:rsidRDefault="00210AEC" w:rsidP="00210AEC">
      <w:pPr>
        <w:spacing w:line="480" w:lineRule="auto"/>
        <w:jc w:val="both"/>
        <w:rPr>
          <w:rStyle w:val="country"/>
          <w:rFonts w:cs="Times New Roman"/>
          <w:color w:val="000000" w:themeColor="text1"/>
          <w:szCs w:val="24"/>
          <w:shd w:val="clear" w:color="auto" w:fill="FFFFFF"/>
        </w:rPr>
      </w:pPr>
      <w:r w:rsidRPr="00DE3248">
        <w:rPr>
          <w:rStyle w:val="country"/>
          <w:rFonts w:cs="Times New Roman"/>
          <w:color w:val="000000" w:themeColor="text1"/>
          <w:szCs w:val="24"/>
          <w:shd w:val="clear" w:color="auto" w:fill="FFFFFF"/>
          <w:vertAlign w:val="superscript"/>
        </w:rPr>
        <w:t>d</w:t>
      </w:r>
      <w:r w:rsidRPr="00DE3248">
        <w:rPr>
          <w:rFonts w:cs="Times New Roman"/>
          <w:color w:val="000000" w:themeColor="text1"/>
          <w:szCs w:val="24"/>
          <w:shd w:val="clear" w:color="auto" w:fill="FFFFFF"/>
        </w:rPr>
        <w:t>Synthesis and Solid State Pharmaceutical Centre</w:t>
      </w:r>
      <w:r w:rsidRPr="00DE3248">
        <w:rPr>
          <w:rStyle w:val="country"/>
          <w:rFonts w:cs="Times New Roman"/>
          <w:color w:val="000000" w:themeColor="text1"/>
          <w:szCs w:val="24"/>
          <w:shd w:val="clear" w:color="auto" w:fill="FFFFFF"/>
        </w:rPr>
        <w:t>, Department of Chemical and Environmental Science, University of Limerick, Limerick, Ireland</w:t>
      </w:r>
    </w:p>
    <w:p w:rsidR="00210AEC" w:rsidRPr="00DE3248" w:rsidRDefault="00AF10B6" w:rsidP="00210AEC">
      <w:pPr>
        <w:spacing w:line="480" w:lineRule="auto"/>
        <w:jc w:val="both"/>
        <w:rPr>
          <w:rStyle w:val="apple-converted-space"/>
          <w:rFonts w:ascii="Helvetica" w:hAnsi="Helvetica"/>
          <w:color w:val="000000" w:themeColor="text1"/>
          <w:sz w:val="20"/>
          <w:szCs w:val="20"/>
          <w:shd w:val="clear" w:color="auto" w:fill="FFFFFF"/>
        </w:rPr>
      </w:pPr>
      <w:r w:rsidRPr="00DE3248">
        <w:rPr>
          <w:rStyle w:val="country"/>
          <w:rFonts w:cs="Times New Roman"/>
          <w:color w:val="000000" w:themeColor="text1"/>
          <w:szCs w:val="24"/>
          <w:shd w:val="clear" w:color="auto" w:fill="FFFFFF"/>
          <w:vertAlign w:val="superscript"/>
        </w:rPr>
        <w:t>e</w:t>
      </w:r>
      <w:r w:rsidR="00923923" w:rsidRPr="00DE3248">
        <w:rPr>
          <w:rStyle w:val="country"/>
          <w:rFonts w:cs="Times New Roman"/>
          <w:color w:val="000000" w:themeColor="text1"/>
          <w:szCs w:val="24"/>
          <w:shd w:val="clear" w:color="auto" w:fill="FFFFFF"/>
          <w:vertAlign w:val="superscript"/>
        </w:rPr>
        <w:t xml:space="preserve"> </w:t>
      </w:r>
      <w:r w:rsidR="00923923" w:rsidRPr="00DE3248">
        <w:rPr>
          <w:rStyle w:val="country"/>
          <w:rFonts w:cs="Times New Roman"/>
          <w:color w:val="000000" w:themeColor="text1"/>
          <w:szCs w:val="24"/>
          <w:shd w:val="clear" w:color="auto" w:fill="FFFFFF"/>
        </w:rPr>
        <w:t xml:space="preserve">Solid State Pharmaceutical Research Group (SSPRG), Department of Pharmaceutics, </w:t>
      </w:r>
      <w:r w:rsidR="00210AEC" w:rsidRPr="00DE3248">
        <w:rPr>
          <w:rStyle w:val="apple-converted-space"/>
          <w:rFonts w:cs="Times New Roman"/>
          <w:color w:val="000000" w:themeColor="text1"/>
          <w:szCs w:val="24"/>
          <w:shd w:val="clear" w:color="auto" w:fill="FFFFFF"/>
        </w:rPr>
        <w:t>National Institute of Pharmaceutical Education &amp; Research (NIPER), Hyderabad, India</w:t>
      </w:r>
    </w:p>
    <w:p w:rsidR="00D124D0" w:rsidRPr="00DE3248" w:rsidRDefault="00D124D0" w:rsidP="00D124D0">
      <w:pPr>
        <w:spacing w:line="360" w:lineRule="auto"/>
        <w:jc w:val="both"/>
        <w:rPr>
          <w:rFonts w:cs="Times New Roman"/>
          <w:color w:val="000000"/>
          <w:szCs w:val="24"/>
          <w:shd w:val="clear" w:color="auto" w:fill="FFFFFF"/>
        </w:rPr>
      </w:pPr>
      <w:r w:rsidRPr="00DE3248">
        <w:rPr>
          <w:rFonts w:cs="Times New Roman"/>
          <w:color w:val="000000"/>
          <w:szCs w:val="24"/>
          <w:shd w:val="clear" w:color="auto" w:fill="FFFFFF"/>
        </w:rPr>
        <w:t>*Corresponding author: Synthesis and Solid State Pharmaceutical Centre, School of Pharmacy and Pharmaceutical Sciences, Trinity College Dublin, Dublin 2, Ireland, E-mail address: healyam@tcd.ie (A.M. Healy).</w:t>
      </w:r>
    </w:p>
    <w:p w:rsidR="00AF10B6" w:rsidRPr="00DE3248" w:rsidRDefault="00AF10B6">
      <w:pPr>
        <w:rPr>
          <w:rFonts w:cs="Times New Roman"/>
          <w:b/>
          <w:caps/>
          <w:szCs w:val="24"/>
        </w:rPr>
      </w:pPr>
    </w:p>
    <w:p w:rsidR="000214F8" w:rsidRPr="00DE3248" w:rsidRDefault="000214F8" w:rsidP="000C255C">
      <w:pPr>
        <w:spacing w:before="120" w:after="120" w:line="480" w:lineRule="auto"/>
        <w:jc w:val="center"/>
        <w:rPr>
          <w:rFonts w:cs="Times New Roman"/>
          <w:b/>
          <w:caps/>
          <w:szCs w:val="24"/>
        </w:rPr>
        <w:sectPr w:rsidR="000214F8" w:rsidRPr="00DE3248" w:rsidSect="000214F8">
          <w:footerReference w:type="default" r:id="rId8"/>
          <w:pgSz w:w="12240" w:h="15840"/>
          <w:pgMar w:top="1440" w:right="1440" w:bottom="1440" w:left="1440" w:header="720" w:footer="720" w:gutter="0"/>
          <w:pgNumType w:start="1"/>
          <w:cols w:space="720"/>
          <w:titlePg/>
          <w:docGrid w:linePitch="360"/>
        </w:sectPr>
      </w:pPr>
    </w:p>
    <w:p w:rsidR="008D799F" w:rsidRPr="00DE3248" w:rsidRDefault="008D799F" w:rsidP="000C255C">
      <w:pPr>
        <w:spacing w:before="120" w:after="120" w:line="480" w:lineRule="auto"/>
        <w:jc w:val="center"/>
        <w:rPr>
          <w:rFonts w:cs="Times New Roman"/>
          <w:b/>
          <w:szCs w:val="24"/>
        </w:rPr>
      </w:pPr>
      <w:r w:rsidRPr="00DE3248">
        <w:rPr>
          <w:rFonts w:cs="Times New Roman"/>
          <w:b/>
          <w:caps/>
          <w:szCs w:val="24"/>
        </w:rPr>
        <w:lastRenderedPageBreak/>
        <w:t>Supplementary Data</w:t>
      </w:r>
      <w:r w:rsidRPr="00DE3248">
        <w:rPr>
          <w:rFonts w:cs="Times New Roman"/>
          <w:b/>
          <w:szCs w:val="24"/>
        </w:rPr>
        <w:t>: RESULTS AND DISCUSSION</w:t>
      </w:r>
    </w:p>
    <w:p w:rsidR="00820157" w:rsidRPr="00DE3248" w:rsidRDefault="008D799F" w:rsidP="000C255C">
      <w:pPr>
        <w:spacing w:before="120" w:after="120" w:line="480" w:lineRule="auto"/>
        <w:rPr>
          <w:rFonts w:cs="Times New Roman"/>
          <w:b/>
          <w:szCs w:val="24"/>
        </w:rPr>
      </w:pPr>
      <w:r w:rsidRPr="00DE3248">
        <w:rPr>
          <w:rFonts w:cs="Times New Roman"/>
          <w:b/>
          <w:szCs w:val="24"/>
        </w:rPr>
        <w:t>S</w:t>
      </w:r>
      <w:r w:rsidRPr="00DE3248">
        <w:rPr>
          <w:rFonts w:cs="Times New Roman"/>
          <w:b/>
          <w:szCs w:val="24"/>
          <w:vertAlign w:val="subscript"/>
        </w:rPr>
        <w:t>1</w:t>
      </w:r>
      <w:r w:rsidRPr="00DE3248">
        <w:rPr>
          <w:rFonts w:cs="Times New Roman"/>
          <w:szCs w:val="24"/>
        </w:rPr>
        <w:t xml:space="preserve">. </w:t>
      </w:r>
      <w:r w:rsidR="00254688" w:rsidRPr="00DE3248">
        <w:rPr>
          <w:rFonts w:cs="Times New Roman"/>
          <w:b/>
          <w:szCs w:val="24"/>
        </w:rPr>
        <w:t>The S</w:t>
      </w:r>
      <w:r w:rsidR="004E48A0" w:rsidRPr="00DE3248">
        <w:rPr>
          <w:rFonts w:cs="Times New Roman"/>
          <w:b/>
          <w:szCs w:val="24"/>
        </w:rPr>
        <w:t xml:space="preserve">olid </w:t>
      </w:r>
      <w:r w:rsidR="00254688" w:rsidRPr="00DE3248">
        <w:rPr>
          <w:rFonts w:cs="Times New Roman"/>
          <w:b/>
          <w:szCs w:val="24"/>
        </w:rPr>
        <w:t>State Characterisation of Selected B</w:t>
      </w:r>
      <w:r w:rsidR="004E48A0" w:rsidRPr="00DE3248">
        <w:rPr>
          <w:rFonts w:cs="Times New Roman"/>
          <w:b/>
          <w:szCs w:val="24"/>
        </w:rPr>
        <w:t xml:space="preserve">atches of </w:t>
      </w:r>
      <w:r w:rsidR="00326A69" w:rsidRPr="00DE3248">
        <w:rPr>
          <w:rFonts w:cs="Times New Roman"/>
          <w:b/>
          <w:szCs w:val="24"/>
        </w:rPr>
        <w:t>IBU</w:t>
      </w:r>
    </w:p>
    <w:p w:rsidR="008E2A2B" w:rsidRPr="00DE3248" w:rsidRDefault="008E2A2B" w:rsidP="000C255C">
      <w:pPr>
        <w:spacing w:before="120" w:after="120" w:line="480" w:lineRule="auto"/>
        <w:rPr>
          <w:rFonts w:cs="Times New Roman"/>
          <w:b/>
          <w:i/>
          <w:szCs w:val="24"/>
        </w:rPr>
      </w:pPr>
      <w:r w:rsidRPr="00DE3248">
        <w:rPr>
          <w:rFonts w:cs="Times New Roman"/>
          <w:b/>
          <w:i/>
          <w:szCs w:val="24"/>
        </w:rPr>
        <w:t>S</w:t>
      </w:r>
      <w:r w:rsidRPr="00DE3248">
        <w:rPr>
          <w:rFonts w:cs="Times New Roman"/>
          <w:b/>
          <w:i/>
          <w:szCs w:val="24"/>
          <w:vertAlign w:val="subscript"/>
        </w:rPr>
        <w:t>1</w:t>
      </w:r>
      <w:r w:rsidRPr="00DE3248">
        <w:rPr>
          <w:rFonts w:cs="Times New Roman"/>
          <w:b/>
          <w:i/>
          <w:szCs w:val="24"/>
        </w:rPr>
        <w:t>.1. Methods</w:t>
      </w:r>
      <w:r w:rsidR="00B87879" w:rsidRPr="00DE3248">
        <w:rPr>
          <w:rFonts w:cs="Times New Roman"/>
          <w:b/>
          <w:i/>
          <w:szCs w:val="24"/>
        </w:rPr>
        <w:t xml:space="preserve"> for Solid State Characterisation</w:t>
      </w:r>
    </w:p>
    <w:p w:rsidR="008E2A2B" w:rsidRPr="00DE3248" w:rsidRDefault="008E2A2B" w:rsidP="008E2A2B">
      <w:pPr>
        <w:spacing w:before="120" w:after="0" w:line="480" w:lineRule="auto"/>
        <w:rPr>
          <w:rFonts w:cs="Times New Roman"/>
          <w:i/>
          <w:color w:val="000000" w:themeColor="text1"/>
          <w:szCs w:val="24"/>
        </w:rPr>
      </w:pPr>
      <w:r w:rsidRPr="00DE3248">
        <w:rPr>
          <w:rFonts w:cs="Times New Roman"/>
          <w:i/>
          <w:color w:val="000000" w:themeColor="text1"/>
          <w:szCs w:val="24"/>
        </w:rPr>
        <w:t>S</w:t>
      </w:r>
      <w:r w:rsidRPr="00DE3248">
        <w:rPr>
          <w:rFonts w:cs="Times New Roman"/>
          <w:i/>
          <w:color w:val="000000" w:themeColor="text1"/>
          <w:szCs w:val="24"/>
          <w:vertAlign w:val="subscript"/>
        </w:rPr>
        <w:t>1</w:t>
      </w:r>
      <w:r w:rsidRPr="00DE3248">
        <w:rPr>
          <w:rFonts w:cs="Times New Roman"/>
          <w:i/>
          <w:color w:val="000000" w:themeColor="text1"/>
          <w:szCs w:val="24"/>
        </w:rPr>
        <w:t xml:space="preserve">.1.1. Thermal Analysis </w:t>
      </w:r>
    </w:p>
    <w:p w:rsidR="008E2A2B" w:rsidRPr="00DE3248" w:rsidRDefault="008E2A2B" w:rsidP="008E2A2B">
      <w:pPr>
        <w:spacing w:line="480" w:lineRule="auto"/>
        <w:jc w:val="both"/>
        <w:rPr>
          <w:rFonts w:cs="Times New Roman"/>
          <w:i/>
          <w:color w:val="000000" w:themeColor="text1"/>
          <w:szCs w:val="24"/>
        </w:rPr>
      </w:pPr>
      <w:r w:rsidRPr="00DE3248">
        <w:rPr>
          <w:rFonts w:cs="Times New Roman"/>
          <w:color w:val="000000" w:themeColor="text1"/>
          <w:szCs w:val="24"/>
        </w:rPr>
        <w:t>The crystalline samples of ibuprofen were analysed using a Q200 MDSC (TA Instruments, Leatherhead, UK) equipped with a refrigerated cooling system (RCS-90) and purged with inert dry nitrogen gas at a flow rate of 50 mL/min. Indium standard was used for temperature and melting enthalpy calibration and validation. The samples were crimped in a TA instruments standard aluminium pan and lid and heated from -70 to 91 °C, a temperature range which should include both the glass transition of amorphous IBU (</w:t>
      </w:r>
      <w:r w:rsidRPr="00DE3248">
        <w:rPr>
          <w:rFonts w:cs="Times New Roman"/>
          <w:i/>
          <w:color w:val="000000" w:themeColor="text1"/>
          <w:szCs w:val="24"/>
        </w:rPr>
        <w:t>T</w:t>
      </w:r>
      <w:r w:rsidRPr="00DE3248">
        <w:rPr>
          <w:rFonts w:cs="Times New Roman"/>
          <w:i/>
          <w:color w:val="000000" w:themeColor="text1"/>
          <w:szCs w:val="24"/>
          <w:vertAlign w:val="subscript"/>
        </w:rPr>
        <w:t>g</w:t>
      </w:r>
      <w:r w:rsidRPr="00DE3248">
        <w:rPr>
          <w:rFonts w:cs="Times New Roman"/>
          <w:color w:val="000000" w:themeColor="text1"/>
          <w:szCs w:val="24"/>
        </w:rPr>
        <w:t xml:space="preserve"> determined to be = -44.5 ± 0.4 </w:t>
      </w:r>
      <w:r w:rsidRPr="00DE3248">
        <w:rPr>
          <w:rFonts w:cs="Times New Roman"/>
          <w:color w:val="000000" w:themeColor="text1"/>
          <w:szCs w:val="24"/>
          <w:vertAlign w:val="superscript"/>
        </w:rPr>
        <w:t>o</w:t>
      </w:r>
      <w:r w:rsidRPr="00DE3248">
        <w:rPr>
          <w:rFonts w:cs="Times New Roman"/>
          <w:color w:val="000000" w:themeColor="text1"/>
          <w:szCs w:val="24"/>
        </w:rPr>
        <w:t xml:space="preserve">C at 5 </w:t>
      </w:r>
      <w:r w:rsidRPr="00DE3248">
        <w:rPr>
          <w:rFonts w:cs="Times New Roman"/>
          <w:color w:val="000000" w:themeColor="text1"/>
          <w:szCs w:val="24"/>
          <w:vertAlign w:val="superscript"/>
        </w:rPr>
        <w:t>o</w:t>
      </w:r>
      <w:r w:rsidRPr="00DE3248">
        <w:rPr>
          <w:rFonts w:cs="Times New Roman"/>
          <w:color w:val="000000" w:themeColor="text1"/>
          <w:szCs w:val="24"/>
        </w:rPr>
        <w:t>C/min heating rate) and the melting point of the crystalline IBU (</w:t>
      </w:r>
      <w:r w:rsidRPr="00DE3248">
        <w:rPr>
          <w:rFonts w:cs="Times New Roman"/>
          <w:i/>
          <w:color w:val="000000" w:themeColor="text1"/>
          <w:szCs w:val="24"/>
        </w:rPr>
        <w:t>T</w:t>
      </w:r>
      <w:r w:rsidRPr="00DE3248">
        <w:rPr>
          <w:rFonts w:cs="Times New Roman"/>
          <w:i/>
          <w:color w:val="000000" w:themeColor="text1"/>
          <w:szCs w:val="24"/>
          <w:vertAlign w:val="subscript"/>
        </w:rPr>
        <w:t>m</w:t>
      </w:r>
      <w:r w:rsidRPr="00DE3248">
        <w:rPr>
          <w:rFonts w:cs="Times New Roman"/>
          <w:color w:val="000000" w:themeColor="text1"/>
          <w:szCs w:val="24"/>
        </w:rPr>
        <w:t xml:space="preserve">=74.52 ± 0.52 </w:t>
      </w:r>
      <w:r w:rsidRPr="00DE3248">
        <w:rPr>
          <w:rFonts w:cs="Times New Roman"/>
          <w:color w:val="000000" w:themeColor="text1"/>
          <w:szCs w:val="24"/>
          <w:vertAlign w:val="superscript"/>
        </w:rPr>
        <w:t>o</w:t>
      </w:r>
      <w:r w:rsidRPr="00DE3248">
        <w:rPr>
          <w:rFonts w:cs="Times New Roman"/>
          <w:color w:val="000000" w:themeColor="text1"/>
          <w:szCs w:val="24"/>
        </w:rPr>
        <w:t xml:space="preserve">C) using 10 °C/min heating rate. The data were acquired and analysed using Thermal Advantage and Universal Analysis software (version 4.4, TA Instruments, Leatherhead, UK), respectively. The crystallinity (%) of ibuprofen was calculated with respect to the measured heat of fusion of both the crystalline ibuprofen raw material samples and previously reported value, </w:t>
      </w:r>
      <w:r w:rsidRPr="00DE3248">
        <w:rPr>
          <w:rFonts w:cs="Times New Roman"/>
          <w:i/>
          <w:color w:val="000000" w:themeColor="text1"/>
          <w:szCs w:val="24"/>
        </w:rPr>
        <w:t>ΔH</w:t>
      </w:r>
      <w:r w:rsidRPr="00DE3248">
        <w:rPr>
          <w:rFonts w:cs="Times New Roman"/>
          <w:i/>
          <w:color w:val="000000" w:themeColor="text1"/>
          <w:szCs w:val="24"/>
          <w:vertAlign w:val="subscript"/>
        </w:rPr>
        <w:t xml:space="preserve">f </w:t>
      </w:r>
      <w:r w:rsidRPr="00DE3248">
        <w:rPr>
          <w:rFonts w:cs="Times New Roman"/>
          <w:i/>
          <w:color w:val="000000" w:themeColor="text1"/>
          <w:szCs w:val="24"/>
        </w:rPr>
        <w:t>=</w:t>
      </w:r>
      <w:r w:rsidRPr="00DE3248">
        <w:rPr>
          <w:rFonts w:cs="Times New Roman"/>
          <w:color w:val="000000" w:themeColor="text1"/>
          <w:szCs w:val="24"/>
        </w:rPr>
        <w:t xml:space="preserve">122.3 J/g and 125.1 ± 0.5 J/g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&lt;EndNote&gt;&lt;Cite&gt;&lt;Author&gt;Dudognon&lt;/Author&gt;&lt;Year&gt;2013&lt;/Year&gt;&lt;RecNum&gt;14&lt;/RecNum&gt;&lt;DisplayText&gt;(Dudognon et al., 2013)&lt;/DisplayText&gt;&lt;record&gt;&lt;rec-number&gt;14&lt;/rec-number&gt;&lt;foreign-keys&gt;&lt;key app="EN" db-id="d5fs0wsvp0f05ser9abpxz97rwr0et952ape" timestamp="1491558968"&gt;14&lt;/key&gt;&lt;/foreign-keys&gt;&lt;ref-type name="Journal Article"&gt;17&lt;/ref-type&gt;&lt;contributors&gt;&lt;authors&gt;&lt;author&gt;Dudognon, Emeline&lt;/author&gt;&lt;author&gt;Correia, Natália T.&lt;/author&gt;&lt;author&gt;Danède, Florence&lt;/author&gt;&lt;author&gt;Descamps, Marc&lt;/author&gt;&lt;/authors&gt;&lt;/contributors&gt;&lt;titles&gt;&lt;title&gt;Solid-Solid Transformation in Racemic Ibuprofen&lt;/title&gt;&lt;secondary-title&gt;Pharm. Res.&lt;/secondary-title&gt;&lt;/titles&gt;&lt;periodical&gt;&lt;full-title&gt;Pharm. Res.&lt;/full-title&gt;&lt;/periodical&gt;&lt;pages&gt;81-89&lt;/pages&gt;&lt;volume&gt;30&lt;/volume&gt;&lt;number&gt;1&lt;/number&gt;&lt;dates&gt;&lt;year&gt;2013&lt;/year&gt;&lt;/dates&gt;&lt;isbn&gt;1573-904X&lt;/isbn&gt;&lt;label&gt;Dudognon2013&lt;/label&gt;&lt;work-type&gt;journal article&lt;/work-type&gt;&lt;urls&gt;&lt;related-urls&gt;&lt;url&gt;http://dx.doi.org/10.1007/s11095-012-0851-0&lt;/url&gt;&lt;/related-urls&gt;&lt;/urls&gt;&lt;electronic-resource-num&gt;10.1007/s11095-012-0851-0&lt;/electronic-resource-num&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6" w:tooltip="Dudognon, 2013 #14" w:history="1">
        <w:r w:rsidRPr="00DE3248">
          <w:rPr>
            <w:rFonts w:cs="Times New Roman"/>
            <w:noProof/>
            <w:color w:val="000000" w:themeColor="text1"/>
            <w:szCs w:val="24"/>
          </w:rPr>
          <w:t>Dudognon et al., 2013</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respectively.</w:t>
      </w:r>
    </w:p>
    <w:p w:rsidR="008E2A2B" w:rsidRPr="00DE3248" w:rsidRDefault="008E2A2B" w:rsidP="008E2A2B">
      <w:pPr>
        <w:spacing w:before="120" w:after="0" w:line="480" w:lineRule="auto"/>
        <w:rPr>
          <w:rFonts w:cs="Times New Roman"/>
          <w:i/>
          <w:color w:val="000000" w:themeColor="text1"/>
          <w:szCs w:val="24"/>
        </w:rPr>
      </w:pPr>
      <w:r w:rsidRPr="00DE3248">
        <w:rPr>
          <w:rFonts w:cs="Times New Roman"/>
          <w:i/>
          <w:color w:val="000000" w:themeColor="text1"/>
          <w:szCs w:val="24"/>
        </w:rPr>
        <w:t>S</w:t>
      </w:r>
      <w:r w:rsidRPr="00DE3248">
        <w:rPr>
          <w:rFonts w:cs="Times New Roman"/>
          <w:i/>
          <w:color w:val="000000" w:themeColor="text1"/>
          <w:szCs w:val="24"/>
          <w:vertAlign w:val="subscript"/>
        </w:rPr>
        <w:t>1</w:t>
      </w:r>
      <w:r w:rsidRPr="00DE3248">
        <w:rPr>
          <w:rFonts w:cs="Times New Roman"/>
          <w:i/>
          <w:color w:val="000000" w:themeColor="text1"/>
          <w:szCs w:val="24"/>
        </w:rPr>
        <w:t>.1.2. Powder X-ray Diffraction (PXRD)</w:t>
      </w:r>
    </w:p>
    <w:p w:rsidR="008E2A2B" w:rsidRPr="00DE3248" w:rsidRDefault="008E2A2B" w:rsidP="00B87879">
      <w:pPr>
        <w:spacing w:before="120" w:after="120" w:line="480" w:lineRule="auto"/>
        <w:jc w:val="both"/>
        <w:rPr>
          <w:rFonts w:cs="Times New Roman"/>
          <w:color w:val="000000" w:themeColor="text1"/>
          <w:szCs w:val="24"/>
        </w:rPr>
      </w:pPr>
      <w:r w:rsidRPr="00DE3248">
        <w:rPr>
          <w:rFonts w:cs="Times New Roman"/>
          <w:color w:val="000000" w:themeColor="text1"/>
          <w:szCs w:val="24"/>
        </w:rPr>
        <w:t xml:space="preserve">Powder X-ray analysis was performed in reflection mode using a benchtop X-ray diffraction (XRD) instrument Rigaku MiniflexII (Rigaku, Tokyo, Japan) equipped with a Cu Kα X-ray source and Haskris cooling unit (Grove Village, IL, USA). The samples were front-loaded by gently pressing using a glass slide on a zero-background silicon sample holder. The PXRD patterns were recorded for a 2θ ranging from 3° to 40° with a step scan rate of 0.05° per second. </w:t>
      </w:r>
    </w:p>
    <w:p w:rsidR="008E2A2B" w:rsidRPr="00DE3248" w:rsidRDefault="008E2A2B" w:rsidP="008E2A2B">
      <w:pPr>
        <w:spacing w:before="120" w:after="0" w:line="480" w:lineRule="auto"/>
        <w:rPr>
          <w:rFonts w:cs="Times New Roman"/>
          <w:i/>
          <w:color w:val="000000" w:themeColor="text1"/>
          <w:szCs w:val="24"/>
        </w:rPr>
      </w:pPr>
      <w:r w:rsidRPr="00DE3248">
        <w:rPr>
          <w:rFonts w:cs="Times New Roman"/>
          <w:i/>
          <w:color w:val="000000" w:themeColor="text1"/>
          <w:szCs w:val="24"/>
        </w:rPr>
        <w:lastRenderedPageBreak/>
        <w:t>S</w:t>
      </w:r>
      <w:r w:rsidRPr="00DE3248">
        <w:rPr>
          <w:rFonts w:cs="Times New Roman"/>
          <w:i/>
          <w:color w:val="000000" w:themeColor="text1"/>
          <w:szCs w:val="24"/>
          <w:vertAlign w:val="subscript"/>
        </w:rPr>
        <w:t>1</w:t>
      </w:r>
      <w:r w:rsidRPr="00DE3248">
        <w:rPr>
          <w:rFonts w:cs="Times New Roman"/>
          <w:i/>
          <w:color w:val="000000" w:themeColor="text1"/>
          <w:szCs w:val="24"/>
        </w:rPr>
        <w:t>.1.3. Thermogravimetric Analysis (TGA)</w:t>
      </w:r>
    </w:p>
    <w:p w:rsidR="008E2A2B" w:rsidRPr="00DE3248" w:rsidRDefault="008E2A2B" w:rsidP="008E2A2B">
      <w:pPr>
        <w:spacing w:before="120" w:after="120" w:line="480" w:lineRule="auto"/>
        <w:jc w:val="both"/>
        <w:rPr>
          <w:rFonts w:cs="Times New Roman"/>
          <w:color w:val="000000" w:themeColor="text1"/>
          <w:szCs w:val="24"/>
        </w:rPr>
      </w:pPr>
      <w:r w:rsidRPr="00DE3248">
        <w:rPr>
          <w:rFonts w:cs="Times New Roman"/>
          <w:color w:val="000000" w:themeColor="text1"/>
          <w:szCs w:val="24"/>
        </w:rPr>
        <w:t xml:space="preserve">The residual solvent contents and weight loss of the samples were determined using thermogravimetric analysis (TGA) to characterise possible hydrate or solvate formation on crystallisation. The samples were heated at 10 °C/min from 25 °C to 200 °C using a Q50 thermogravimetric analyzer (TA instruments, Leatherhead, U.K.) purged with dry nitrogen gas at 100 mL/min. The data were acquired and the residual solvent was quantified using Thermal Advantage and TA Universal analysis 2000 software (TA Instruments, Leatherhead, U.K.), respectively, for the temperature range between 25 °C and 80 °C. </w:t>
      </w:r>
    </w:p>
    <w:p w:rsidR="001D66A9" w:rsidRPr="00DE3248" w:rsidRDefault="00B87879" w:rsidP="00853A45">
      <w:pPr>
        <w:spacing w:before="120" w:after="120" w:line="480" w:lineRule="auto"/>
        <w:jc w:val="both"/>
        <w:rPr>
          <w:rFonts w:cs="Times New Roman"/>
          <w:b/>
          <w:i/>
          <w:szCs w:val="24"/>
        </w:rPr>
      </w:pPr>
      <w:r w:rsidRPr="00DE3248">
        <w:rPr>
          <w:rFonts w:cs="Times New Roman"/>
          <w:b/>
          <w:i/>
          <w:color w:val="000000" w:themeColor="text1"/>
          <w:szCs w:val="24"/>
        </w:rPr>
        <w:t>S</w:t>
      </w:r>
      <w:r w:rsidRPr="00DE3248">
        <w:rPr>
          <w:rFonts w:cs="Times New Roman"/>
          <w:b/>
          <w:i/>
          <w:color w:val="000000" w:themeColor="text1"/>
          <w:szCs w:val="24"/>
          <w:vertAlign w:val="subscript"/>
        </w:rPr>
        <w:t>1</w:t>
      </w:r>
      <w:r w:rsidRPr="00DE3248">
        <w:rPr>
          <w:rFonts w:cs="Times New Roman"/>
          <w:b/>
          <w:i/>
          <w:color w:val="000000" w:themeColor="text1"/>
          <w:szCs w:val="24"/>
        </w:rPr>
        <w:t xml:space="preserve">.2. Results of </w:t>
      </w:r>
      <w:r w:rsidRPr="00DE3248">
        <w:rPr>
          <w:rFonts w:cs="Times New Roman"/>
          <w:b/>
          <w:i/>
          <w:szCs w:val="24"/>
        </w:rPr>
        <w:t>Solid State Characterisation</w:t>
      </w:r>
    </w:p>
    <w:p w:rsidR="001D66A9" w:rsidRPr="00DE3248" w:rsidRDefault="001D66A9" w:rsidP="001D66A9">
      <w:pPr>
        <w:spacing w:line="480" w:lineRule="auto"/>
        <w:jc w:val="both"/>
        <w:rPr>
          <w:rFonts w:eastAsia="Times New Roman" w:cs="Times New Roman"/>
          <w:color w:val="000000" w:themeColor="text1"/>
          <w:szCs w:val="24"/>
          <w:lang w:val="en-US"/>
        </w:rPr>
      </w:pPr>
      <w:r w:rsidRPr="00DE3248">
        <w:rPr>
          <w:rFonts w:cs="Times New Roman"/>
          <w:color w:val="000000" w:themeColor="text1"/>
          <w:szCs w:val="24"/>
        </w:rPr>
        <w:t xml:space="preserve">The DSC analysis of IBU </w:t>
      </w:r>
      <w:r w:rsidRPr="00DE3248">
        <w:rPr>
          <w:rFonts w:cs="Times New Roman"/>
          <w:noProof/>
          <w:color w:val="000000" w:themeColor="text1"/>
          <w:szCs w:val="24"/>
        </w:rPr>
        <w:t>batches</w:t>
      </w:r>
      <w:r w:rsidRPr="00DE3248">
        <w:rPr>
          <w:rFonts w:cs="Times New Roman"/>
          <w:color w:val="000000" w:themeColor="text1"/>
          <w:szCs w:val="24"/>
        </w:rPr>
        <w:t xml:space="preserve"> showed the presence of a melting endotherm at 74.33 ± 0.14 </w:t>
      </w:r>
      <w:r w:rsidRPr="00DE3248">
        <w:rPr>
          <w:rFonts w:cs="Times New Roman"/>
          <w:color w:val="000000" w:themeColor="text1"/>
          <w:szCs w:val="24"/>
          <w:vertAlign w:val="superscript"/>
        </w:rPr>
        <w:t>o</w:t>
      </w:r>
      <w:r w:rsidRPr="00DE3248">
        <w:rPr>
          <w:rFonts w:cs="Times New Roman"/>
          <w:color w:val="000000" w:themeColor="text1"/>
          <w:szCs w:val="24"/>
        </w:rPr>
        <w:t xml:space="preserve">C with </w:t>
      </w:r>
      <w:r w:rsidRPr="00DE3248">
        <w:rPr>
          <w:rFonts w:cs="Times New Roman"/>
          <w:i/>
          <w:color w:val="000000" w:themeColor="text1"/>
          <w:szCs w:val="24"/>
        </w:rPr>
        <w:t>ΔH</w:t>
      </w:r>
      <w:r w:rsidRPr="00DE3248">
        <w:rPr>
          <w:rFonts w:cs="Times New Roman"/>
          <w:i/>
          <w:color w:val="000000" w:themeColor="text1"/>
          <w:szCs w:val="24"/>
          <w:vertAlign w:val="subscript"/>
        </w:rPr>
        <w:t>f</w:t>
      </w:r>
      <w:r w:rsidRPr="00DE3248">
        <w:rPr>
          <w:rFonts w:cs="Times New Roman"/>
          <w:color w:val="000000" w:themeColor="text1"/>
          <w:szCs w:val="24"/>
        </w:rPr>
        <w:t xml:space="preserve"> =128.09 ± 3.06 J/g and an absence of the glass transition temperature (which would appear at approx.</w:t>
      </w:r>
      <w:r w:rsidRPr="00DE3248">
        <w:rPr>
          <w:rFonts w:cs="Times New Roman"/>
          <w:i/>
          <w:color w:val="000000" w:themeColor="text1"/>
          <w:szCs w:val="24"/>
        </w:rPr>
        <w:t xml:space="preserve"> </w:t>
      </w:r>
      <w:r w:rsidRPr="00DE3248">
        <w:rPr>
          <w:rFonts w:cs="Times New Roman"/>
          <w:i/>
          <w:color w:val="538135" w:themeColor="accent6" w:themeShade="BF"/>
          <w:szCs w:val="24"/>
        </w:rPr>
        <w:t>-</w:t>
      </w:r>
      <w:r w:rsidRPr="00DE3248">
        <w:rPr>
          <w:rFonts w:cs="Times New Roman"/>
          <w:color w:val="000000" w:themeColor="text1"/>
          <w:szCs w:val="24"/>
        </w:rPr>
        <w:t xml:space="preserve">44.5 </w:t>
      </w:r>
      <w:r w:rsidRPr="00DE3248">
        <w:rPr>
          <w:rFonts w:cs="Times New Roman"/>
          <w:color w:val="000000" w:themeColor="text1"/>
          <w:szCs w:val="24"/>
          <w:vertAlign w:val="superscript"/>
        </w:rPr>
        <w:t>o</w:t>
      </w:r>
      <w:r w:rsidRPr="00DE3248">
        <w:rPr>
          <w:rFonts w:cs="Times New Roman"/>
          <w:color w:val="000000" w:themeColor="text1"/>
          <w:szCs w:val="24"/>
        </w:rPr>
        <w:t xml:space="preserve">C) of IBU. The melting temperature and enthalpy were comparable with the reported melting temperature </w:t>
      </w:r>
      <w:r w:rsidRPr="00DE3248">
        <w:rPr>
          <w:rFonts w:cs="Times New Roman"/>
          <w:noProof/>
          <w:color w:val="000000" w:themeColor="text1"/>
          <w:szCs w:val="24"/>
        </w:rPr>
        <w:t>of</w:t>
      </w:r>
      <w:r w:rsidRPr="00DE3248">
        <w:rPr>
          <w:rFonts w:cs="Times New Roman"/>
          <w:color w:val="000000" w:themeColor="text1"/>
          <w:szCs w:val="24"/>
        </w:rPr>
        <w:t xml:space="preserve"> the </w:t>
      </w:r>
      <w:r w:rsidRPr="00DE3248">
        <w:rPr>
          <w:rFonts w:cs="Times New Roman"/>
          <w:noProof/>
          <w:color w:val="000000" w:themeColor="text1"/>
          <w:szCs w:val="24"/>
        </w:rPr>
        <w:t>stable</w:t>
      </w:r>
      <w:r w:rsidRPr="00DE3248">
        <w:rPr>
          <w:rFonts w:cs="Times New Roman"/>
          <w:color w:val="000000" w:themeColor="text1"/>
          <w:szCs w:val="24"/>
        </w:rPr>
        <w:t xml:space="preserve"> crystalline form of racemic IBU, 75.85 </w:t>
      </w:r>
      <w:r w:rsidRPr="00DE3248">
        <w:rPr>
          <w:rFonts w:cs="Times New Roman"/>
          <w:color w:val="000000" w:themeColor="text1"/>
          <w:szCs w:val="24"/>
          <w:vertAlign w:val="superscript"/>
        </w:rPr>
        <w:t>o</w:t>
      </w:r>
      <w:r w:rsidRPr="00DE3248">
        <w:rPr>
          <w:rFonts w:cs="Times New Roman"/>
          <w:color w:val="000000" w:themeColor="text1"/>
          <w:szCs w:val="24"/>
        </w:rPr>
        <w:t xml:space="preserve">C and </w:t>
      </w:r>
      <w:r w:rsidRPr="00DE3248">
        <w:rPr>
          <w:rFonts w:eastAsia="Times New Roman" w:cs="Times New Roman"/>
          <w:color w:val="000000" w:themeColor="text1"/>
          <w:szCs w:val="24"/>
          <w:lang w:val="en-US"/>
        </w:rPr>
        <w:t>125.1 ± 0.5 J/g, respectively</w:t>
      </w:r>
      <w:r w:rsidRPr="00DE3248">
        <w:rPr>
          <w:rFonts w:cs="Times New Roman"/>
          <w:color w:val="000000" w:themeColor="text1"/>
          <w:szCs w:val="24"/>
        </w:rPr>
        <w:t xml:space="preserve">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&lt;EndNote&gt;&lt;Cite&gt;&lt;Author&gt;Dudognon&lt;/Author&gt;&lt;Year&gt;2008&lt;/Year&gt;&lt;RecNum&gt;29&lt;/RecNum&gt;&lt;DisplayText&gt;(Dudognon et al., 2008)&lt;/DisplayText&gt;&lt;record&gt;&lt;rec-number&gt;29&lt;/rec-number&gt;&lt;foreign-keys&gt;&lt;key app="EN" db-id="d5fs0wsvp0f05ser9abpxz97rwr0et952ape" timestamp="1491558971"&gt;29&lt;/key&gt;&lt;/foreign-keys&gt;&lt;ref-type name="Journal Article"&gt;17&lt;/ref-type&gt;&lt;contributors&gt;&lt;authors&gt;&lt;author&gt;Dudognon, Emeline&lt;/author&gt;&lt;author&gt;Danède, Florence&lt;/author&gt;&lt;author&gt;Descamps, Marc&lt;/author&gt;&lt;author&gt;Correia, Natália T&lt;/author&gt;&lt;/authors&gt;&lt;/contributors&gt;&lt;titles&gt;&lt;title&gt;Evidence for a new crystalline phase of racemic ibuprofen&lt;/title&gt;&lt;secondary-title&gt;Pharm. Res.&lt;/secondary-title&gt;&lt;/titles&gt;&lt;periodical&gt;&lt;full-title&gt;Pharm. Res.&lt;/full-title&gt;&lt;/periodical&gt;&lt;pages&gt;2853-2858&lt;/pages&gt;&lt;volume&gt;25&lt;/volume&gt;&lt;number&gt;12&lt;/number&gt;&lt;dates&gt;&lt;year&gt;2008&lt;/year&gt;&lt;/dates&gt;&lt;isbn&gt;0724-8741&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5" w:tooltip="Dudognon, 2008 #29" w:history="1">
        <w:r w:rsidRPr="00DE3248">
          <w:rPr>
            <w:rFonts w:cs="Times New Roman"/>
            <w:noProof/>
            <w:color w:val="000000" w:themeColor="text1"/>
            <w:szCs w:val="24"/>
          </w:rPr>
          <w:t>Dudognon et al., 2008</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The average percent crystallinity of IBU batches was 103.06 ± 2.44 %, based on the reported </w:t>
      </w:r>
      <w:r w:rsidRPr="00DE3248">
        <w:rPr>
          <w:rFonts w:cs="Times New Roman"/>
          <w:i/>
          <w:color w:val="000000" w:themeColor="text1"/>
          <w:szCs w:val="24"/>
        </w:rPr>
        <w:t>ΔH</w:t>
      </w:r>
      <w:r w:rsidRPr="00DE3248">
        <w:rPr>
          <w:rFonts w:cs="Times New Roman"/>
          <w:i/>
          <w:color w:val="000000" w:themeColor="text1"/>
          <w:szCs w:val="24"/>
          <w:vertAlign w:val="subscript"/>
        </w:rPr>
        <w:t xml:space="preserve">f </w:t>
      </w:r>
      <w:r w:rsidRPr="00DE3248">
        <w:rPr>
          <w:rFonts w:cs="Times New Roman"/>
          <w:color w:val="000000" w:themeColor="text1"/>
          <w:szCs w:val="24"/>
        </w:rPr>
        <w:t xml:space="preserve">for </w:t>
      </w:r>
      <w:r w:rsidRPr="00DE3248">
        <w:rPr>
          <w:rFonts w:cs="Times New Roman"/>
          <w:noProof/>
          <w:color w:val="000000" w:themeColor="text1"/>
          <w:szCs w:val="24"/>
        </w:rPr>
        <w:t>the stable</w:t>
      </w:r>
      <w:r w:rsidRPr="00DE3248">
        <w:rPr>
          <w:rFonts w:cs="Times New Roman"/>
          <w:color w:val="000000" w:themeColor="text1"/>
          <w:szCs w:val="24"/>
        </w:rPr>
        <w:t xml:space="preserve"> </w:t>
      </w:r>
      <w:r w:rsidRPr="00DE3248">
        <w:rPr>
          <w:rFonts w:cs="Times New Roman"/>
          <w:noProof/>
          <w:color w:val="000000" w:themeColor="text1"/>
          <w:szCs w:val="24"/>
        </w:rPr>
        <w:t>crystalline</w:t>
      </w:r>
      <w:r w:rsidRPr="00DE3248">
        <w:rPr>
          <w:rFonts w:cs="Times New Roman"/>
          <w:color w:val="000000" w:themeColor="text1"/>
          <w:szCs w:val="24"/>
        </w:rPr>
        <w:t xml:space="preserve"> form (supplementary data t</w:t>
      </w:r>
      <w:r w:rsidRPr="00DE3248">
        <w:rPr>
          <w:rFonts w:cs="Times New Roman"/>
          <w:color w:val="000000" w:themeColor="text1"/>
        </w:rPr>
        <w:t>able S</w:t>
      </w:r>
      <w:r w:rsidRPr="00DE3248">
        <w:rPr>
          <w:rFonts w:cs="Times New Roman"/>
          <w:color w:val="000000" w:themeColor="text1"/>
          <w:vertAlign w:val="subscript"/>
        </w:rPr>
        <w:t>1</w:t>
      </w:r>
      <w:r w:rsidRPr="00DE3248">
        <w:rPr>
          <w:rFonts w:cs="Times New Roman"/>
          <w:color w:val="000000" w:themeColor="text1"/>
        </w:rPr>
        <w:t>-1)</w:t>
      </w:r>
      <w:r w:rsidRPr="00DE3248">
        <w:rPr>
          <w:rFonts w:cs="Times New Roman"/>
          <w:color w:val="000000" w:themeColor="text1"/>
          <w:szCs w:val="24"/>
        </w:rPr>
        <w:t>. The PXRD analysis also showed Bragg diffraction peaks without a diffuse diffraction pattern which matches with the stable polymorphic form of racemic IBU (CSD identifier: IBPRAC, P 2</w:t>
      </w:r>
      <w:r w:rsidRPr="00DE3248">
        <w:rPr>
          <w:rFonts w:cs="Times New Roman"/>
          <w:color w:val="000000" w:themeColor="text1"/>
          <w:szCs w:val="24"/>
          <w:vertAlign w:val="subscript"/>
        </w:rPr>
        <w:t>1</w:t>
      </w:r>
      <w:r w:rsidRPr="00DE3248">
        <w:rPr>
          <w:rFonts w:cs="Times New Roman"/>
          <w:color w:val="000000" w:themeColor="text1"/>
          <w:szCs w:val="24"/>
        </w:rPr>
        <w:t xml:space="preserve">/C) (data not </w:t>
      </w:r>
      <w:r w:rsidRPr="00DE3248">
        <w:rPr>
          <w:rFonts w:cs="Times New Roman"/>
          <w:noProof/>
          <w:color w:val="000000" w:themeColor="text1"/>
          <w:szCs w:val="24"/>
        </w:rPr>
        <w:t>shown</w:t>
      </w:r>
      <w:r w:rsidRPr="00DE3248">
        <w:rPr>
          <w:rFonts w:cs="Times New Roman"/>
          <w:color w:val="000000" w:themeColor="text1"/>
          <w:szCs w:val="24"/>
        </w:rPr>
        <w:t xml:space="preserve">). The TGA analysis showed that the residual solvent content was less than 5 % (w/w) and the samples were devoid of </w:t>
      </w:r>
      <w:r w:rsidRPr="00DE3248">
        <w:rPr>
          <w:rFonts w:cs="Times New Roman"/>
          <w:noProof/>
          <w:color w:val="000000" w:themeColor="text1"/>
          <w:szCs w:val="24"/>
        </w:rPr>
        <w:t>solvate</w:t>
      </w:r>
      <w:r w:rsidRPr="00DE3248">
        <w:rPr>
          <w:rFonts w:cs="Times New Roman"/>
          <w:color w:val="000000" w:themeColor="text1"/>
          <w:szCs w:val="24"/>
        </w:rPr>
        <w:t xml:space="preserve"> or hydrate forms (data not shown). </w:t>
      </w:r>
    </w:p>
    <w:p w:rsidR="001D66A9" w:rsidRPr="00DE3248" w:rsidRDefault="001D66A9" w:rsidP="001D66A9">
      <w:pPr>
        <w:pStyle w:val="ListParagraph"/>
        <w:spacing w:before="120" w:after="120" w:line="480" w:lineRule="auto"/>
        <w:ind w:left="0"/>
        <w:jc w:val="both"/>
        <w:rPr>
          <w:rFonts w:cs="Times New Roman"/>
          <w:color w:val="000000" w:themeColor="text1"/>
          <w:szCs w:val="24"/>
        </w:rPr>
      </w:pPr>
      <w:r w:rsidRPr="00DE3248">
        <w:rPr>
          <w:rFonts w:cs="Times New Roman"/>
          <w:color w:val="000000" w:themeColor="text1"/>
          <w:szCs w:val="24"/>
        </w:rPr>
        <w:t xml:space="preserve">To evaluate blend uniformity, the composition (% w/w) of MCC in binary systems with IBU were determined by subtraction, by first determining the % w/w of IBU in mixed samples, based on the crystallinity of IBU, by DSC analysis of the </w:t>
      </w:r>
      <w:r w:rsidRPr="00DE3248">
        <w:rPr>
          <w:rFonts w:cs="Times New Roman"/>
          <w:noProof/>
          <w:color w:val="000000" w:themeColor="text1"/>
          <w:szCs w:val="24"/>
        </w:rPr>
        <w:t>physical</w:t>
      </w:r>
      <w:r w:rsidRPr="00DE3248">
        <w:rPr>
          <w:rFonts w:cs="Times New Roman"/>
          <w:color w:val="000000" w:themeColor="text1"/>
          <w:szCs w:val="24"/>
        </w:rPr>
        <w:t xml:space="preserve"> mixtures. The average percent error between </w:t>
      </w:r>
      <w:r w:rsidRPr="00DE3248">
        <w:rPr>
          <w:rFonts w:cs="Times New Roman"/>
          <w:color w:val="000000" w:themeColor="text1"/>
          <w:szCs w:val="24"/>
        </w:rPr>
        <w:lastRenderedPageBreak/>
        <w:t>the experimental and the actual MCC compositions was 2.9 ± 1.9 %, taking the average of all the compositions (supplementary data t</w:t>
      </w:r>
      <w:r w:rsidRPr="00DE3248">
        <w:rPr>
          <w:rFonts w:cs="Times New Roman"/>
          <w:color w:val="000000" w:themeColor="text1"/>
        </w:rPr>
        <w:t>able S</w:t>
      </w:r>
      <w:r w:rsidRPr="00DE3248">
        <w:rPr>
          <w:rFonts w:cs="Times New Roman"/>
          <w:color w:val="000000" w:themeColor="text1"/>
          <w:vertAlign w:val="subscript"/>
        </w:rPr>
        <w:t>1</w:t>
      </w:r>
      <w:r w:rsidRPr="00DE3248">
        <w:rPr>
          <w:rFonts w:cs="Times New Roman"/>
          <w:color w:val="000000" w:themeColor="text1"/>
        </w:rPr>
        <w:t>-2)</w:t>
      </w:r>
      <w:r w:rsidRPr="00DE3248">
        <w:rPr>
          <w:rFonts w:cs="Times New Roman"/>
          <w:color w:val="000000" w:themeColor="text1"/>
          <w:szCs w:val="24"/>
        </w:rPr>
        <w:t xml:space="preserve">. </w:t>
      </w:r>
    </w:p>
    <w:p w:rsidR="00E70B1D" w:rsidRPr="00DE3248" w:rsidRDefault="00E70B1D" w:rsidP="000C255C">
      <w:pPr>
        <w:pStyle w:val="Caption"/>
        <w:keepNext/>
        <w:spacing w:before="120" w:after="120" w:line="480" w:lineRule="auto"/>
        <w:rPr>
          <w:rFonts w:cs="Times New Roman"/>
          <w:i w:val="0"/>
          <w:color w:val="auto"/>
        </w:rPr>
      </w:pPr>
      <w:r w:rsidRPr="00DE3248">
        <w:rPr>
          <w:rFonts w:cs="Times New Roman"/>
          <w:b/>
          <w:i w:val="0"/>
          <w:color w:val="auto"/>
        </w:rPr>
        <w:t>Table S</w:t>
      </w:r>
      <w:r w:rsidRPr="00DE3248">
        <w:rPr>
          <w:rFonts w:cs="Times New Roman"/>
          <w:b/>
          <w:i w:val="0"/>
          <w:color w:val="auto"/>
          <w:vertAlign w:val="subscript"/>
        </w:rPr>
        <w:t>1</w:t>
      </w:r>
      <w:r w:rsidR="00E31CBA" w:rsidRPr="00DE3248">
        <w:rPr>
          <w:rFonts w:cs="Times New Roman"/>
          <w:b/>
          <w:i w:val="0"/>
          <w:color w:val="auto"/>
        </w:rPr>
        <w:t>-</w:t>
      </w:r>
      <w:r w:rsidRPr="00DE3248">
        <w:rPr>
          <w:rFonts w:cs="Times New Roman"/>
          <w:b/>
          <w:i w:val="0"/>
          <w:color w:val="auto"/>
        </w:rPr>
        <w:fldChar w:fldCharType="begin"/>
      </w:r>
      <w:r w:rsidRPr="00DE3248">
        <w:rPr>
          <w:rFonts w:cs="Times New Roman"/>
          <w:b/>
          <w:i w:val="0"/>
          <w:color w:val="auto"/>
        </w:rPr>
        <w:instrText xml:space="preserve"> SEQ Table_S1 \* ARABIC </w:instrText>
      </w:r>
      <w:r w:rsidRPr="00DE3248">
        <w:rPr>
          <w:rFonts w:cs="Times New Roman"/>
          <w:b/>
          <w:i w:val="0"/>
          <w:color w:val="auto"/>
        </w:rPr>
        <w:fldChar w:fldCharType="separate"/>
      </w:r>
      <w:r w:rsidR="0023546F" w:rsidRPr="00DE3248">
        <w:rPr>
          <w:rFonts w:cs="Times New Roman"/>
          <w:b/>
          <w:i w:val="0"/>
          <w:noProof/>
          <w:color w:val="auto"/>
        </w:rPr>
        <w:t>1</w:t>
      </w:r>
      <w:r w:rsidRPr="00DE3248">
        <w:rPr>
          <w:rFonts w:cs="Times New Roman"/>
          <w:b/>
          <w:i w:val="0"/>
          <w:color w:val="auto"/>
        </w:rPr>
        <w:fldChar w:fldCharType="end"/>
      </w:r>
      <w:r w:rsidRPr="00DE3248">
        <w:rPr>
          <w:rFonts w:cs="Times New Roman"/>
          <w:i w:val="0"/>
          <w:color w:val="auto"/>
        </w:rPr>
        <w:t>. Percent crystallinity and melting point of selected batches of IBU from DSC analysis</w:t>
      </w:r>
    </w:p>
    <w:tbl>
      <w:tblPr>
        <w:tblW w:w="5000" w:type="pct"/>
        <w:tblLook w:val="04A0" w:firstRow="1" w:lastRow="0" w:firstColumn="1" w:lastColumn="0" w:noHBand="0" w:noVBand="1"/>
      </w:tblPr>
      <w:tblGrid>
        <w:gridCol w:w="1823"/>
        <w:gridCol w:w="1171"/>
        <w:gridCol w:w="1335"/>
        <w:gridCol w:w="2373"/>
        <w:gridCol w:w="2648"/>
      </w:tblGrid>
      <w:tr w:rsidR="004E48A0" w:rsidRPr="00DE3248" w:rsidTr="00E70B1D">
        <w:trPr>
          <w:trHeight w:val="170"/>
        </w:trPr>
        <w:tc>
          <w:tcPr>
            <w:tcW w:w="9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8A0" w:rsidRPr="00DE3248" w:rsidRDefault="004E48A0"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Sample name</w:t>
            </w:r>
          </w:p>
        </w:tc>
        <w:tc>
          <w:tcPr>
            <w:tcW w:w="62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8A0" w:rsidRPr="00DE3248" w:rsidRDefault="004E48A0"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T</w:t>
            </w:r>
            <w:r w:rsidRPr="00DE3248">
              <w:rPr>
                <w:rFonts w:eastAsia="Times New Roman" w:cs="Times New Roman"/>
                <w:b/>
                <w:color w:val="000000"/>
                <w:sz w:val="18"/>
                <w:szCs w:val="18"/>
                <w:vertAlign w:val="subscript"/>
                <w:lang w:val="en-US"/>
              </w:rPr>
              <w:t>m</w:t>
            </w:r>
            <w:r w:rsidRPr="00DE3248">
              <w:rPr>
                <w:rFonts w:eastAsia="Times New Roman" w:cs="Times New Roman"/>
                <w:b/>
                <w:color w:val="000000"/>
                <w:sz w:val="18"/>
                <w:szCs w:val="18"/>
                <w:lang w:val="en-US"/>
              </w:rPr>
              <w:t xml:space="preserve"> (</w:t>
            </w:r>
            <w:r w:rsidRPr="00DE3248">
              <w:rPr>
                <w:rFonts w:eastAsia="Times New Roman" w:cs="Times New Roman"/>
                <w:b/>
                <w:color w:val="000000"/>
                <w:sz w:val="18"/>
                <w:szCs w:val="18"/>
                <w:vertAlign w:val="superscript"/>
                <w:lang w:val="en-US"/>
              </w:rPr>
              <w:t>o</w:t>
            </w:r>
            <w:r w:rsidRPr="00DE3248">
              <w:rPr>
                <w:rFonts w:eastAsia="Times New Roman" w:cs="Times New Roman"/>
                <w:b/>
                <w:color w:val="000000"/>
                <w:sz w:val="18"/>
                <w:szCs w:val="18"/>
                <w:lang w:val="en-US"/>
              </w:rPr>
              <w:t>C)</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8A0" w:rsidRPr="00DE3248" w:rsidRDefault="004E48A0"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∆H</w:t>
            </w:r>
            <w:r w:rsidRPr="00DE3248">
              <w:rPr>
                <w:rFonts w:eastAsia="Times New Roman" w:cs="Times New Roman"/>
                <w:b/>
                <w:color w:val="000000"/>
                <w:sz w:val="18"/>
                <w:szCs w:val="18"/>
                <w:vertAlign w:val="subscript"/>
                <w:lang w:val="en-US"/>
              </w:rPr>
              <w:t>f</w:t>
            </w:r>
            <w:r w:rsidRPr="00DE3248">
              <w:rPr>
                <w:rFonts w:eastAsia="Times New Roman" w:cs="Times New Roman"/>
                <w:b/>
                <w:color w:val="000000"/>
                <w:sz w:val="18"/>
                <w:szCs w:val="18"/>
                <w:lang w:val="en-US"/>
              </w:rPr>
              <w:t xml:space="preserve"> (J/g)</w:t>
            </w:r>
          </w:p>
        </w:tc>
        <w:tc>
          <w:tcPr>
            <w:tcW w:w="2685" w:type="pct"/>
            <w:gridSpan w:val="2"/>
            <w:tcBorders>
              <w:top w:val="single" w:sz="4" w:space="0" w:color="auto"/>
              <w:left w:val="nil"/>
              <w:bottom w:val="single" w:sz="4" w:space="0" w:color="auto"/>
              <w:right w:val="single" w:sz="4" w:space="0" w:color="auto"/>
            </w:tcBorders>
            <w:shd w:val="clear" w:color="auto" w:fill="auto"/>
            <w:noWrap/>
            <w:vAlign w:val="center"/>
            <w:hideMark/>
          </w:tcPr>
          <w:p w:rsidR="004E48A0" w:rsidRPr="00DE3248" w:rsidRDefault="004E48A0"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Crystallinity</w:t>
            </w:r>
            <w:r w:rsidR="008D799F" w:rsidRPr="00DE3248">
              <w:rPr>
                <w:rFonts w:eastAsia="Times New Roman" w:cs="Times New Roman"/>
                <w:b/>
                <w:color w:val="000000"/>
                <w:sz w:val="18"/>
                <w:szCs w:val="18"/>
                <w:lang w:val="en-US"/>
              </w:rPr>
              <w:t xml:space="preserve"> (%)</w:t>
            </w:r>
            <w:r w:rsidR="006851E4" w:rsidRPr="00DE3248">
              <w:rPr>
                <w:rFonts w:eastAsia="Times New Roman" w:cs="Times New Roman"/>
                <w:b/>
                <w:color w:val="000000"/>
                <w:sz w:val="18"/>
                <w:szCs w:val="18"/>
                <w:lang w:val="en-US"/>
              </w:rPr>
              <w:t>, calculated from</w:t>
            </w:r>
          </w:p>
        </w:tc>
      </w:tr>
      <w:tr w:rsidR="00E70B1D" w:rsidRPr="00DE3248" w:rsidTr="00E70B1D">
        <w:trPr>
          <w:trHeight w:val="62"/>
        </w:trPr>
        <w:tc>
          <w:tcPr>
            <w:tcW w:w="975" w:type="pct"/>
            <w:vMerge/>
            <w:tcBorders>
              <w:top w:val="single" w:sz="4" w:space="0" w:color="auto"/>
              <w:left w:val="single" w:sz="4" w:space="0" w:color="auto"/>
              <w:bottom w:val="single" w:sz="4" w:space="0" w:color="auto"/>
              <w:right w:val="single" w:sz="4" w:space="0" w:color="auto"/>
            </w:tcBorders>
            <w:vAlign w:val="center"/>
            <w:hideMark/>
          </w:tcPr>
          <w:p w:rsidR="004E48A0" w:rsidRPr="00DE3248" w:rsidRDefault="004E48A0" w:rsidP="000C255C">
            <w:pPr>
              <w:spacing w:after="0" w:line="480" w:lineRule="auto"/>
              <w:rPr>
                <w:rFonts w:eastAsia="Times New Roman" w:cs="Times New Roman"/>
                <w:b/>
                <w:color w:val="000000"/>
                <w:sz w:val="18"/>
                <w:szCs w:val="18"/>
                <w:lang w:val="en-US"/>
              </w:rPr>
            </w:pPr>
          </w:p>
        </w:tc>
        <w:tc>
          <w:tcPr>
            <w:tcW w:w="626" w:type="pct"/>
            <w:vMerge/>
            <w:tcBorders>
              <w:top w:val="single" w:sz="4" w:space="0" w:color="auto"/>
              <w:left w:val="single" w:sz="4" w:space="0" w:color="auto"/>
              <w:bottom w:val="single" w:sz="4" w:space="0" w:color="auto"/>
              <w:right w:val="single" w:sz="4" w:space="0" w:color="auto"/>
            </w:tcBorders>
            <w:vAlign w:val="center"/>
            <w:hideMark/>
          </w:tcPr>
          <w:p w:rsidR="004E48A0" w:rsidRPr="00DE3248" w:rsidRDefault="004E48A0" w:rsidP="000C255C">
            <w:pPr>
              <w:spacing w:after="0" w:line="480" w:lineRule="auto"/>
              <w:rPr>
                <w:rFonts w:eastAsia="Times New Roman" w:cs="Times New Roman"/>
                <w:b/>
                <w:color w:val="000000"/>
                <w:sz w:val="18"/>
                <w:szCs w:val="18"/>
                <w:lang w:val="en-US"/>
              </w:rPr>
            </w:pPr>
          </w:p>
        </w:tc>
        <w:tc>
          <w:tcPr>
            <w:tcW w:w="714" w:type="pct"/>
            <w:vMerge/>
            <w:tcBorders>
              <w:top w:val="single" w:sz="4" w:space="0" w:color="auto"/>
              <w:left w:val="single" w:sz="4" w:space="0" w:color="auto"/>
              <w:bottom w:val="single" w:sz="4" w:space="0" w:color="auto"/>
              <w:right w:val="single" w:sz="4" w:space="0" w:color="auto"/>
            </w:tcBorders>
            <w:vAlign w:val="center"/>
            <w:hideMark/>
          </w:tcPr>
          <w:p w:rsidR="004E48A0" w:rsidRPr="00DE3248" w:rsidRDefault="004E48A0" w:rsidP="000C255C">
            <w:pPr>
              <w:spacing w:after="0" w:line="480" w:lineRule="auto"/>
              <w:rPr>
                <w:rFonts w:eastAsia="Times New Roman" w:cs="Times New Roman"/>
                <w:b/>
                <w:color w:val="000000"/>
                <w:sz w:val="18"/>
                <w:szCs w:val="18"/>
                <w:lang w:val="en-US"/>
              </w:rPr>
            </w:pPr>
          </w:p>
        </w:tc>
        <w:tc>
          <w:tcPr>
            <w:tcW w:w="1269" w:type="pct"/>
            <w:tcBorders>
              <w:top w:val="nil"/>
              <w:left w:val="nil"/>
              <w:bottom w:val="single" w:sz="4" w:space="0" w:color="auto"/>
              <w:right w:val="single" w:sz="4" w:space="0" w:color="auto"/>
            </w:tcBorders>
            <w:shd w:val="clear" w:color="auto" w:fill="auto"/>
            <w:noWrap/>
            <w:vAlign w:val="center"/>
            <w:hideMark/>
          </w:tcPr>
          <w:p w:rsidR="004E48A0" w:rsidRPr="00DE3248" w:rsidRDefault="004E48A0"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∆H</w:t>
            </w:r>
            <w:r w:rsidRPr="00DE3248">
              <w:rPr>
                <w:rFonts w:eastAsia="Times New Roman" w:cs="Times New Roman"/>
                <w:b/>
                <w:color w:val="000000"/>
                <w:sz w:val="18"/>
                <w:szCs w:val="18"/>
                <w:vertAlign w:val="subscript"/>
                <w:lang w:val="en-US"/>
              </w:rPr>
              <w:t xml:space="preserve">f </w:t>
            </w:r>
            <w:r w:rsidRPr="00DE3248">
              <w:rPr>
                <w:rFonts w:eastAsia="Times New Roman" w:cs="Times New Roman"/>
                <w:b/>
                <w:color w:val="000000"/>
                <w:sz w:val="18"/>
                <w:szCs w:val="18"/>
                <w:lang w:val="en-US"/>
              </w:rPr>
              <w:t>(raw material)</w:t>
            </w:r>
          </w:p>
        </w:tc>
        <w:tc>
          <w:tcPr>
            <w:tcW w:w="1416" w:type="pct"/>
            <w:tcBorders>
              <w:top w:val="nil"/>
              <w:left w:val="nil"/>
              <w:bottom w:val="single" w:sz="4" w:space="0" w:color="auto"/>
              <w:right w:val="single" w:sz="4" w:space="0" w:color="auto"/>
            </w:tcBorders>
            <w:shd w:val="clear" w:color="auto" w:fill="auto"/>
            <w:noWrap/>
            <w:vAlign w:val="center"/>
            <w:hideMark/>
          </w:tcPr>
          <w:p w:rsidR="004E48A0" w:rsidRPr="00DE3248" w:rsidRDefault="004E48A0"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∆H</w:t>
            </w:r>
            <w:r w:rsidR="008D799F" w:rsidRPr="00DE3248">
              <w:rPr>
                <w:rFonts w:eastAsia="Times New Roman" w:cs="Times New Roman"/>
                <w:b/>
                <w:color w:val="000000"/>
                <w:sz w:val="18"/>
                <w:szCs w:val="18"/>
                <w:vertAlign w:val="subscript"/>
                <w:lang w:val="en-US"/>
              </w:rPr>
              <w:t xml:space="preserve">f </w:t>
            </w:r>
            <w:r w:rsidRPr="00DE3248">
              <w:rPr>
                <w:rFonts w:eastAsia="Times New Roman" w:cs="Times New Roman"/>
                <w:b/>
                <w:color w:val="000000"/>
                <w:sz w:val="18"/>
                <w:szCs w:val="18"/>
                <w:lang w:val="en-US"/>
              </w:rPr>
              <w:t>(literature value)</w:t>
            </w:r>
          </w:p>
        </w:tc>
      </w:tr>
      <w:tr w:rsidR="00E70B1D" w:rsidRPr="00DE3248" w:rsidTr="00E70B1D">
        <w:trPr>
          <w:trHeight w:val="98"/>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LIT*</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75.85</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125.1</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102.26</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100.00</w:t>
            </w:r>
          </w:p>
        </w:tc>
      </w:tr>
      <w:tr w:rsidR="00E70B1D" w:rsidRPr="00DE3248" w:rsidTr="0066616E">
        <w:trPr>
          <w:trHeight w:val="134"/>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n3</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74.39</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122.3</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100.00</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97.79</w:t>
            </w:r>
          </w:p>
        </w:tc>
      </w:tr>
      <w:tr w:rsidR="00E70B1D" w:rsidRPr="00DE3248" w:rsidTr="00E70B1D">
        <w:trPr>
          <w:trHeight w:val="62"/>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p3</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74.39</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131.7</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107.69</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105.30</w:t>
            </w:r>
          </w:p>
        </w:tc>
      </w:tr>
      <w:tr w:rsidR="00E70B1D" w:rsidRPr="00DE3248" w:rsidTr="00E70B1D">
        <w:trPr>
          <w:trHeight w:val="62"/>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p4</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74.28</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129.1</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105.56</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103.22</w:t>
            </w:r>
          </w:p>
        </w:tc>
      </w:tr>
      <w:tr w:rsidR="00E70B1D" w:rsidRPr="00DE3248" w:rsidTr="00E70B1D">
        <w:trPr>
          <w:trHeight w:val="62"/>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p1</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74.38</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130.7</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106.87</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104.50</w:t>
            </w:r>
          </w:p>
        </w:tc>
      </w:tr>
      <w:tr w:rsidR="00E70B1D" w:rsidRPr="00DE3248" w:rsidTr="00E70B1D">
        <w:trPr>
          <w:trHeight w:val="62"/>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n1</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74.47</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131.9</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107.85</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105.46</w:t>
            </w:r>
          </w:p>
        </w:tc>
      </w:tr>
      <w:tr w:rsidR="00E70B1D" w:rsidRPr="00DE3248" w:rsidTr="00E70B1D">
        <w:trPr>
          <w:trHeight w:val="62"/>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p2</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74.01</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127.6</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104.33</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102.02</w:t>
            </w:r>
          </w:p>
        </w:tc>
      </w:tr>
      <w:tr w:rsidR="00E70B1D" w:rsidRPr="00DE3248" w:rsidTr="00E70B1D">
        <w:trPr>
          <w:trHeight w:val="107"/>
        </w:trPr>
        <w:tc>
          <w:tcPr>
            <w:tcW w:w="975" w:type="pct"/>
            <w:tcBorders>
              <w:top w:val="nil"/>
              <w:left w:val="single" w:sz="4" w:space="0" w:color="auto"/>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n2</w:t>
            </w:r>
          </w:p>
        </w:tc>
        <w:tc>
          <w:tcPr>
            <w:tcW w:w="62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74.36</w:t>
            </w:r>
          </w:p>
        </w:tc>
        <w:tc>
          <w:tcPr>
            <w:tcW w:w="714"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129.0</w:t>
            </w:r>
          </w:p>
        </w:tc>
        <w:tc>
          <w:tcPr>
            <w:tcW w:w="1269"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105.48</w:t>
            </w:r>
          </w:p>
        </w:tc>
        <w:tc>
          <w:tcPr>
            <w:tcW w:w="1416" w:type="pct"/>
            <w:tcBorders>
              <w:top w:val="nil"/>
              <w:left w:val="nil"/>
              <w:bottom w:val="single" w:sz="4" w:space="0" w:color="auto"/>
              <w:right w:val="single" w:sz="4" w:space="0" w:color="auto"/>
            </w:tcBorders>
            <w:shd w:val="clear" w:color="auto" w:fill="auto"/>
            <w:noWrap/>
            <w:vAlign w:val="bottom"/>
            <w:hideMark/>
          </w:tcPr>
          <w:p w:rsidR="004E48A0" w:rsidRPr="00DE3248" w:rsidRDefault="004E48A0" w:rsidP="000C255C">
            <w:pPr>
              <w:keepNext/>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103.14</w:t>
            </w:r>
          </w:p>
        </w:tc>
      </w:tr>
    </w:tbl>
    <w:p w:rsidR="00B87879" w:rsidRPr="00DE3248" w:rsidRDefault="00B87879" w:rsidP="00B87879"/>
    <w:p w:rsidR="0023546F" w:rsidRPr="00DE3248" w:rsidRDefault="0023546F" w:rsidP="000C255C">
      <w:pPr>
        <w:pStyle w:val="Caption"/>
        <w:keepNext/>
        <w:spacing w:before="120" w:after="120" w:line="480" w:lineRule="auto"/>
        <w:rPr>
          <w:rFonts w:cs="Times New Roman"/>
          <w:i w:val="0"/>
          <w:color w:val="auto"/>
        </w:rPr>
      </w:pPr>
      <w:r w:rsidRPr="00DE3248">
        <w:rPr>
          <w:rFonts w:cs="Times New Roman"/>
          <w:b/>
          <w:i w:val="0"/>
          <w:color w:val="auto"/>
        </w:rPr>
        <w:t>Table S</w:t>
      </w:r>
      <w:r w:rsidRPr="00DE3248">
        <w:rPr>
          <w:rFonts w:cs="Times New Roman"/>
          <w:b/>
          <w:i w:val="0"/>
          <w:color w:val="auto"/>
          <w:vertAlign w:val="subscript"/>
        </w:rPr>
        <w:t>1</w:t>
      </w:r>
      <w:r w:rsidRPr="00DE3248">
        <w:rPr>
          <w:rFonts w:cs="Times New Roman"/>
          <w:b/>
          <w:i w:val="0"/>
          <w:color w:val="auto"/>
        </w:rPr>
        <w:t>-</w:t>
      </w:r>
      <w:r w:rsidRPr="00DE3248">
        <w:rPr>
          <w:rFonts w:cs="Times New Roman"/>
          <w:b/>
          <w:i w:val="0"/>
          <w:color w:val="auto"/>
        </w:rPr>
        <w:fldChar w:fldCharType="begin"/>
      </w:r>
      <w:r w:rsidRPr="00DE3248">
        <w:rPr>
          <w:rFonts w:cs="Times New Roman"/>
          <w:b/>
          <w:i w:val="0"/>
          <w:color w:val="auto"/>
        </w:rPr>
        <w:instrText xml:space="preserve"> SEQ Table_S1 \* ARABIC </w:instrText>
      </w:r>
      <w:r w:rsidRPr="00DE3248">
        <w:rPr>
          <w:rFonts w:cs="Times New Roman"/>
          <w:b/>
          <w:i w:val="0"/>
          <w:color w:val="auto"/>
        </w:rPr>
        <w:fldChar w:fldCharType="separate"/>
      </w:r>
      <w:r w:rsidRPr="00DE3248">
        <w:rPr>
          <w:rFonts w:cs="Times New Roman"/>
          <w:b/>
          <w:i w:val="0"/>
          <w:noProof/>
          <w:color w:val="auto"/>
        </w:rPr>
        <w:t>2</w:t>
      </w:r>
      <w:r w:rsidRPr="00DE3248">
        <w:rPr>
          <w:rFonts w:cs="Times New Roman"/>
          <w:b/>
          <w:i w:val="0"/>
          <w:color w:val="auto"/>
        </w:rPr>
        <w:fldChar w:fldCharType="end"/>
      </w:r>
      <w:r w:rsidRPr="00DE3248">
        <w:rPr>
          <w:rFonts w:cs="Times New Roman"/>
          <w:i w:val="0"/>
          <w:color w:val="auto"/>
        </w:rPr>
        <w:t xml:space="preserve">. Percent </w:t>
      </w:r>
      <w:r w:rsidR="00C66A52" w:rsidRPr="00DE3248">
        <w:rPr>
          <w:rFonts w:cs="Times New Roman"/>
          <w:i w:val="0"/>
          <w:color w:val="auto"/>
        </w:rPr>
        <w:t>composition of MCC</w:t>
      </w:r>
      <w:r w:rsidR="00867412" w:rsidRPr="00DE3248">
        <w:rPr>
          <w:rFonts w:cs="Times New Roman"/>
          <w:i w:val="0"/>
          <w:color w:val="auto"/>
        </w:rPr>
        <w:t xml:space="preserve"> determined by DSC</w:t>
      </w:r>
      <w:r w:rsidRPr="00DE3248">
        <w:rPr>
          <w:rFonts w:cs="Times New Roman"/>
          <w:i w:val="0"/>
          <w:color w:val="auto"/>
        </w:rPr>
        <w:t xml:space="preserve"> and </w:t>
      </w:r>
      <w:r w:rsidR="00867412" w:rsidRPr="00DE3248">
        <w:rPr>
          <w:rFonts w:cs="Times New Roman"/>
          <w:i w:val="0"/>
          <w:color w:val="auto"/>
        </w:rPr>
        <w:t xml:space="preserve">the </w:t>
      </w:r>
      <w:r w:rsidRPr="00DE3248">
        <w:rPr>
          <w:rFonts w:cs="Times New Roman"/>
          <w:i w:val="0"/>
          <w:color w:val="auto"/>
        </w:rPr>
        <w:t xml:space="preserve">melting point </w:t>
      </w:r>
      <w:r w:rsidR="00867412" w:rsidRPr="00DE3248">
        <w:rPr>
          <w:rFonts w:cs="Times New Roman"/>
          <w:i w:val="0"/>
          <w:color w:val="auto"/>
        </w:rPr>
        <w:t xml:space="preserve">of </w:t>
      </w:r>
      <w:r w:rsidR="00C66A52" w:rsidRPr="00DE3248">
        <w:rPr>
          <w:rFonts w:cs="Times New Roman"/>
          <w:i w:val="0"/>
          <w:color w:val="auto"/>
        </w:rPr>
        <w:t xml:space="preserve">IBU in the physical mixture </w:t>
      </w:r>
      <w:r w:rsidRPr="00DE3248">
        <w:rPr>
          <w:rFonts w:cs="Times New Roman"/>
          <w:i w:val="0"/>
          <w:color w:val="auto"/>
        </w:rPr>
        <w:t>from DSC analysis</w:t>
      </w:r>
    </w:p>
    <w:tbl>
      <w:tblPr>
        <w:tblStyle w:val="TableGrid"/>
        <w:tblW w:w="0" w:type="auto"/>
        <w:tblLook w:val="04A0" w:firstRow="1" w:lastRow="0" w:firstColumn="1" w:lastColumn="0" w:noHBand="0" w:noVBand="1"/>
      </w:tblPr>
      <w:tblGrid>
        <w:gridCol w:w="1314"/>
        <w:gridCol w:w="685"/>
        <w:gridCol w:w="693"/>
        <w:gridCol w:w="660"/>
        <w:gridCol w:w="1193"/>
        <w:gridCol w:w="636"/>
        <w:gridCol w:w="664"/>
        <w:gridCol w:w="776"/>
        <w:gridCol w:w="664"/>
        <w:gridCol w:w="2065"/>
      </w:tblGrid>
      <w:tr w:rsidR="00887A0B" w:rsidRPr="00DE3248" w:rsidTr="00887A0B">
        <w:trPr>
          <w:trHeight w:val="377"/>
        </w:trPr>
        <w:tc>
          <w:tcPr>
            <w:tcW w:w="0" w:type="auto"/>
            <w:vMerge w:val="restart"/>
            <w:hideMark/>
          </w:tcPr>
          <w:p w:rsidR="00AD295E" w:rsidRPr="00DE3248" w:rsidRDefault="00AD295E" w:rsidP="00981C98">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xml:space="preserve">% </w:t>
            </w:r>
            <w:r w:rsidR="00981C98" w:rsidRPr="00DE3248">
              <w:rPr>
                <w:rFonts w:eastAsia="Times New Roman" w:cs="Times New Roman"/>
                <w:b/>
                <w:bCs/>
                <w:color w:val="000000"/>
                <w:sz w:val="18"/>
                <w:szCs w:val="18"/>
                <w:lang w:val="en-US"/>
              </w:rPr>
              <w:t xml:space="preserve">Theoretical </w:t>
            </w:r>
            <w:r w:rsidRPr="00DE3248">
              <w:rPr>
                <w:rFonts w:eastAsia="Times New Roman" w:cs="Times New Roman"/>
                <w:b/>
                <w:bCs/>
                <w:color w:val="000000"/>
                <w:sz w:val="18"/>
                <w:szCs w:val="18"/>
                <w:lang w:val="en-US"/>
              </w:rPr>
              <w:t>composition (MCC)</w:t>
            </w:r>
          </w:p>
        </w:tc>
        <w:tc>
          <w:tcPr>
            <w:tcW w:w="0" w:type="auto"/>
            <w:gridSpan w:val="2"/>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∆H</w:t>
            </w:r>
            <w:r w:rsidRPr="00DE3248">
              <w:rPr>
                <w:rFonts w:eastAsia="Times New Roman" w:cs="Times New Roman"/>
                <w:b/>
                <w:bCs/>
                <w:color w:val="000000"/>
                <w:sz w:val="18"/>
                <w:szCs w:val="18"/>
                <w:vertAlign w:val="subscript"/>
                <w:lang w:val="en-US"/>
              </w:rPr>
              <w:t>f</w:t>
            </w:r>
            <w:r w:rsidRPr="00DE3248">
              <w:rPr>
                <w:rFonts w:eastAsia="Times New Roman" w:cs="Times New Roman"/>
                <w:b/>
                <w:bCs/>
                <w:color w:val="000000"/>
                <w:sz w:val="18"/>
                <w:szCs w:val="18"/>
                <w:lang w:val="en-US"/>
              </w:rPr>
              <w:t xml:space="preserve"> (J/g) of IBU (n=3)</w:t>
            </w:r>
          </w:p>
        </w:tc>
        <w:tc>
          <w:tcPr>
            <w:tcW w:w="1887" w:type="dxa"/>
            <w:gridSpan w:val="2"/>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Composition of crystalline IBU (n=3)</w:t>
            </w:r>
          </w:p>
        </w:tc>
        <w:tc>
          <w:tcPr>
            <w:tcW w:w="1260" w:type="dxa"/>
            <w:gridSpan w:val="2"/>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Tm (</w:t>
            </w:r>
            <w:r w:rsidRPr="00DE3248">
              <w:rPr>
                <w:rFonts w:eastAsia="Times New Roman" w:cs="Times New Roman"/>
                <w:b/>
                <w:bCs/>
                <w:color w:val="000000"/>
                <w:sz w:val="18"/>
                <w:szCs w:val="18"/>
                <w:vertAlign w:val="superscript"/>
                <w:lang w:val="en-US"/>
              </w:rPr>
              <w:t>o</w:t>
            </w:r>
            <w:r w:rsidRPr="00DE3248">
              <w:rPr>
                <w:rFonts w:eastAsia="Times New Roman" w:cs="Times New Roman"/>
                <w:b/>
                <w:bCs/>
                <w:color w:val="000000"/>
                <w:sz w:val="18"/>
                <w:szCs w:val="18"/>
                <w:lang w:val="en-US"/>
              </w:rPr>
              <w:t>C) (n=3)</w:t>
            </w:r>
          </w:p>
        </w:tc>
        <w:tc>
          <w:tcPr>
            <w:tcW w:w="1440" w:type="dxa"/>
            <w:gridSpan w:val="2"/>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Composition of MCC (n=3)</w:t>
            </w:r>
          </w:p>
        </w:tc>
        <w:tc>
          <w:tcPr>
            <w:tcW w:w="2065" w:type="dxa"/>
            <w:vMerge w:val="restart"/>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error| [(exp</w:t>
            </w:r>
            <w:r w:rsidR="00EA368B" w:rsidRPr="00DE3248">
              <w:rPr>
                <w:rFonts w:eastAsia="Times New Roman" w:cs="Times New Roman"/>
                <w:b/>
                <w:bCs/>
                <w:color w:val="000000"/>
                <w:sz w:val="18"/>
                <w:szCs w:val="18"/>
                <w:lang w:val="en-US"/>
              </w:rPr>
              <w:t>erimental</w:t>
            </w:r>
            <w:r w:rsidRPr="00DE3248">
              <w:rPr>
                <w:rFonts w:eastAsia="Times New Roman" w:cs="Times New Roman"/>
                <w:b/>
                <w:bCs/>
                <w:color w:val="000000"/>
                <w:sz w:val="18"/>
                <w:szCs w:val="18"/>
                <w:lang w:val="en-US"/>
              </w:rPr>
              <w:t>-theoretical)/theoretical]</w:t>
            </w:r>
          </w:p>
        </w:tc>
      </w:tr>
      <w:tr w:rsidR="00981C98" w:rsidRPr="00DE3248" w:rsidTr="0066616E">
        <w:trPr>
          <w:trHeight w:val="134"/>
        </w:trPr>
        <w:tc>
          <w:tcPr>
            <w:tcW w:w="0" w:type="auto"/>
            <w:vMerge/>
            <w:hideMark/>
          </w:tcPr>
          <w:p w:rsidR="00AD295E" w:rsidRPr="00DE3248" w:rsidRDefault="00AD295E" w:rsidP="000C255C">
            <w:pPr>
              <w:spacing w:line="480" w:lineRule="auto"/>
              <w:rPr>
                <w:rFonts w:eastAsia="Times New Roman" w:cs="Times New Roman"/>
                <w:bCs/>
                <w:color w:val="000000"/>
                <w:sz w:val="18"/>
                <w:szCs w:val="18"/>
                <w:lang w:val="en-US"/>
              </w:rPr>
            </w:pPr>
          </w:p>
        </w:tc>
        <w:tc>
          <w:tcPr>
            <w:tcW w:w="0" w:type="auto"/>
            <w:noWrap/>
            <w:hideMark/>
          </w:tcPr>
          <w:p w:rsidR="00AD295E" w:rsidRPr="00DE3248" w:rsidRDefault="00B87879"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M</w:t>
            </w:r>
            <w:r w:rsidR="00AD295E" w:rsidRPr="00DE3248">
              <w:rPr>
                <w:rFonts w:eastAsia="Times New Roman" w:cs="Times New Roman"/>
                <w:b/>
                <w:bCs/>
                <w:color w:val="000000"/>
                <w:sz w:val="18"/>
                <w:szCs w:val="18"/>
                <w:lang w:val="en-US"/>
              </w:rPr>
              <w:t>ean</w:t>
            </w:r>
          </w:p>
        </w:tc>
        <w:tc>
          <w:tcPr>
            <w:tcW w:w="0" w:type="auto"/>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SD(</w:t>
            </w:r>
            <w:r w:rsidRPr="00DE3248">
              <w:rPr>
                <w:rFonts w:cs="Times New Roman"/>
                <w:b/>
                <w:bCs/>
                <w:color w:val="222222"/>
                <w:sz w:val="18"/>
                <w:szCs w:val="18"/>
                <w:shd w:val="clear" w:color="auto" w:fill="FFFFFF"/>
              </w:rPr>
              <w:t>σ)</w:t>
            </w:r>
          </w:p>
        </w:tc>
        <w:tc>
          <w:tcPr>
            <w:tcW w:w="0" w:type="auto"/>
            <w:noWrap/>
            <w:hideMark/>
          </w:tcPr>
          <w:p w:rsidR="00AD295E" w:rsidRPr="00DE3248" w:rsidRDefault="00361069"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M</w:t>
            </w:r>
            <w:r w:rsidR="00AD295E" w:rsidRPr="00DE3248">
              <w:rPr>
                <w:rFonts w:eastAsia="Times New Roman" w:cs="Times New Roman"/>
                <w:b/>
                <w:bCs/>
                <w:color w:val="000000"/>
                <w:sz w:val="18"/>
                <w:szCs w:val="18"/>
                <w:lang w:val="en-US"/>
              </w:rPr>
              <w:t>ean</w:t>
            </w:r>
          </w:p>
        </w:tc>
        <w:tc>
          <w:tcPr>
            <w:tcW w:w="1128" w:type="dxa"/>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SD(</w:t>
            </w:r>
            <w:r w:rsidRPr="00DE3248">
              <w:rPr>
                <w:rFonts w:cs="Times New Roman"/>
                <w:b/>
                <w:bCs/>
                <w:color w:val="222222"/>
                <w:sz w:val="18"/>
                <w:szCs w:val="18"/>
                <w:shd w:val="clear" w:color="auto" w:fill="FFFFFF"/>
              </w:rPr>
              <w:t>σ)</w:t>
            </w:r>
          </w:p>
        </w:tc>
        <w:tc>
          <w:tcPr>
            <w:tcW w:w="596" w:type="dxa"/>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mean</w:t>
            </w:r>
          </w:p>
        </w:tc>
        <w:tc>
          <w:tcPr>
            <w:tcW w:w="664" w:type="dxa"/>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SD(</w:t>
            </w:r>
            <w:r w:rsidRPr="00DE3248">
              <w:rPr>
                <w:rFonts w:cs="Times New Roman"/>
                <w:b/>
                <w:bCs/>
                <w:color w:val="222222"/>
                <w:sz w:val="18"/>
                <w:szCs w:val="18"/>
                <w:shd w:val="clear" w:color="auto" w:fill="FFFFFF"/>
              </w:rPr>
              <w:t>σ)</w:t>
            </w:r>
          </w:p>
        </w:tc>
        <w:tc>
          <w:tcPr>
            <w:tcW w:w="776" w:type="dxa"/>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mean</w:t>
            </w:r>
          </w:p>
        </w:tc>
        <w:tc>
          <w:tcPr>
            <w:tcW w:w="664" w:type="dxa"/>
            <w:noWrap/>
            <w:hideMark/>
          </w:tcPr>
          <w:p w:rsidR="00AD295E" w:rsidRPr="00DE3248" w:rsidRDefault="00AD295E" w:rsidP="000C255C">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SD(</w:t>
            </w:r>
            <w:r w:rsidRPr="00DE3248">
              <w:rPr>
                <w:rFonts w:cs="Times New Roman"/>
                <w:b/>
                <w:bCs/>
                <w:color w:val="222222"/>
                <w:sz w:val="18"/>
                <w:szCs w:val="18"/>
                <w:shd w:val="clear" w:color="auto" w:fill="FFFFFF"/>
              </w:rPr>
              <w:t>σ)</w:t>
            </w:r>
          </w:p>
        </w:tc>
        <w:tc>
          <w:tcPr>
            <w:tcW w:w="2065" w:type="dxa"/>
            <w:vMerge/>
          </w:tcPr>
          <w:p w:rsidR="00AD295E" w:rsidRPr="00DE3248" w:rsidRDefault="00AD295E" w:rsidP="000C255C">
            <w:pPr>
              <w:spacing w:line="480" w:lineRule="auto"/>
              <w:jc w:val="center"/>
              <w:rPr>
                <w:rFonts w:eastAsia="Times New Roman" w:cs="Times New Roman"/>
                <w:bCs/>
                <w:color w:val="000000"/>
                <w:sz w:val="18"/>
                <w:szCs w:val="18"/>
                <w:lang w:val="en-US"/>
              </w:rPr>
            </w:pPr>
          </w:p>
        </w:tc>
      </w:tr>
      <w:tr w:rsidR="00981C98" w:rsidRPr="00DE3248" w:rsidTr="00887A0B">
        <w:trPr>
          <w:trHeight w:val="170"/>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100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100.0</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2065" w:type="dxa"/>
          </w:tcPr>
          <w:p w:rsidR="00EA368B" w:rsidRPr="00DE3248" w:rsidRDefault="00EA368B" w:rsidP="000C255C">
            <w:pPr>
              <w:spacing w:line="480" w:lineRule="auto"/>
              <w:jc w:val="right"/>
              <w:rPr>
                <w:rFonts w:cs="Times New Roman"/>
                <w:color w:val="000000"/>
                <w:sz w:val="18"/>
                <w:szCs w:val="18"/>
                <w:lang w:val="en-US"/>
              </w:rPr>
            </w:pPr>
            <w:r w:rsidRPr="00DE3248">
              <w:rPr>
                <w:rFonts w:cs="Times New Roman"/>
                <w:color w:val="000000"/>
                <w:sz w:val="18"/>
                <w:szCs w:val="18"/>
              </w:rPr>
              <w:t>0</w:t>
            </w:r>
          </w:p>
        </w:tc>
      </w:tr>
      <w:tr w:rsidR="00981C98" w:rsidRPr="00DE3248" w:rsidTr="00887A0B">
        <w:trPr>
          <w:trHeight w:val="143"/>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90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10.7</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1.6</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8.7</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1.3</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70.3</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0.3</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91.3</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1.3</w:t>
            </w:r>
          </w:p>
        </w:tc>
        <w:tc>
          <w:tcPr>
            <w:tcW w:w="2065" w:type="dxa"/>
          </w:tcPr>
          <w:p w:rsidR="00EA368B" w:rsidRPr="00DE3248" w:rsidRDefault="00EA368B" w:rsidP="000C255C">
            <w:pPr>
              <w:spacing w:line="480" w:lineRule="auto"/>
              <w:jc w:val="right"/>
              <w:rPr>
                <w:rFonts w:cs="Times New Roman"/>
                <w:color w:val="000000"/>
                <w:sz w:val="18"/>
                <w:szCs w:val="18"/>
              </w:rPr>
            </w:pPr>
            <w:r w:rsidRPr="00DE3248">
              <w:rPr>
                <w:rFonts w:cs="Times New Roman"/>
                <w:color w:val="000000"/>
                <w:sz w:val="18"/>
                <w:szCs w:val="18"/>
              </w:rPr>
              <w:t>1.47</w:t>
            </w:r>
          </w:p>
        </w:tc>
      </w:tr>
      <w:tr w:rsidR="00981C98" w:rsidRPr="00DE3248" w:rsidTr="00887A0B">
        <w:trPr>
          <w:trHeight w:val="107"/>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38.6</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1.6</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31.1</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1.3</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70.1</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0.4</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68.9</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1.3</w:t>
            </w:r>
          </w:p>
        </w:tc>
        <w:tc>
          <w:tcPr>
            <w:tcW w:w="2065" w:type="dxa"/>
          </w:tcPr>
          <w:p w:rsidR="00EA368B" w:rsidRPr="00DE3248" w:rsidRDefault="00EA368B" w:rsidP="000C255C">
            <w:pPr>
              <w:spacing w:line="480" w:lineRule="auto"/>
              <w:jc w:val="right"/>
              <w:rPr>
                <w:rFonts w:cs="Times New Roman"/>
                <w:color w:val="000000"/>
                <w:sz w:val="18"/>
                <w:szCs w:val="18"/>
              </w:rPr>
            </w:pPr>
            <w:r w:rsidRPr="00DE3248">
              <w:rPr>
                <w:rFonts w:cs="Times New Roman"/>
                <w:color w:val="000000"/>
                <w:sz w:val="18"/>
                <w:szCs w:val="18"/>
              </w:rPr>
              <w:t>1.62</w:t>
            </w:r>
          </w:p>
        </w:tc>
      </w:tr>
      <w:tr w:rsidR="00981C98" w:rsidRPr="00DE3248" w:rsidTr="00887A0B">
        <w:trPr>
          <w:trHeight w:val="161"/>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50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60.3</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4.5</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48.7</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3.6</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70.6</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0.3</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51.3</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3.6</w:t>
            </w:r>
          </w:p>
        </w:tc>
        <w:tc>
          <w:tcPr>
            <w:tcW w:w="2065" w:type="dxa"/>
          </w:tcPr>
          <w:p w:rsidR="00EA368B" w:rsidRPr="00DE3248" w:rsidRDefault="00EA368B" w:rsidP="000C255C">
            <w:pPr>
              <w:spacing w:line="480" w:lineRule="auto"/>
              <w:jc w:val="right"/>
              <w:rPr>
                <w:rFonts w:cs="Times New Roman"/>
                <w:color w:val="000000"/>
                <w:sz w:val="18"/>
                <w:szCs w:val="18"/>
              </w:rPr>
            </w:pPr>
            <w:r w:rsidRPr="00DE3248">
              <w:rPr>
                <w:rFonts w:cs="Times New Roman"/>
                <w:color w:val="000000"/>
                <w:sz w:val="18"/>
                <w:szCs w:val="18"/>
              </w:rPr>
              <w:t>2.63</w:t>
            </w:r>
          </w:p>
        </w:tc>
      </w:tr>
      <w:tr w:rsidR="00981C98" w:rsidRPr="00DE3248" w:rsidTr="00887A0B">
        <w:trPr>
          <w:trHeight w:val="206"/>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87.5</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4.1</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70.7</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3.3</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70.9</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0.4</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29.3</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3.3</w:t>
            </w:r>
          </w:p>
        </w:tc>
        <w:tc>
          <w:tcPr>
            <w:tcW w:w="2065" w:type="dxa"/>
          </w:tcPr>
          <w:p w:rsidR="00EA368B" w:rsidRPr="00DE3248" w:rsidRDefault="00EA368B" w:rsidP="000C255C">
            <w:pPr>
              <w:spacing w:line="480" w:lineRule="auto"/>
              <w:jc w:val="right"/>
              <w:rPr>
                <w:rFonts w:cs="Times New Roman"/>
                <w:color w:val="000000"/>
                <w:sz w:val="18"/>
                <w:szCs w:val="18"/>
              </w:rPr>
            </w:pPr>
            <w:r w:rsidRPr="00DE3248">
              <w:rPr>
                <w:rFonts w:cs="Times New Roman"/>
                <w:color w:val="000000"/>
                <w:sz w:val="18"/>
                <w:szCs w:val="18"/>
              </w:rPr>
              <w:t>2.30</w:t>
            </w:r>
          </w:p>
        </w:tc>
      </w:tr>
      <w:tr w:rsidR="00981C98" w:rsidRPr="00DE3248" w:rsidTr="00887A0B">
        <w:trPr>
          <w:trHeight w:val="170"/>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110.6</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0.7</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89.3</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0.5</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71.0</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0.2</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10.7</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0.5</w:t>
            </w:r>
          </w:p>
        </w:tc>
        <w:tc>
          <w:tcPr>
            <w:tcW w:w="2065" w:type="dxa"/>
          </w:tcPr>
          <w:p w:rsidR="00EA368B" w:rsidRPr="00DE3248" w:rsidRDefault="00EA368B" w:rsidP="000C255C">
            <w:pPr>
              <w:spacing w:line="480" w:lineRule="auto"/>
              <w:jc w:val="right"/>
              <w:rPr>
                <w:rFonts w:cs="Times New Roman"/>
                <w:color w:val="000000"/>
                <w:sz w:val="18"/>
                <w:szCs w:val="18"/>
              </w:rPr>
            </w:pPr>
            <w:r w:rsidRPr="00DE3248">
              <w:rPr>
                <w:rFonts w:cs="Times New Roman"/>
                <w:color w:val="000000"/>
                <w:sz w:val="18"/>
                <w:szCs w:val="18"/>
              </w:rPr>
              <w:t>6.59</w:t>
            </w:r>
          </w:p>
        </w:tc>
      </w:tr>
      <w:tr w:rsidR="00981C98" w:rsidRPr="00DE3248" w:rsidTr="00887A0B">
        <w:trPr>
          <w:trHeight w:val="134"/>
        </w:trPr>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123.8</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0.5</w:t>
            </w:r>
          </w:p>
        </w:tc>
        <w:tc>
          <w:tcPr>
            <w:tcW w:w="0" w:type="auto"/>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100.0</w:t>
            </w:r>
          </w:p>
        </w:tc>
        <w:tc>
          <w:tcPr>
            <w:tcW w:w="1128"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0.4</w:t>
            </w:r>
          </w:p>
        </w:tc>
        <w:tc>
          <w:tcPr>
            <w:tcW w:w="59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71.2</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0.3</w:t>
            </w:r>
          </w:p>
        </w:tc>
        <w:tc>
          <w:tcPr>
            <w:tcW w:w="776"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w:t>
            </w:r>
          </w:p>
        </w:tc>
        <w:tc>
          <w:tcPr>
            <w:tcW w:w="664" w:type="dxa"/>
            <w:noWrap/>
            <w:hideMark/>
          </w:tcPr>
          <w:p w:rsidR="00EA368B" w:rsidRPr="00DE3248" w:rsidRDefault="00EA368B" w:rsidP="000C255C">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0.4</w:t>
            </w:r>
          </w:p>
        </w:tc>
        <w:tc>
          <w:tcPr>
            <w:tcW w:w="2065" w:type="dxa"/>
          </w:tcPr>
          <w:p w:rsidR="00EA368B" w:rsidRPr="00DE3248" w:rsidRDefault="00EA368B" w:rsidP="000C255C">
            <w:pPr>
              <w:spacing w:line="480" w:lineRule="auto"/>
              <w:jc w:val="right"/>
              <w:rPr>
                <w:rFonts w:cs="Times New Roman"/>
                <w:color w:val="000000"/>
                <w:sz w:val="18"/>
                <w:szCs w:val="18"/>
              </w:rPr>
            </w:pPr>
            <w:r w:rsidRPr="00DE3248">
              <w:rPr>
                <w:rFonts w:cs="Times New Roman"/>
                <w:color w:val="000000"/>
                <w:sz w:val="18"/>
                <w:szCs w:val="18"/>
              </w:rPr>
              <w:t>NN</w:t>
            </w:r>
          </w:p>
        </w:tc>
      </w:tr>
    </w:tbl>
    <w:p w:rsidR="00BF0B37" w:rsidRPr="00DE3248" w:rsidRDefault="00BF0B37" w:rsidP="000C255C">
      <w:pPr>
        <w:spacing w:before="120" w:after="120" w:line="480" w:lineRule="auto"/>
        <w:rPr>
          <w:rFonts w:cs="Times New Roman"/>
          <w:b/>
          <w:szCs w:val="24"/>
        </w:rPr>
      </w:pPr>
    </w:p>
    <w:p w:rsidR="003F182D" w:rsidRPr="00DE3248" w:rsidRDefault="003F182D" w:rsidP="000C255C">
      <w:pPr>
        <w:spacing w:before="120" w:after="120" w:line="480" w:lineRule="auto"/>
        <w:rPr>
          <w:rFonts w:cs="Times New Roman"/>
          <w:b/>
          <w:szCs w:val="24"/>
        </w:rPr>
      </w:pPr>
      <w:r w:rsidRPr="00DE3248">
        <w:rPr>
          <w:rFonts w:cs="Times New Roman"/>
          <w:b/>
          <w:szCs w:val="24"/>
        </w:rPr>
        <w:lastRenderedPageBreak/>
        <w:t>S</w:t>
      </w:r>
      <w:r w:rsidRPr="00DE3248">
        <w:rPr>
          <w:rFonts w:cs="Times New Roman"/>
          <w:b/>
          <w:szCs w:val="24"/>
          <w:vertAlign w:val="subscript"/>
        </w:rPr>
        <w:t>2</w:t>
      </w:r>
      <w:r w:rsidRPr="00DE3248">
        <w:rPr>
          <w:rFonts w:cs="Times New Roman"/>
          <w:b/>
          <w:szCs w:val="24"/>
        </w:rPr>
        <w:t xml:space="preserve">. </w:t>
      </w:r>
      <w:r w:rsidR="00361069" w:rsidRPr="00DE3248">
        <w:rPr>
          <w:rFonts w:cs="Times New Roman"/>
          <w:b/>
          <w:szCs w:val="24"/>
        </w:rPr>
        <w:t>“Dynamic” and “Static</w:t>
      </w:r>
      <w:r w:rsidR="00470D70" w:rsidRPr="00DE3248">
        <w:rPr>
          <w:rFonts w:cs="Times New Roman"/>
          <w:b/>
          <w:szCs w:val="24"/>
        </w:rPr>
        <w:t>” Powder Flow Properties of S</w:t>
      </w:r>
      <w:r w:rsidR="007D66F3" w:rsidRPr="00DE3248">
        <w:rPr>
          <w:rFonts w:cs="Times New Roman"/>
          <w:b/>
          <w:szCs w:val="24"/>
        </w:rPr>
        <w:t xml:space="preserve">ingle </w:t>
      </w:r>
      <w:r w:rsidR="00470D70" w:rsidRPr="00DE3248">
        <w:rPr>
          <w:rFonts w:cs="Times New Roman"/>
          <w:b/>
          <w:szCs w:val="24"/>
        </w:rPr>
        <w:t>Component S</w:t>
      </w:r>
      <w:r w:rsidR="007D66F3" w:rsidRPr="00DE3248">
        <w:rPr>
          <w:rFonts w:cs="Times New Roman"/>
          <w:b/>
          <w:szCs w:val="24"/>
        </w:rPr>
        <w:t>ystems</w:t>
      </w:r>
    </w:p>
    <w:p w:rsidR="005C2D08" w:rsidRPr="00DE3248" w:rsidRDefault="005C2D08" w:rsidP="000C255C">
      <w:pPr>
        <w:spacing w:before="120" w:after="120" w:line="480" w:lineRule="auto"/>
        <w:jc w:val="both"/>
        <w:rPr>
          <w:rFonts w:cs="Times New Roman"/>
          <w:szCs w:val="24"/>
        </w:rPr>
      </w:pPr>
      <w:r w:rsidRPr="00DE3248">
        <w:rPr>
          <w:rFonts w:cs="Times New Roman"/>
          <w:b/>
          <w:noProof/>
          <w:szCs w:val="24"/>
          <w:lang w:eastAsia="en-IE"/>
        </w:rPr>
        <mc:AlternateContent>
          <mc:Choice Requires="wps">
            <w:drawing>
              <wp:anchor distT="45720" distB="45720" distL="114300" distR="114300" simplePos="0" relativeHeight="251661312" behindDoc="0" locked="0" layoutInCell="1" allowOverlap="1" wp14:anchorId="1CF4A2DF" wp14:editId="701912A3">
                <wp:simplePos x="0" y="0"/>
                <wp:positionH relativeFrom="column">
                  <wp:posOffset>15875</wp:posOffset>
                </wp:positionH>
                <wp:positionV relativeFrom="paragraph">
                  <wp:posOffset>80122</wp:posOffset>
                </wp:positionV>
                <wp:extent cx="328773" cy="256854"/>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3B4276">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type w14:anchorId="1CF4A2DF" id="_x0000_t202" coordsize="21600,21600" o:spt="202" path="m,l,21600r21600,l21600,xe">
                <v:stroke joinstyle="miter"/>
                <v:path gradientshapeok="t" o:connecttype="rect"/>
              </v:shapetype>
              <v:shape id="Text Box 2" o:spid="_x0000_s1026" type="#_x0000_t202" style="position:absolute;left:0;text-align:left;margin-left:1.25pt;margin-top:6.3pt;width:25.9pt;height:2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" filled="f" stroked="f">
                <v:textbox>
                  <w:txbxContent>
                    <w:p w:rsidR="008162A4" w:rsidRDefault="008162A4" w:rsidP="003B4276">
                      <w:r>
                        <w:t>a.</w:t>
                      </w:r>
                    </w:p>
                  </w:txbxContent>
                </v:textbox>
              </v:shape>
            </w:pict>
          </mc:Fallback>
        </mc:AlternateContent>
      </w:r>
      <w:r w:rsidRPr="00DE3248">
        <w:rPr>
          <w:rFonts w:cs="Times New Roman"/>
          <w:noProof/>
          <w:lang w:eastAsia="en-IE"/>
        </w:rPr>
        <w:drawing>
          <wp:inline distT="0" distB="0" distL="0" distR="0" wp14:anchorId="06392506" wp14:editId="594E00D7">
            <wp:extent cx="2909090" cy="2194560"/>
            <wp:effectExtent l="0" t="0" r="571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9090" cy="2194560"/>
                    </a:xfrm>
                    <a:prstGeom prst="rect">
                      <a:avLst/>
                    </a:prstGeom>
                    <a:noFill/>
                    <a:extLst/>
                  </pic:spPr>
                </pic:pic>
              </a:graphicData>
            </a:graphic>
          </wp:inline>
        </w:drawing>
      </w:r>
      <w:r w:rsidRPr="00DE3248">
        <w:rPr>
          <w:rFonts w:cs="Times New Roman"/>
          <w:szCs w:val="24"/>
        </w:rPr>
        <w:t xml:space="preserve"> </w:t>
      </w:r>
      <w:r w:rsidRPr="00DE3248">
        <w:rPr>
          <w:rFonts w:cs="Times New Roman"/>
          <w:noProof/>
          <w:lang w:eastAsia="en-IE"/>
        </w:rPr>
        <w:drawing>
          <wp:inline distT="0" distB="0" distL="0" distR="0" wp14:anchorId="208311A6" wp14:editId="5F48C31A">
            <wp:extent cx="2936957" cy="219456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6957" cy="2194560"/>
                    </a:xfrm>
                    <a:prstGeom prst="rect">
                      <a:avLst/>
                    </a:prstGeom>
                    <a:noFill/>
                    <a:extLst/>
                  </pic:spPr>
                </pic:pic>
              </a:graphicData>
            </a:graphic>
          </wp:inline>
        </w:drawing>
      </w:r>
    </w:p>
    <w:p w:rsidR="007D66F3" w:rsidRPr="00DE3248" w:rsidRDefault="003B4276" w:rsidP="000C255C">
      <w:pPr>
        <w:keepNext/>
        <w:spacing w:line="480" w:lineRule="auto"/>
        <w:rPr>
          <w:rFonts w:cs="Times New Roman"/>
        </w:rPr>
      </w:pPr>
      <w:r w:rsidRPr="00DE3248">
        <w:rPr>
          <w:rFonts w:cs="Times New Roman"/>
          <w:b/>
          <w:noProof/>
          <w:szCs w:val="24"/>
          <w:lang w:eastAsia="en-IE"/>
        </w:rPr>
        <mc:AlternateContent>
          <mc:Choice Requires="wps">
            <w:drawing>
              <wp:anchor distT="45720" distB="45720" distL="114300" distR="114300" simplePos="0" relativeHeight="251659264" behindDoc="0" locked="0" layoutInCell="1" allowOverlap="1" wp14:anchorId="090B5046" wp14:editId="1213384B">
                <wp:simplePos x="0" y="0"/>
                <wp:positionH relativeFrom="column">
                  <wp:posOffset>10160</wp:posOffset>
                </wp:positionH>
                <wp:positionV relativeFrom="paragraph">
                  <wp:posOffset>76312</wp:posOffset>
                </wp:positionV>
                <wp:extent cx="328773" cy="256854"/>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090B5046" id="_x0000_s1027" type="#_x0000_t202" style="position:absolute;margin-left:.8pt;margin-top:6pt;width:25.9pt;height:2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" filled="f" stroked="f">
                <v:textbox>
                  <w:txbxContent>
                    <w:p w:rsidR="008162A4" w:rsidRDefault="008162A4">
                      <w:r>
                        <w:t>b..</w:t>
                      </w:r>
                    </w:p>
                  </w:txbxContent>
                </v:textbox>
              </v:shape>
            </w:pict>
          </mc:Fallback>
        </mc:AlternateContent>
      </w:r>
      <w:r w:rsidRPr="00DE3248">
        <w:rPr>
          <w:rFonts w:cs="Times New Roman"/>
          <w:noProof/>
          <w:lang w:eastAsia="en-IE"/>
        </w:rPr>
        <w:drawing>
          <wp:inline distT="0" distB="0" distL="0" distR="0" wp14:anchorId="066344D4" wp14:editId="2954399B">
            <wp:extent cx="2908263" cy="2194560"/>
            <wp:effectExtent l="0" t="0" r="698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8263" cy="2194560"/>
                    </a:xfrm>
                    <a:prstGeom prst="rect">
                      <a:avLst/>
                    </a:prstGeom>
                    <a:noFill/>
                    <a:extLst/>
                  </pic:spPr>
                </pic:pic>
              </a:graphicData>
            </a:graphic>
          </wp:inline>
        </w:drawing>
      </w:r>
      <w:r w:rsidRPr="00DE3248">
        <w:rPr>
          <w:rFonts w:cs="Times New Roman"/>
          <w:noProof/>
          <w:lang w:val="en-US"/>
        </w:rPr>
        <w:t xml:space="preserve">  </w:t>
      </w:r>
      <w:r w:rsidRPr="00DE3248">
        <w:rPr>
          <w:rFonts w:cs="Times New Roman"/>
          <w:noProof/>
          <w:lang w:eastAsia="en-IE"/>
        </w:rPr>
        <w:drawing>
          <wp:inline distT="0" distB="0" distL="0" distR="0" wp14:anchorId="1F32B8D1" wp14:editId="77E8E4AB">
            <wp:extent cx="2929001" cy="2194560"/>
            <wp:effectExtent l="0" t="0" r="508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9001" cy="2194560"/>
                    </a:xfrm>
                    <a:prstGeom prst="rect">
                      <a:avLst/>
                    </a:prstGeom>
                    <a:noFill/>
                    <a:extLst/>
                  </pic:spPr>
                </pic:pic>
              </a:graphicData>
            </a:graphic>
          </wp:inline>
        </w:drawing>
      </w:r>
    </w:p>
    <w:p w:rsidR="000C255C" w:rsidRPr="00DE3248" w:rsidRDefault="007D66F3" w:rsidP="000C255C">
      <w:pPr>
        <w:pStyle w:val="Caption"/>
        <w:spacing w:before="120" w:after="120" w:line="480" w:lineRule="auto"/>
        <w:rPr>
          <w:rFonts w:cs="Times New Roman"/>
          <w:i w:val="0"/>
          <w:noProof/>
          <w:color w:val="000000" w:themeColor="text1"/>
          <w:lang w:val="en-US"/>
        </w:rPr>
      </w:pPr>
      <w:r w:rsidRPr="00DE3248">
        <w:rPr>
          <w:rFonts w:cs="Times New Roman"/>
          <w:b/>
          <w:i w:val="0"/>
          <w:color w:val="000000" w:themeColor="text1"/>
        </w:rPr>
        <w:t>Figure S</w:t>
      </w:r>
      <w:r w:rsidRPr="00DE3248">
        <w:rPr>
          <w:rFonts w:cs="Times New Roman"/>
          <w:b/>
          <w:i w:val="0"/>
          <w:color w:val="000000" w:themeColor="text1"/>
          <w:vertAlign w:val="subscript"/>
        </w:rPr>
        <w:t>2</w:t>
      </w:r>
      <w:r w:rsidR="00974CCA" w:rsidRPr="00DE3248">
        <w:rPr>
          <w:rFonts w:cs="Times New Roman"/>
          <w:b/>
          <w:i w:val="0"/>
          <w:color w:val="000000" w:themeColor="text1"/>
        </w:rPr>
        <w:t>-</w:t>
      </w:r>
      <w:r w:rsidRPr="00DE3248">
        <w:rPr>
          <w:rFonts w:cs="Times New Roman"/>
          <w:b/>
          <w:i w:val="0"/>
          <w:color w:val="000000" w:themeColor="text1"/>
        </w:rPr>
        <w:fldChar w:fldCharType="begin"/>
      </w:r>
      <w:r w:rsidRPr="00DE3248">
        <w:rPr>
          <w:rFonts w:cs="Times New Roman"/>
          <w:b/>
          <w:i w:val="0"/>
          <w:color w:val="000000" w:themeColor="text1"/>
        </w:rPr>
        <w:instrText xml:space="preserve"> SEQ Figure_S2 \* ARABIC </w:instrText>
      </w:r>
      <w:r w:rsidRPr="00DE3248">
        <w:rPr>
          <w:rFonts w:cs="Times New Roman"/>
          <w:b/>
          <w:i w:val="0"/>
          <w:color w:val="000000" w:themeColor="text1"/>
        </w:rPr>
        <w:fldChar w:fldCharType="separate"/>
      </w:r>
      <w:r w:rsidRPr="00DE3248">
        <w:rPr>
          <w:rFonts w:cs="Times New Roman"/>
          <w:b/>
          <w:i w:val="0"/>
          <w:noProof/>
          <w:color w:val="000000" w:themeColor="text1"/>
        </w:rPr>
        <w:t>1</w:t>
      </w:r>
      <w:r w:rsidRPr="00DE3248">
        <w:rPr>
          <w:rFonts w:cs="Times New Roman"/>
          <w:b/>
          <w:i w:val="0"/>
          <w:color w:val="000000" w:themeColor="text1"/>
        </w:rPr>
        <w:fldChar w:fldCharType="end"/>
      </w:r>
      <w:r w:rsidRPr="00DE3248">
        <w:rPr>
          <w:rFonts w:cs="Times New Roman"/>
          <w:b/>
          <w:i w:val="0"/>
          <w:color w:val="000000" w:themeColor="text1"/>
        </w:rPr>
        <w:t>.</w:t>
      </w:r>
      <w:r w:rsidRPr="00DE3248">
        <w:rPr>
          <w:rFonts w:cs="Times New Roman"/>
          <w:i w:val="0"/>
          <w:color w:val="000000" w:themeColor="text1"/>
        </w:rPr>
        <w:t xml:space="preserve"> Multiple scatter and regression coefficient for</w:t>
      </w:r>
      <w:r w:rsidR="00361069" w:rsidRPr="00DE3248">
        <w:rPr>
          <w:rFonts w:cs="Times New Roman"/>
          <w:i w:val="0"/>
          <w:color w:val="000000" w:themeColor="text1"/>
        </w:rPr>
        <w:t xml:space="preserve"> correlation between “static</w:t>
      </w:r>
      <w:r w:rsidRPr="00DE3248">
        <w:rPr>
          <w:rFonts w:cs="Times New Roman"/>
          <w:i w:val="0"/>
          <w:color w:val="000000" w:themeColor="text1"/>
        </w:rPr>
        <w:t xml:space="preserve">” powder flow properties, shear cell analysis, (a) FF and (b) </w:t>
      </w:r>
      <w:r w:rsidR="0043567F" w:rsidRPr="00DE3248">
        <w:rPr>
          <w:rFonts w:cs="Times New Roman"/>
          <w:i w:val="0"/>
          <w:color w:val="000000" w:themeColor="text1"/>
        </w:rPr>
        <w:t>cohesion, and</w:t>
      </w:r>
      <w:r w:rsidR="00747BA9" w:rsidRPr="00DE3248">
        <w:rPr>
          <w:rFonts w:cs="Times New Roman"/>
          <w:i w:val="0"/>
          <w:color w:val="000000" w:themeColor="text1"/>
        </w:rPr>
        <w:t xml:space="preserve"> </w:t>
      </w:r>
      <w:r w:rsidRPr="00DE3248">
        <w:rPr>
          <w:rFonts w:cs="Times New Roman"/>
          <w:i w:val="0"/>
          <w:color w:val="000000" w:themeColor="text1"/>
        </w:rPr>
        <w:t>“dynamic” flow properties (BFE, SE, CBD, SI and FRI) of IBU</w:t>
      </w:r>
    </w:p>
    <w:p w:rsidR="00BF0B37" w:rsidRPr="00DE3248" w:rsidRDefault="00BF0B37">
      <w:pPr>
        <w:rPr>
          <w:rFonts w:cs="Times New Roman"/>
          <w:b/>
          <w:color w:val="000000" w:themeColor="text1"/>
          <w:sz w:val="18"/>
          <w:szCs w:val="18"/>
        </w:rPr>
      </w:pPr>
      <w:r w:rsidRPr="00DE3248">
        <w:rPr>
          <w:rFonts w:cs="Times New Roman"/>
          <w:b/>
          <w:color w:val="000000" w:themeColor="text1"/>
          <w:sz w:val="18"/>
          <w:szCs w:val="18"/>
        </w:rPr>
        <w:br w:type="page"/>
      </w:r>
    </w:p>
    <w:p w:rsidR="007F575B" w:rsidRPr="00DE3248" w:rsidRDefault="007F575B" w:rsidP="000C255C">
      <w:pPr>
        <w:spacing w:line="480" w:lineRule="auto"/>
        <w:rPr>
          <w:rFonts w:cs="Times New Roman"/>
          <w:color w:val="000000" w:themeColor="text1"/>
          <w:sz w:val="18"/>
          <w:szCs w:val="18"/>
        </w:rPr>
      </w:pPr>
      <w:r w:rsidRPr="00DE3248">
        <w:rPr>
          <w:rFonts w:cs="Times New Roman"/>
          <w:b/>
          <w:color w:val="000000" w:themeColor="text1"/>
          <w:sz w:val="18"/>
          <w:szCs w:val="18"/>
        </w:rPr>
        <w:lastRenderedPageBreak/>
        <w:t>Table S</w:t>
      </w:r>
      <w:r w:rsidRPr="00DE3248">
        <w:rPr>
          <w:rFonts w:cs="Times New Roman"/>
          <w:b/>
          <w:color w:val="000000" w:themeColor="text1"/>
          <w:sz w:val="18"/>
          <w:szCs w:val="18"/>
          <w:vertAlign w:val="subscript"/>
        </w:rPr>
        <w:t>2</w:t>
      </w:r>
      <w:r w:rsidR="00273CCC" w:rsidRPr="00DE3248">
        <w:rPr>
          <w:rFonts w:cs="Times New Roman"/>
          <w:b/>
          <w:color w:val="000000" w:themeColor="text1"/>
          <w:sz w:val="18"/>
          <w:szCs w:val="18"/>
        </w:rPr>
        <w:t>-</w:t>
      </w:r>
      <w:r w:rsidRPr="00DE3248">
        <w:rPr>
          <w:rFonts w:cs="Times New Roman"/>
          <w:b/>
          <w:color w:val="000000" w:themeColor="text1"/>
          <w:sz w:val="18"/>
          <w:szCs w:val="18"/>
        </w:rPr>
        <w:fldChar w:fldCharType="begin"/>
      </w:r>
      <w:r w:rsidRPr="00DE3248">
        <w:rPr>
          <w:rFonts w:cs="Times New Roman"/>
          <w:b/>
          <w:color w:val="000000" w:themeColor="text1"/>
          <w:sz w:val="18"/>
          <w:szCs w:val="18"/>
        </w:rPr>
        <w:instrText xml:space="preserve"> SEQ Table_S2 \* ARABIC </w:instrText>
      </w:r>
      <w:r w:rsidRPr="00DE3248">
        <w:rPr>
          <w:rFonts w:cs="Times New Roman"/>
          <w:b/>
          <w:color w:val="000000" w:themeColor="text1"/>
          <w:sz w:val="18"/>
          <w:szCs w:val="18"/>
        </w:rPr>
        <w:fldChar w:fldCharType="separate"/>
      </w:r>
      <w:r w:rsidR="00273CCC" w:rsidRPr="00DE3248">
        <w:rPr>
          <w:rFonts w:cs="Times New Roman"/>
          <w:b/>
          <w:noProof/>
          <w:color w:val="000000" w:themeColor="text1"/>
          <w:sz w:val="18"/>
          <w:szCs w:val="18"/>
        </w:rPr>
        <w:t>1</w:t>
      </w:r>
      <w:r w:rsidRPr="00DE3248">
        <w:rPr>
          <w:rFonts w:cs="Times New Roman"/>
          <w:b/>
          <w:color w:val="000000" w:themeColor="text1"/>
          <w:sz w:val="18"/>
          <w:szCs w:val="18"/>
        </w:rPr>
        <w:fldChar w:fldCharType="end"/>
      </w:r>
      <w:r w:rsidRPr="00DE3248">
        <w:rPr>
          <w:rFonts w:cs="Times New Roman"/>
          <w:b/>
          <w:color w:val="000000" w:themeColor="text1"/>
          <w:sz w:val="18"/>
          <w:szCs w:val="18"/>
        </w:rPr>
        <w:t>.</w:t>
      </w:r>
      <w:r w:rsidRPr="00DE3248">
        <w:rPr>
          <w:rFonts w:cs="Times New Roman"/>
          <w:color w:val="000000" w:themeColor="text1"/>
          <w:sz w:val="18"/>
          <w:szCs w:val="18"/>
        </w:rPr>
        <w:t xml:space="preserve"> </w:t>
      </w:r>
      <w:r w:rsidR="0060655A" w:rsidRPr="00DE3248">
        <w:rPr>
          <w:rFonts w:cs="Times New Roman"/>
          <w:color w:val="000000" w:themeColor="text1"/>
          <w:sz w:val="18"/>
          <w:szCs w:val="18"/>
        </w:rPr>
        <w:t xml:space="preserve">ANOVA table for </w:t>
      </w:r>
      <w:r w:rsidR="00055C50" w:rsidRPr="00DE3248">
        <w:rPr>
          <w:rFonts w:cs="Times New Roman"/>
          <w:color w:val="000000" w:themeColor="text1"/>
          <w:sz w:val="18"/>
          <w:szCs w:val="18"/>
        </w:rPr>
        <w:t xml:space="preserve">MLR models </w:t>
      </w:r>
      <w:r w:rsidR="0060655A" w:rsidRPr="00DE3248">
        <w:rPr>
          <w:rFonts w:cs="Times New Roman"/>
          <w:color w:val="000000" w:themeColor="text1"/>
          <w:sz w:val="18"/>
          <w:szCs w:val="18"/>
        </w:rPr>
        <w:t xml:space="preserve">(MLR-1a) to predict cohesion (kPa) and </w:t>
      </w:r>
      <w:r w:rsidR="00055C50" w:rsidRPr="00DE3248">
        <w:rPr>
          <w:rFonts w:cs="Times New Roman"/>
          <w:color w:val="000000" w:themeColor="text1"/>
          <w:sz w:val="18"/>
          <w:szCs w:val="18"/>
        </w:rPr>
        <w:t xml:space="preserve">FF from selected “dynamic” flow parameters, SE, CBD, FRI and BFE </w:t>
      </w:r>
      <w:r w:rsidR="0060655A" w:rsidRPr="00DE3248">
        <w:rPr>
          <w:rFonts w:cs="Times New Roman"/>
          <w:color w:val="000000" w:themeColor="text1"/>
          <w:sz w:val="18"/>
          <w:szCs w:val="18"/>
        </w:rPr>
        <w:t xml:space="preserve">for </w:t>
      </w:r>
      <w:r w:rsidR="00055C50" w:rsidRPr="00DE3248">
        <w:rPr>
          <w:rFonts w:cs="Times New Roman"/>
          <w:color w:val="000000" w:themeColor="text1"/>
          <w:sz w:val="18"/>
          <w:szCs w:val="18"/>
        </w:rPr>
        <w:t>6 batches of IBU</w:t>
      </w:r>
    </w:p>
    <w:tbl>
      <w:tblPr>
        <w:tblW w:w="5000" w:type="pct"/>
        <w:tblLook w:val="04A0" w:firstRow="1" w:lastRow="0" w:firstColumn="1" w:lastColumn="0" w:noHBand="0" w:noVBand="1"/>
      </w:tblPr>
      <w:tblGrid>
        <w:gridCol w:w="1697"/>
        <w:gridCol w:w="1668"/>
        <w:gridCol w:w="2526"/>
        <w:gridCol w:w="1548"/>
        <w:gridCol w:w="1911"/>
      </w:tblGrid>
      <w:tr w:rsidR="00E465B8" w:rsidRPr="00DE3248" w:rsidTr="00E465B8">
        <w:trPr>
          <w:trHeight w:val="152"/>
        </w:trPr>
        <w:tc>
          <w:tcPr>
            <w:tcW w:w="90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575B" w:rsidRPr="00DE3248" w:rsidRDefault="007F575B" w:rsidP="000C255C">
            <w:pPr>
              <w:spacing w:after="0" w:line="480" w:lineRule="auto"/>
              <w:jc w:val="center"/>
              <w:rPr>
                <w:rFonts w:eastAsia="Times New Roman" w:cs="Times New Roman"/>
                <w:b/>
                <w:sz w:val="18"/>
                <w:szCs w:val="18"/>
                <w:lang w:val="en-US"/>
              </w:rPr>
            </w:pPr>
            <w:r w:rsidRPr="00DE3248">
              <w:rPr>
                <w:rFonts w:eastAsia="Times New Roman" w:cs="Times New Roman"/>
                <w:b/>
                <w:sz w:val="18"/>
                <w:szCs w:val="18"/>
                <w:lang w:val="en-US"/>
              </w:rPr>
              <w:t>Summary Model</w:t>
            </w:r>
          </w:p>
        </w:tc>
        <w:tc>
          <w:tcPr>
            <w:tcW w:w="892" w:type="pct"/>
            <w:tcBorders>
              <w:top w:val="single" w:sz="4" w:space="0" w:color="auto"/>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p value</w:t>
            </w:r>
          </w:p>
        </w:tc>
        <w:tc>
          <w:tcPr>
            <w:tcW w:w="1351" w:type="pct"/>
            <w:tcBorders>
              <w:top w:val="single" w:sz="4" w:space="0" w:color="auto"/>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B-coefficients</w:t>
            </w:r>
          </w:p>
        </w:tc>
        <w:tc>
          <w:tcPr>
            <w:tcW w:w="828" w:type="pct"/>
            <w:tcBorders>
              <w:top w:val="single" w:sz="4" w:space="0" w:color="auto"/>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p value</w:t>
            </w:r>
          </w:p>
        </w:tc>
        <w:tc>
          <w:tcPr>
            <w:tcW w:w="1022" w:type="pct"/>
            <w:tcBorders>
              <w:top w:val="single" w:sz="4" w:space="0" w:color="auto"/>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B-coefficients</w:t>
            </w:r>
          </w:p>
        </w:tc>
      </w:tr>
      <w:tr w:rsidR="007F575B" w:rsidRPr="00DE3248" w:rsidTr="00E465B8">
        <w:trPr>
          <w:trHeight w:val="197"/>
        </w:trPr>
        <w:tc>
          <w:tcPr>
            <w:tcW w:w="907" w:type="pct"/>
            <w:vMerge/>
            <w:tcBorders>
              <w:top w:val="single" w:sz="4" w:space="0" w:color="auto"/>
              <w:left w:val="single" w:sz="4" w:space="0" w:color="auto"/>
              <w:bottom w:val="single" w:sz="4" w:space="0" w:color="auto"/>
              <w:right w:val="single" w:sz="4" w:space="0" w:color="auto"/>
            </w:tcBorders>
            <w:vAlign w:val="center"/>
            <w:hideMark/>
          </w:tcPr>
          <w:p w:rsidR="007F575B" w:rsidRPr="00DE3248" w:rsidRDefault="007F575B" w:rsidP="000C255C">
            <w:pPr>
              <w:spacing w:after="0" w:line="480" w:lineRule="auto"/>
              <w:rPr>
                <w:rFonts w:eastAsia="Times New Roman" w:cs="Times New Roman"/>
                <w:sz w:val="18"/>
                <w:szCs w:val="18"/>
                <w:lang w:val="en-US"/>
              </w:rPr>
            </w:pPr>
          </w:p>
        </w:tc>
        <w:tc>
          <w:tcPr>
            <w:tcW w:w="2243" w:type="pct"/>
            <w:gridSpan w:val="2"/>
            <w:tcBorders>
              <w:top w:val="single" w:sz="4" w:space="0" w:color="auto"/>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 xml:space="preserve">Cohesion (Multiple Correlation= 1.00) </w:t>
            </w:r>
          </w:p>
        </w:tc>
        <w:tc>
          <w:tcPr>
            <w:tcW w:w="1850" w:type="pct"/>
            <w:gridSpan w:val="2"/>
            <w:tcBorders>
              <w:top w:val="single" w:sz="4" w:space="0" w:color="auto"/>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FF (Multiple Correlation= 1.00)</w:t>
            </w:r>
          </w:p>
        </w:tc>
      </w:tr>
      <w:tr w:rsidR="00E465B8" w:rsidRPr="00DE3248" w:rsidTr="00E465B8">
        <w:trPr>
          <w:trHeight w:val="134"/>
        </w:trPr>
        <w:tc>
          <w:tcPr>
            <w:tcW w:w="907" w:type="pct"/>
            <w:vMerge/>
            <w:tcBorders>
              <w:top w:val="single" w:sz="4" w:space="0" w:color="auto"/>
              <w:left w:val="single" w:sz="4" w:space="0" w:color="auto"/>
              <w:bottom w:val="single" w:sz="4" w:space="0" w:color="auto"/>
              <w:right w:val="single" w:sz="4" w:space="0" w:color="auto"/>
            </w:tcBorders>
            <w:vAlign w:val="center"/>
            <w:hideMark/>
          </w:tcPr>
          <w:p w:rsidR="007F575B" w:rsidRPr="00DE3248" w:rsidRDefault="007F575B" w:rsidP="000C255C">
            <w:pPr>
              <w:spacing w:after="0" w:line="480" w:lineRule="auto"/>
              <w:rPr>
                <w:rFonts w:eastAsia="Times New Roman" w:cs="Times New Roman"/>
                <w:sz w:val="18"/>
                <w:szCs w:val="18"/>
                <w:lang w:val="en-US"/>
              </w:rPr>
            </w:pPr>
          </w:p>
        </w:tc>
        <w:tc>
          <w:tcPr>
            <w:tcW w:w="892" w:type="pct"/>
            <w:tcBorders>
              <w:top w:val="nil"/>
              <w:left w:val="nil"/>
              <w:bottom w:val="nil"/>
              <w:right w:val="nil"/>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0.04</w:t>
            </w:r>
          </w:p>
        </w:tc>
        <w:tc>
          <w:tcPr>
            <w:tcW w:w="1351"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 </w:t>
            </w:r>
          </w:p>
        </w:tc>
        <w:tc>
          <w:tcPr>
            <w:tcW w:w="828" w:type="pct"/>
            <w:tcBorders>
              <w:top w:val="nil"/>
              <w:left w:val="nil"/>
              <w:bottom w:val="nil"/>
              <w:right w:val="nil"/>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0.13</w:t>
            </w:r>
          </w:p>
        </w:tc>
        <w:tc>
          <w:tcPr>
            <w:tcW w:w="1022"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 </w:t>
            </w:r>
          </w:p>
        </w:tc>
      </w:tr>
      <w:tr w:rsidR="007F575B" w:rsidRPr="00DE3248" w:rsidTr="00532AE2">
        <w:trPr>
          <w:trHeight w:val="179"/>
        </w:trPr>
        <w:tc>
          <w:tcPr>
            <w:tcW w:w="5000" w:type="pct"/>
            <w:gridSpan w:val="5"/>
            <w:tcBorders>
              <w:top w:val="single" w:sz="4" w:space="0" w:color="auto"/>
              <w:left w:val="single" w:sz="4" w:space="0" w:color="auto"/>
              <w:bottom w:val="single" w:sz="4" w:space="0" w:color="auto"/>
              <w:right w:val="single" w:sz="4" w:space="0" w:color="auto"/>
            </w:tcBorders>
            <w:shd w:val="clear" w:color="000000" w:fill="EEECE1"/>
            <w:noWrap/>
            <w:vAlign w:val="bottom"/>
            <w:hideMark/>
          </w:tcPr>
          <w:p w:rsidR="007F575B" w:rsidRPr="00DE3248" w:rsidRDefault="007F575B" w:rsidP="000C255C">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Variables</w:t>
            </w:r>
          </w:p>
        </w:tc>
      </w:tr>
      <w:tr w:rsidR="00E465B8" w:rsidRPr="00DE3248" w:rsidTr="00E465B8">
        <w:trPr>
          <w:trHeight w:val="152"/>
        </w:trPr>
        <w:tc>
          <w:tcPr>
            <w:tcW w:w="907"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Intercept</w:t>
            </w:r>
          </w:p>
        </w:tc>
        <w:tc>
          <w:tcPr>
            <w:tcW w:w="89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0.07</w:t>
            </w:r>
          </w:p>
        </w:tc>
        <w:tc>
          <w:tcPr>
            <w:tcW w:w="1351"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-1.54</w:t>
            </w:r>
          </w:p>
        </w:tc>
        <w:tc>
          <w:tcPr>
            <w:tcW w:w="828"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0.08</w:t>
            </w:r>
          </w:p>
        </w:tc>
        <w:tc>
          <w:tcPr>
            <w:tcW w:w="102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17.53</w:t>
            </w:r>
          </w:p>
        </w:tc>
      </w:tr>
      <w:tr w:rsidR="00E465B8" w:rsidRPr="00DE3248" w:rsidTr="00E465B8">
        <w:trPr>
          <w:trHeight w:val="197"/>
        </w:trPr>
        <w:tc>
          <w:tcPr>
            <w:tcW w:w="907"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BFE, mJ</w:t>
            </w:r>
          </w:p>
        </w:tc>
        <w:tc>
          <w:tcPr>
            <w:tcW w:w="89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0.12</w:t>
            </w:r>
          </w:p>
        </w:tc>
        <w:tc>
          <w:tcPr>
            <w:tcW w:w="1351"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-0.01</w:t>
            </w:r>
          </w:p>
        </w:tc>
        <w:tc>
          <w:tcPr>
            <w:tcW w:w="828"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0.11</w:t>
            </w:r>
          </w:p>
        </w:tc>
        <w:tc>
          <w:tcPr>
            <w:tcW w:w="102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0.11</w:t>
            </w:r>
          </w:p>
        </w:tc>
      </w:tr>
      <w:tr w:rsidR="00E465B8" w:rsidRPr="00DE3248" w:rsidTr="00E465B8">
        <w:trPr>
          <w:trHeight w:val="161"/>
        </w:trPr>
        <w:tc>
          <w:tcPr>
            <w:tcW w:w="907"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FRI</w:t>
            </w:r>
          </w:p>
        </w:tc>
        <w:tc>
          <w:tcPr>
            <w:tcW w:w="89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0.25</w:t>
            </w:r>
          </w:p>
        </w:tc>
        <w:tc>
          <w:tcPr>
            <w:tcW w:w="1351"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-0.58</w:t>
            </w:r>
          </w:p>
        </w:tc>
        <w:tc>
          <w:tcPr>
            <w:tcW w:w="828"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0.24</w:t>
            </w:r>
          </w:p>
        </w:tc>
        <w:tc>
          <w:tcPr>
            <w:tcW w:w="102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7.80</w:t>
            </w:r>
          </w:p>
        </w:tc>
      </w:tr>
      <w:tr w:rsidR="00E465B8" w:rsidRPr="00DE3248" w:rsidTr="00E465B8">
        <w:trPr>
          <w:trHeight w:val="206"/>
        </w:trPr>
        <w:tc>
          <w:tcPr>
            <w:tcW w:w="907"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SE, mJ/g</w:t>
            </w:r>
          </w:p>
        </w:tc>
        <w:tc>
          <w:tcPr>
            <w:tcW w:w="89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0.03</w:t>
            </w:r>
          </w:p>
        </w:tc>
        <w:tc>
          <w:tcPr>
            <w:tcW w:w="1351"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0.48</w:t>
            </w:r>
          </w:p>
        </w:tc>
        <w:tc>
          <w:tcPr>
            <w:tcW w:w="828"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0.09</w:t>
            </w:r>
          </w:p>
        </w:tc>
        <w:tc>
          <w:tcPr>
            <w:tcW w:w="102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-2.30</w:t>
            </w:r>
          </w:p>
        </w:tc>
      </w:tr>
      <w:tr w:rsidR="00E465B8" w:rsidRPr="00DE3248" w:rsidTr="00E465B8">
        <w:trPr>
          <w:trHeight w:val="179"/>
        </w:trPr>
        <w:tc>
          <w:tcPr>
            <w:tcW w:w="907" w:type="pct"/>
            <w:tcBorders>
              <w:top w:val="nil"/>
              <w:left w:val="single" w:sz="4" w:space="0" w:color="auto"/>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CBD, g/ml</w:t>
            </w:r>
          </w:p>
        </w:tc>
        <w:tc>
          <w:tcPr>
            <w:tcW w:w="89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0.12</w:t>
            </w:r>
          </w:p>
        </w:tc>
        <w:tc>
          <w:tcPr>
            <w:tcW w:w="1351"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4.93</w:t>
            </w:r>
          </w:p>
        </w:tc>
        <w:tc>
          <w:tcPr>
            <w:tcW w:w="828"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0.11</w:t>
            </w:r>
          </w:p>
        </w:tc>
        <w:tc>
          <w:tcPr>
            <w:tcW w:w="1022" w:type="pct"/>
            <w:tcBorders>
              <w:top w:val="nil"/>
              <w:left w:val="nil"/>
              <w:bottom w:val="single" w:sz="4" w:space="0" w:color="auto"/>
              <w:right w:val="single" w:sz="4" w:space="0" w:color="auto"/>
            </w:tcBorders>
            <w:shd w:val="clear" w:color="auto" w:fill="auto"/>
            <w:noWrap/>
            <w:vAlign w:val="bottom"/>
            <w:hideMark/>
          </w:tcPr>
          <w:p w:rsidR="007F575B" w:rsidRPr="00DE3248" w:rsidRDefault="007F575B"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-70.51</w:t>
            </w:r>
          </w:p>
        </w:tc>
      </w:tr>
    </w:tbl>
    <w:p w:rsidR="00273CCC" w:rsidRPr="00DE3248" w:rsidRDefault="00273CCC" w:rsidP="000C255C">
      <w:pPr>
        <w:pStyle w:val="Caption"/>
        <w:keepNext/>
        <w:spacing w:before="240" w:line="480" w:lineRule="auto"/>
        <w:jc w:val="both"/>
        <w:rPr>
          <w:rFonts w:cs="Times New Roman"/>
          <w:i w:val="0"/>
          <w:color w:val="auto"/>
        </w:rPr>
      </w:pPr>
      <w:r w:rsidRPr="00DE3248">
        <w:rPr>
          <w:rFonts w:cs="Times New Roman"/>
          <w:b/>
          <w:i w:val="0"/>
          <w:color w:val="auto"/>
        </w:rPr>
        <w:t>Table S</w:t>
      </w:r>
      <w:r w:rsidRPr="00DE3248">
        <w:rPr>
          <w:rFonts w:cs="Times New Roman"/>
          <w:b/>
          <w:i w:val="0"/>
          <w:color w:val="auto"/>
          <w:vertAlign w:val="subscript"/>
        </w:rPr>
        <w:t>2</w:t>
      </w:r>
      <w:r w:rsidRPr="00DE3248">
        <w:rPr>
          <w:rFonts w:cs="Times New Roman"/>
          <w:b/>
          <w:i w:val="0"/>
          <w:color w:val="auto"/>
        </w:rPr>
        <w:t>-</w:t>
      </w:r>
      <w:r w:rsidRPr="00DE3248">
        <w:rPr>
          <w:rFonts w:cs="Times New Roman"/>
          <w:b/>
          <w:i w:val="0"/>
          <w:color w:val="auto"/>
        </w:rPr>
        <w:fldChar w:fldCharType="begin"/>
      </w:r>
      <w:r w:rsidRPr="00DE3248">
        <w:rPr>
          <w:rFonts w:cs="Times New Roman"/>
          <w:b/>
          <w:i w:val="0"/>
          <w:color w:val="auto"/>
        </w:rPr>
        <w:instrText xml:space="preserve"> SEQ Table_S2 \* ARABIC </w:instrText>
      </w:r>
      <w:r w:rsidRPr="00DE3248">
        <w:rPr>
          <w:rFonts w:cs="Times New Roman"/>
          <w:b/>
          <w:i w:val="0"/>
          <w:color w:val="auto"/>
        </w:rPr>
        <w:fldChar w:fldCharType="separate"/>
      </w:r>
      <w:r w:rsidRPr="00DE3248">
        <w:rPr>
          <w:rFonts w:cs="Times New Roman"/>
          <w:b/>
          <w:i w:val="0"/>
          <w:noProof/>
          <w:color w:val="auto"/>
        </w:rPr>
        <w:t>2</w:t>
      </w:r>
      <w:r w:rsidRPr="00DE3248">
        <w:rPr>
          <w:rFonts w:cs="Times New Roman"/>
          <w:b/>
          <w:i w:val="0"/>
          <w:color w:val="auto"/>
        </w:rPr>
        <w:fldChar w:fldCharType="end"/>
      </w:r>
      <w:r w:rsidRPr="00DE3248">
        <w:rPr>
          <w:rFonts w:cs="Times New Roman"/>
          <w:i w:val="0"/>
          <w:color w:val="auto"/>
        </w:rPr>
        <w:t>. ANOVA table for MLR models (MLR-1</w:t>
      </w:r>
      <w:r w:rsidR="00BD6420" w:rsidRPr="00DE3248">
        <w:rPr>
          <w:rFonts w:cs="Times New Roman"/>
          <w:i w:val="0"/>
          <w:color w:val="auto"/>
        </w:rPr>
        <w:t>b</w:t>
      </w:r>
      <w:r w:rsidRPr="00DE3248">
        <w:rPr>
          <w:rFonts w:cs="Times New Roman"/>
          <w:i w:val="0"/>
          <w:color w:val="auto"/>
        </w:rPr>
        <w:t>) to predict cohesion (kPa) and FF from selected “dynamic” flow parame</w:t>
      </w:r>
      <w:r w:rsidR="005064A1" w:rsidRPr="00DE3248">
        <w:rPr>
          <w:rFonts w:cs="Times New Roman"/>
          <w:i w:val="0"/>
          <w:color w:val="auto"/>
        </w:rPr>
        <w:t>ters, SE, CBD, FRI, SI and BFE for 8</w:t>
      </w:r>
      <w:r w:rsidRPr="00DE3248">
        <w:rPr>
          <w:rFonts w:cs="Times New Roman"/>
          <w:i w:val="0"/>
          <w:color w:val="auto"/>
        </w:rPr>
        <w:t xml:space="preserve"> batches of IBU</w:t>
      </w:r>
    </w:p>
    <w:tbl>
      <w:tblPr>
        <w:tblW w:w="5000" w:type="pct"/>
        <w:tblLook w:val="04A0" w:firstRow="1" w:lastRow="0" w:firstColumn="1" w:lastColumn="0" w:noHBand="0" w:noVBand="1"/>
      </w:tblPr>
      <w:tblGrid>
        <w:gridCol w:w="1883"/>
        <w:gridCol w:w="1548"/>
        <w:gridCol w:w="2568"/>
        <w:gridCol w:w="1260"/>
        <w:gridCol w:w="2091"/>
      </w:tblGrid>
      <w:tr w:rsidR="00705156" w:rsidRPr="00DE3248" w:rsidTr="00E21322">
        <w:trPr>
          <w:trHeight w:val="197"/>
        </w:trPr>
        <w:tc>
          <w:tcPr>
            <w:tcW w:w="100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156" w:rsidRPr="00DE3248" w:rsidRDefault="00705156" w:rsidP="000C255C">
            <w:pPr>
              <w:spacing w:after="0" w:line="480" w:lineRule="auto"/>
              <w:jc w:val="center"/>
              <w:rPr>
                <w:rFonts w:eastAsia="Times New Roman" w:cs="Times New Roman"/>
                <w:b/>
                <w:sz w:val="18"/>
                <w:szCs w:val="18"/>
                <w:lang w:val="en-US"/>
              </w:rPr>
            </w:pPr>
            <w:r w:rsidRPr="00DE3248">
              <w:rPr>
                <w:rFonts w:eastAsia="Times New Roman" w:cs="Times New Roman"/>
                <w:b/>
                <w:sz w:val="18"/>
                <w:szCs w:val="18"/>
                <w:lang w:val="en-US"/>
              </w:rPr>
              <w:t>Summary Model</w:t>
            </w:r>
          </w:p>
        </w:tc>
        <w:tc>
          <w:tcPr>
            <w:tcW w:w="828" w:type="pct"/>
            <w:tcBorders>
              <w:top w:val="single" w:sz="4" w:space="0" w:color="auto"/>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p value</w:t>
            </w:r>
          </w:p>
        </w:tc>
        <w:tc>
          <w:tcPr>
            <w:tcW w:w="1373" w:type="pct"/>
            <w:tcBorders>
              <w:top w:val="single" w:sz="4" w:space="0" w:color="auto"/>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B-coefficients</w:t>
            </w:r>
          </w:p>
        </w:tc>
        <w:tc>
          <w:tcPr>
            <w:tcW w:w="674" w:type="pct"/>
            <w:tcBorders>
              <w:top w:val="single" w:sz="4" w:space="0" w:color="auto"/>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p value</w:t>
            </w:r>
          </w:p>
        </w:tc>
        <w:tc>
          <w:tcPr>
            <w:tcW w:w="1118" w:type="pct"/>
            <w:tcBorders>
              <w:top w:val="single" w:sz="4" w:space="0" w:color="auto"/>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B-coefficients</w:t>
            </w:r>
          </w:p>
        </w:tc>
      </w:tr>
      <w:tr w:rsidR="00705156" w:rsidRPr="00DE3248" w:rsidTr="00E21322">
        <w:trPr>
          <w:trHeight w:val="79"/>
        </w:trPr>
        <w:tc>
          <w:tcPr>
            <w:tcW w:w="1007" w:type="pct"/>
            <w:vMerge/>
            <w:tcBorders>
              <w:top w:val="single" w:sz="4" w:space="0" w:color="auto"/>
              <w:left w:val="single" w:sz="4" w:space="0" w:color="auto"/>
              <w:bottom w:val="single" w:sz="4" w:space="0" w:color="auto"/>
              <w:right w:val="single" w:sz="4" w:space="0" w:color="auto"/>
            </w:tcBorders>
            <w:vAlign w:val="center"/>
            <w:hideMark/>
          </w:tcPr>
          <w:p w:rsidR="00705156" w:rsidRPr="00DE3248" w:rsidRDefault="00705156" w:rsidP="000C255C">
            <w:pPr>
              <w:spacing w:after="0" w:line="480" w:lineRule="auto"/>
              <w:rPr>
                <w:rFonts w:eastAsia="Times New Roman" w:cs="Times New Roman"/>
                <w:b/>
                <w:sz w:val="18"/>
                <w:szCs w:val="18"/>
                <w:lang w:val="en-US"/>
              </w:rPr>
            </w:pPr>
          </w:p>
        </w:tc>
        <w:tc>
          <w:tcPr>
            <w:tcW w:w="2201" w:type="pct"/>
            <w:gridSpan w:val="2"/>
            <w:tcBorders>
              <w:top w:val="single" w:sz="4" w:space="0" w:color="auto"/>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 xml:space="preserve">Cohesion (Multiple Correlation=0.97) </w:t>
            </w:r>
          </w:p>
        </w:tc>
        <w:tc>
          <w:tcPr>
            <w:tcW w:w="1792" w:type="pct"/>
            <w:gridSpan w:val="2"/>
            <w:tcBorders>
              <w:top w:val="single" w:sz="4" w:space="0" w:color="auto"/>
              <w:left w:val="nil"/>
              <w:bottom w:val="single" w:sz="4" w:space="0" w:color="auto"/>
              <w:right w:val="single" w:sz="4" w:space="0" w:color="000000"/>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FF (Multiple Correlation=0.95)</w:t>
            </w:r>
          </w:p>
        </w:tc>
      </w:tr>
      <w:tr w:rsidR="00705156" w:rsidRPr="00DE3248" w:rsidTr="00E21322">
        <w:trPr>
          <w:trHeight w:val="79"/>
        </w:trPr>
        <w:tc>
          <w:tcPr>
            <w:tcW w:w="1007" w:type="pct"/>
            <w:vMerge/>
            <w:tcBorders>
              <w:top w:val="single" w:sz="4" w:space="0" w:color="auto"/>
              <w:left w:val="single" w:sz="4" w:space="0" w:color="auto"/>
              <w:bottom w:val="single" w:sz="4" w:space="0" w:color="auto"/>
              <w:right w:val="single" w:sz="4" w:space="0" w:color="auto"/>
            </w:tcBorders>
            <w:vAlign w:val="center"/>
            <w:hideMark/>
          </w:tcPr>
          <w:p w:rsidR="00705156" w:rsidRPr="00DE3248" w:rsidRDefault="00705156" w:rsidP="000C255C">
            <w:pPr>
              <w:spacing w:after="0" w:line="480" w:lineRule="auto"/>
              <w:rPr>
                <w:rFonts w:eastAsia="Times New Roman" w:cs="Times New Roman"/>
                <w:sz w:val="18"/>
                <w:szCs w:val="18"/>
                <w:lang w:val="en-US"/>
              </w:rPr>
            </w:pP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0.15</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 </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0.24</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 </w:t>
            </w:r>
          </w:p>
        </w:tc>
      </w:tr>
      <w:tr w:rsidR="006B5436" w:rsidRPr="00DE3248" w:rsidTr="00E21322">
        <w:trPr>
          <w:trHeight w:val="179"/>
        </w:trPr>
        <w:tc>
          <w:tcPr>
            <w:tcW w:w="5000" w:type="pct"/>
            <w:gridSpan w:val="5"/>
            <w:tcBorders>
              <w:top w:val="nil"/>
              <w:left w:val="single" w:sz="4" w:space="0" w:color="auto"/>
              <w:bottom w:val="single" w:sz="4" w:space="0" w:color="auto"/>
              <w:right w:val="single" w:sz="4" w:space="0" w:color="auto"/>
            </w:tcBorders>
            <w:shd w:val="clear" w:color="000000" w:fill="EEECE1"/>
            <w:noWrap/>
            <w:vAlign w:val="bottom"/>
            <w:hideMark/>
          </w:tcPr>
          <w:p w:rsidR="006B5436" w:rsidRPr="00DE3248" w:rsidRDefault="006B5436" w:rsidP="000C255C">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Variables</w:t>
            </w:r>
          </w:p>
        </w:tc>
      </w:tr>
      <w:tr w:rsidR="00705156" w:rsidRPr="00DE3248" w:rsidTr="00E21322">
        <w:trPr>
          <w:trHeight w:val="79"/>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Intercept</w:t>
            </w: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0.23</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-2.25</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0.10</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17.67</w:t>
            </w:r>
          </w:p>
        </w:tc>
      </w:tr>
      <w:tr w:rsidR="00705156" w:rsidRPr="00DE3248" w:rsidTr="00E21322">
        <w:trPr>
          <w:trHeight w:val="98"/>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BFE, mJ</w:t>
            </w: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0.56</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-0.01</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0.31</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0.04</w:t>
            </w:r>
          </w:p>
        </w:tc>
      </w:tr>
      <w:tr w:rsidR="00705156" w:rsidRPr="00DE3248" w:rsidTr="00E21322">
        <w:trPr>
          <w:trHeight w:val="79"/>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SI</w:t>
            </w: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0.41</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-1.61</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0.70</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-3.09</w:t>
            </w:r>
          </w:p>
        </w:tc>
      </w:tr>
      <w:tr w:rsidR="00705156" w:rsidRPr="00DE3248" w:rsidTr="00E21322">
        <w:trPr>
          <w:trHeight w:val="206"/>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FRI</w:t>
            </w: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0.63</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0.99</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0.86</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1.53</w:t>
            </w:r>
          </w:p>
        </w:tc>
      </w:tr>
      <w:tr w:rsidR="00705156" w:rsidRPr="00DE3248" w:rsidTr="00E21322">
        <w:trPr>
          <w:trHeight w:val="179"/>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SE, mJ/g</w:t>
            </w: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0.08</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0.46</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0.16</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-1.43</w:t>
            </w:r>
          </w:p>
        </w:tc>
      </w:tr>
      <w:tr w:rsidR="00705156" w:rsidRPr="00DE3248" w:rsidTr="00E21322">
        <w:trPr>
          <w:trHeight w:val="134"/>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CBD, g/ml</w:t>
            </w:r>
          </w:p>
        </w:tc>
        <w:tc>
          <w:tcPr>
            <w:tcW w:w="82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0.23</w:t>
            </w:r>
          </w:p>
        </w:tc>
        <w:tc>
          <w:tcPr>
            <w:tcW w:w="1373"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6.13</w:t>
            </w:r>
          </w:p>
        </w:tc>
        <w:tc>
          <w:tcPr>
            <w:tcW w:w="674"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0.23</w:t>
            </w:r>
          </w:p>
        </w:tc>
        <w:tc>
          <w:tcPr>
            <w:tcW w:w="1118" w:type="pct"/>
            <w:tcBorders>
              <w:top w:val="nil"/>
              <w:left w:val="nil"/>
              <w:bottom w:val="single" w:sz="4" w:space="0" w:color="auto"/>
              <w:right w:val="single" w:sz="4" w:space="0" w:color="auto"/>
            </w:tcBorders>
            <w:shd w:val="clear" w:color="auto" w:fill="auto"/>
            <w:noWrap/>
            <w:vAlign w:val="bottom"/>
            <w:hideMark/>
          </w:tcPr>
          <w:p w:rsidR="00705156" w:rsidRPr="00DE3248" w:rsidRDefault="00705156"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-28.01</w:t>
            </w:r>
          </w:p>
        </w:tc>
      </w:tr>
    </w:tbl>
    <w:p w:rsidR="00F305F4" w:rsidRPr="00DE3248" w:rsidRDefault="00F305F4" w:rsidP="00BF0B37">
      <w:pPr>
        <w:spacing w:before="120" w:line="480" w:lineRule="auto"/>
        <w:jc w:val="both"/>
        <w:rPr>
          <w:rFonts w:cs="Times New Roman"/>
          <w:color w:val="000000" w:themeColor="text1"/>
          <w:szCs w:val="24"/>
        </w:rPr>
      </w:pPr>
    </w:p>
    <w:p w:rsidR="00F305F4" w:rsidRPr="00DE3248" w:rsidRDefault="00F305F4" w:rsidP="00BF0B37">
      <w:pPr>
        <w:spacing w:before="120" w:line="480" w:lineRule="auto"/>
        <w:jc w:val="both"/>
        <w:rPr>
          <w:rFonts w:cs="Times New Roman"/>
          <w:color w:val="000000" w:themeColor="text1"/>
          <w:szCs w:val="24"/>
        </w:rPr>
      </w:pPr>
    </w:p>
    <w:p w:rsidR="00F305F4" w:rsidRPr="00DE3248" w:rsidRDefault="00F305F4" w:rsidP="00BF0B37">
      <w:pPr>
        <w:spacing w:before="120" w:line="480" w:lineRule="auto"/>
        <w:jc w:val="both"/>
        <w:rPr>
          <w:rFonts w:cs="Times New Roman"/>
          <w:color w:val="000000" w:themeColor="text1"/>
          <w:szCs w:val="24"/>
        </w:rPr>
      </w:pPr>
    </w:p>
    <w:p w:rsidR="00BF0B37" w:rsidRPr="00DE3248" w:rsidRDefault="00BF0B37" w:rsidP="00BF0B37">
      <w:pPr>
        <w:spacing w:before="120" w:line="480" w:lineRule="auto"/>
        <w:jc w:val="both"/>
        <w:rPr>
          <w:rFonts w:cs="Times New Roman"/>
          <w:color w:val="000000" w:themeColor="text1"/>
          <w:szCs w:val="24"/>
        </w:rPr>
      </w:pPr>
      <w:r w:rsidRPr="00DE3248">
        <w:rPr>
          <w:rFonts w:cs="Times New Roman"/>
          <w:color w:val="000000" w:themeColor="text1"/>
          <w:szCs w:val="24"/>
        </w:rPr>
        <w:lastRenderedPageBreak/>
        <w:t xml:space="preserve">Small-scale powder flow characterisation techniques are a </w:t>
      </w:r>
      <w:r w:rsidRPr="00DE3248">
        <w:rPr>
          <w:rFonts w:cs="Times New Roman"/>
          <w:noProof/>
          <w:color w:val="000000" w:themeColor="text1"/>
          <w:szCs w:val="24"/>
        </w:rPr>
        <w:t>pivotal</w:t>
      </w:r>
      <w:r w:rsidRPr="00DE3248">
        <w:rPr>
          <w:rFonts w:cs="Times New Roman"/>
          <w:color w:val="000000" w:themeColor="text1"/>
          <w:szCs w:val="24"/>
        </w:rPr>
        <w:t xml:space="preserve"> part of drug product development and manufacturing of oral solid dosage forms in order to forecast erratic powder flow properties during processing. Powders may undergo segregation, attrition and also agglomeration duri</w:t>
      </w:r>
      <w:r w:rsidRPr="00DE3248">
        <w:rPr>
          <w:rFonts w:cs="Times New Roman"/>
          <w:noProof/>
          <w:color w:val="000000" w:themeColor="text1"/>
          <w:szCs w:val="24"/>
        </w:rPr>
        <w:t>ng processing which may lead to poor tablet or capsule</w:t>
      </w:r>
      <w:r w:rsidRPr="00DE3248">
        <w:rPr>
          <w:rFonts w:cs="Times New Roman"/>
          <w:color w:val="000000" w:themeColor="text1"/>
          <w:szCs w:val="24"/>
        </w:rPr>
        <w:t xml:space="preserve"> weight uniformity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&lt;EndNote&gt;&lt;Cite&gt;&lt;Author&gt;Osorio&lt;/Author&gt;&lt;Year&gt;2013&lt;/Year&gt;&lt;RecNum&gt;33&lt;/RecNum&gt;&lt;DisplayText&gt;(Osorio and Muzzio, 2013)&lt;/DisplayText&gt;&lt;record&gt;&lt;rec-number&gt;33&lt;/rec-number&gt;&lt;foreign-keys&gt;&lt;key app="EN" db-id="d5fs0wsvp0f05ser9abpxz97rwr0et952ape" timestamp="1491558971"&gt;33&lt;/key&gt;&lt;/foreign-keys&gt;&lt;ref-type name="Journal Article"&gt;17&lt;/ref-type&gt;&lt;contributors&gt;&lt;authors&gt;&lt;author&gt;Osorio, Juan G&lt;/author&gt;&lt;author&gt;Muzzio, Fernando J&lt;/author&gt;&lt;/authors&gt;&lt;/contributors&gt;&lt;titles&gt;&lt;title&gt;Effects of powder flow properties on capsule filling weight uniformity&lt;/title&gt;&lt;secondary-title&gt;Drug Dev. Ind. Pharm.&lt;/secondary-title&gt;&lt;/titles&gt;&lt;periodical&gt;&lt;full-title&gt;Drug Dev. Ind. Pharm.&lt;/full-title&gt;&lt;/periodical&gt;&lt;pages&gt;1464-1475&lt;/pages&gt;&lt;volume&gt;39&lt;/volume&gt;&lt;number&gt;9&lt;/number&gt;&lt;dates&gt;&lt;year&gt;2013&lt;/year&gt;&lt;/dates&gt;&lt;isbn&gt;0363-9045&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26" w:tooltip="Osorio, 2013 #33" w:history="1">
        <w:r w:rsidRPr="00DE3248">
          <w:rPr>
            <w:rFonts w:cs="Times New Roman"/>
            <w:noProof/>
            <w:color w:val="000000" w:themeColor="text1"/>
            <w:szCs w:val="24"/>
          </w:rPr>
          <w:t>Osorio and Muzzio, 2013</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Osorio and Muzzio showed that filled capsule weight variability decreases with decreasing cohesion and compressibility or increasing tapped density, bulk density, FF and BFE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&lt;EndNote&gt;&lt;Cite&gt;&lt;Author&gt;Osorio&lt;/Author&gt;&lt;Year&gt;2013&lt;/Year&gt;&lt;RecNum&gt;33&lt;/RecNum&gt;&lt;DisplayText&gt;(Osorio and Muzzio, 2013)&lt;/DisplayText&gt;&lt;record&gt;&lt;rec-number&gt;33&lt;/rec-number&gt;&lt;foreign-keys&gt;&lt;key app="EN" db-id="d5fs0wsvp0f05ser9abpxz97rwr0et952ape" timestamp="1491558971"&gt;33&lt;/key&gt;&lt;/foreign-keys&gt;&lt;ref-type name="Journal Article"&gt;17&lt;/ref-type&gt;&lt;contributors&gt;&lt;authors&gt;&lt;author&gt;Osorio, Juan G&lt;/author&gt;&lt;author&gt;Muzzio, Fernando J&lt;/author&gt;&lt;/authors&gt;&lt;/contributors&gt;&lt;titles&gt;&lt;title&gt;Effects of powder flow properties on capsule filling weight uniformity&lt;/title&gt;&lt;secondary-title&gt;Drug Dev. Ind. Pharm.&lt;/secondary-title&gt;&lt;/titles&gt;&lt;periodical&gt;&lt;full-title&gt;Drug Dev. Ind. Pharm.&lt;/full-title&gt;&lt;/periodical&gt;&lt;pages&gt;1464-1475&lt;/pages&gt;&lt;volume&gt;39&lt;/volume&gt;&lt;number&gt;9&lt;/number&gt;&lt;dates&gt;&lt;year&gt;2013&lt;/year&gt;&lt;/dates&gt;&lt;isbn&gt;0363-9045&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26" w:tooltip="Osorio, 2013 #33" w:history="1">
        <w:r w:rsidRPr="00DE3248">
          <w:rPr>
            <w:rFonts w:cs="Times New Roman"/>
            <w:noProof/>
            <w:color w:val="000000" w:themeColor="text1"/>
            <w:szCs w:val="24"/>
          </w:rPr>
          <w:t>Osorio and Muzzio, 2013</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w:t>
      </w:r>
    </w:p>
    <w:p w:rsidR="00BF0B37" w:rsidRPr="00DE3248" w:rsidRDefault="00BF0B37" w:rsidP="00BF0B37">
      <w:pPr>
        <w:spacing w:before="120" w:line="480" w:lineRule="auto"/>
        <w:jc w:val="both"/>
        <w:rPr>
          <w:rFonts w:cs="Times New Roman"/>
          <w:color w:val="000000" w:themeColor="text1"/>
          <w:szCs w:val="24"/>
        </w:rPr>
      </w:pPr>
      <w:r w:rsidRPr="00DE3248">
        <w:rPr>
          <w:rFonts w:cs="Times New Roman"/>
          <w:color w:val="000000" w:themeColor="text1"/>
          <w:szCs w:val="24"/>
        </w:rPr>
        <w:t xml:space="preserve">The multivariate analysis on various batches of IBU (table 1) showed that FF (the ratio of Major Principal Stress (MPS) and Unconfined Yield Strength (UYS)) increases with a decrease in cohesion, as evidently shown on correlation loading from the PCA analysis (Fig. 1a). The higher t-value from MLR models between </w:t>
      </w:r>
      <w:r w:rsidRPr="00DE3248">
        <w:rPr>
          <w:rFonts w:cs="Times New Roman"/>
          <w:i/>
          <w:color w:val="000000" w:themeColor="text1"/>
          <w:szCs w:val="24"/>
        </w:rPr>
        <w:t>dynamic</w:t>
      </w:r>
      <w:r w:rsidRPr="00DE3248">
        <w:rPr>
          <w:rFonts w:cs="Times New Roman"/>
          <w:color w:val="000000" w:themeColor="text1"/>
          <w:szCs w:val="24"/>
        </w:rPr>
        <w:t xml:space="preserve"> and </w:t>
      </w:r>
      <w:r w:rsidRPr="00DE3248">
        <w:rPr>
          <w:rFonts w:cs="Times New Roman"/>
          <w:i/>
          <w:color w:val="000000" w:themeColor="text1"/>
          <w:szCs w:val="24"/>
        </w:rPr>
        <w:t>static</w:t>
      </w:r>
      <w:r w:rsidRPr="00DE3248">
        <w:rPr>
          <w:rFonts w:cs="Times New Roman"/>
          <w:color w:val="000000" w:themeColor="text1"/>
          <w:szCs w:val="24"/>
        </w:rPr>
        <w:t xml:space="preserve"> shear cell analysis also showed that the SE and the CBD (Fig. 1b) were the most significant dynamic flow parameters, strongly correlating with both the cohesion and the FF of IBU batches. The very high correlation between SE and cohesion (R</w:t>
      </w:r>
      <w:r w:rsidRPr="00DE3248">
        <w:rPr>
          <w:rFonts w:cs="Times New Roman"/>
          <w:color w:val="000000" w:themeColor="text1"/>
          <w:szCs w:val="24"/>
          <w:vertAlign w:val="superscript"/>
        </w:rPr>
        <w:t xml:space="preserve">2 </w:t>
      </w:r>
      <w:r w:rsidRPr="00DE3248">
        <w:rPr>
          <w:rFonts w:cs="Times New Roman"/>
          <w:color w:val="000000" w:themeColor="text1"/>
          <w:szCs w:val="24"/>
        </w:rPr>
        <w:t>=0.96) (supplementary data Fig. S</w:t>
      </w:r>
      <w:r w:rsidRPr="00DE3248">
        <w:rPr>
          <w:rFonts w:cs="Times New Roman"/>
          <w:color w:val="000000" w:themeColor="text1"/>
          <w:szCs w:val="24"/>
          <w:vertAlign w:val="subscript"/>
        </w:rPr>
        <w:t>2</w:t>
      </w:r>
      <w:r w:rsidRPr="00DE3248">
        <w:rPr>
          <w:rFonts w:cs="Times New Roman"/>
          <w:color w:val="000000" w:themeColor="text1"/>
          <w:szCs w:val="24"/>
        </w:rPr>
        <w:t xml:space="preserve">-1a) suggested that SE measured in the </w:t>
      </w:r>
      <w:r w:rsidRPr="00DE3248">
        <w:rPr>
          <w:rFonts w:cs="Times New Roman"/>
          <w:noProof/>
          <w:color w:val="000000" w:themeColor="text1"/>
          <w:szCs w:val="24"/>
        </w:rPr>
        <w:t>unconsolidated</w:t>
      </w:r>
      <w:r w:rsidRPr="00DE3248">
        <w:rPr>
          <w:rFonts w:cs="Times New Roman"/>
          <w:color w:val="000000" w:themeColor="text1"/>
          <w:szCs w:val="24"/>
        </w:rPr>
        <w:t xml:space="preserve"> state can be used to determine the cohesive properties of powders in the consolidated state. However, FF was poorly correlated with dynamic flow </w:t>
      </w:r>
      <w:r w:rsidRPr="00DE3248">
        <w:rPr>
          <w:rFonts w:cs="Times New Roman"/>
          <w:noProof/>
          <w:color w:val="000000" w:themeColor="text1"/>
          <w:szCs w:val="24"/>
        </w:rPr>
        <w:t>parameters,</w:t>
      </w:r>
      <w:r w:rsidRPr="00DE3248">
        <w:rPr>
          <w:rFonts w:cs="Times New Roman"/>
          <w:color w:val="000000" w:themeColor="text1"/>
          <w:szCs w:val="24"/>
        </w:rPr>
        <w:t xml:space="preserve"> but demonstrated relatively strong correlation with FRI (R</w:t>
      </w:r>
      <w:r w:rsidRPr="00DE3248">
        <w:rPr>
          <w:rFonts w:cs="Times New Roman"/>
          <w:color w:val="000000" w:themeColor="text1"/>
          <w:szCs w:val="24"/>
          <w:vertAlign w:val="superscript"/>
        </w:rPr>
        <w:t xml:space="preserve">2 </w:t>
      </w:r>
      <w:r w:rsidRPr="00DE3248">
        <w:rPr>
          <w:rFonts w:cs="Times New Roman"/>
          <w:color w:val="000000" w:themeColor="text1"/>
          <w:szCs w:val="24"/>
        </w:rPr>
        <w:t>= 0.63) and SE (R</w:t>
      </w:r>
      <w:r w:rsidRPr="00DE3248">
        <w:rPr>
          <w:rFonts w:cs="Times New Roman"/>
          <w:color w:val="000000" w:themeColor="text1"/>
          <w:szCs w:val="24"/>
          <w:vertAlign w:val="superscript"/>
        </w:rPr>
        <w:t xml:space="preserve">2 </w:t>
      </w:r>
      <w:r w:rsidRPr="00DE3248">
        <w:rPr>
          <w:rFonts w:cs="Times New Roman"/>
          <w:color w:val="000000" w:themeColor="text1"/>
          <w:szCs w:val="24"/>
        </w:rPr>
        <w:t>= 0.48) (supplementary data Fig. S</w:t>
      </w:r>
      <w:r w:rsidRPr="00DE3248">
        <w:rPr>
          <w:rFonts w:cs="Times New Roman"/>
          <w:color w:val="000000" w:themeColor="text1"/>
          <w:szCs w:val="24"/>
          <w:vertAlign w:val="subscript"/>
        </w:rPr>
        <w:t>2</w:t>
      </w:r>
      <w:r w:rsidRPr="00DE3248">
        <w:rPr>
          <w:rFonts w:cs="Times New Roman"/>
          <w:color w:val="000000" w:themeColor="text1"/>
          <w:szCs w:val="24"/>
        </w:rPr>
        <w:t xml:space="preserve">-1b). </w:t>
      </w:r>
    </w:p>
    <w:p w:rsidR="00BF0B37" w:rsidRPr="00DE3248" w:rsidRDefault="00BF0B37" w:rsidP="00BF0B37">
      <w:pPr>
        <w:spacing w:before="120" w:line="480" w:lineRule="auto"/>
        <w:jc w:val="both"/>
        <w:rPr>
          <w:color w:val="000000" w:themeColor="text1"/>
        </w:rPr>
      </w:pPr>
      <w:r w:rsidRPr="00DE3248">
        <w:rPr>
          <w:rFonts w:cs="Times New Roman"/>
          <w:color w:val="000000" w:themeColor="text1"/>
          <w:szCs w:val="24"/>
        </w:rPr>
        <w:t>MLR models for cohesion and FF (MLR-1a) with a slope above 0.99 (R</w:t>
      </w:r>
      <w:r w:rsidRPr="00DE3248">
        <w:rPr>
          <w:rFonts w:cs="Times New Roman"/>
          <w:color w:val="000000" w:themeColor="text1"/>
          <w:szCs w:val="24"/>
          <w:vertAlign w:val="superscript"/>
        </w:rPr>
        <w:t xml:space="preserve">2 </w:t>
      </w:r>
      <w:r w:rsidRPr="00DE3248">
        <w:rPr>
          <w:rFonts w:cs="Times New Roman"/>
          <w:color w:val="000000" w:themeColor="text1"/>
          <w:szCs w:val="24"/>
        </w:rPr>
        <w:t xml:space="preserve">≥ 0.99) and a very low intercept (offset </w:t>
      </w:r>
      <w:r w:rsidRPr="00DE3248">
        <w:rPr>
          <w:rFonts w:cs="Times New Roman"/>
          <w:i/>
          <w:color w:val="000000" w:themeColor="text1"/>
          <w:szCs w:val="24"/>
        </w:rPr>
        <w:t>ca</w:t>
      </w:r>
      <w:r w:rsidRPr="00DE3248">
        <w:rPr>
          <w:rFonts w:cs="Times New Roman"/>
          <w:color w:val="000000" w:themeColor="text1"/>
          <w:szCs w:val="24"/>
        </w:rPr>
        <w:t>. 0) were developed from dynamic flow parameters such as SE, CBD, FRI and BFE (Fig. 1c and 1d).  The ANOVA analysis for all variables and the MLR-1a model (Fig. 1c and 1d) is provided in supplementary data table S</w:t>
      </w:r>
      <w:r w:rsidRPr="00DE3248">
        <w:rPr>
          <w:rFonts w:cs="Times New Roman"/>
          <w:color w:val="000000" w:themeColor="text1"/>
          <w:szCs w:val="24"/>
          <w:vertAlign w:val="subscript"/>
        </w:rPr>
        <w:t>2</w:t>
      </w:r>
      <w:r w:rsidRPr="00DE3248">
        <w:rPr>
          <w:rFonts w:cs="Times New Roman"/>
          <w:color w:val="000000" w:themeColor="text1"/>
          <w:szCs w:val="24"/>
        </w:rPr>
        <w:t xml:space="preserve">-1 where the overall quality of the MLR model for cohesion </w:t>
      </w:r>
      <w:r w:rsidRPr="00DE3248">
        <w:rPr>
          <w:rFonts w:cs="Times New Roman"/>
          <w:noProof/>
          <w:color w:val="000000" w:themeColor="text1"/>
          <w:szCs w:val="24"/>
        </w:rPr>
        <w:t>was</w:t>
      </w:r>
      <w:r w:rsidRPr="00DE3248">
        <w:rPr>
          <w:rFonts w:cs="Times New Roman"/>
          <w:color w:val="000000" w:themeColor="text1"/>
          <w:szCs w:val="24"/>
        </w:rPr>
        <w:t xml:space="preserve"> relatively high (cohesion, p&gt;0.05 and FF, p&lt;0.05). The cohesion and FF flow </w:t>
      </w:r>
      <w:r w:rsidRPr="00DE3248">
        <w:rPr>
          <w:rFonts w:cs="Times New Roman"/>
          <w:color w:val="000000" w:themeColor="text1"/>
          <w:szCs w:val="24"/>
        </w:rPr>
        <w:lastRenderedPageBreak/>
        <w:t xml:space="preserve">parameters of separate validation batches were also predicted with MLR-1a. The prediction of FF from dynamic flow parameters was very poor for validation batches. This flow parameter was difficult to predict from flow characterisation at the unconsolidated state, whereas cohesion was reasonably predicted from dynamic powder flow testing. Thus, FF may be a unique flow </w:t>
      </w:r>
      <w:r w:rsidRPr="00DE3248">
        <w:rPr>
          <w:rFonts w:cs="Times New Roman"/>
          <w:noProof/>
          <w:color w:val="000000" w:themeColor="text1"/>
          <w:szCs w:val="24"/>
        </w:rPr>
        <w:t>characteristic</w:t>
      </w:r>
      <w:r w:rsidRPr="00DE3248">
        <w:rPr>
          <w:rFonts w:cs="Times New Roman"/>
          <w:color w:val="000000" w:themeColor="text1"/>
          <w:szCs w:val="24"/>
        </w:rPr>
        <w:t xml:space="preserve"> of powders in </w:t>
      </w:r>
      <w:r w:rsidRPr="00DE3248">
        <w:rPr>
          <w:rFonts w:cs="Times New Roman"/>
          <w:noProof/>
          <w:color w:val="000000" w:themeColor="text1"/>
          <w:szCs w:val="24"/>
        </w:rPr>
        <w:t>the consolidated</w:t>
      </w:r>
      <w:r w:rsidRPr="00DE3248">
        <w:rPr>
          <w:rFonts w:cs="Times New Roman"/>
          <w:color w:val="000000" w:themeColor="text1"/>
          <w:szCs w:val="24"/>
        </w:rPr>
        <w:t xml:space="preserve"> </w:t>
      </w:r>
      <w:r w:rsidRPr="00DE3248">
        <w:rPr>
          <w:rFonts w:cs="Times New Roman"/>
          <w:noProof/>
          <w:color w:val="000000" w:themeColor="text1"/>
          <w:szCs w:val="24"/>
        </w:rPr>
        <w:t>state,</w:t>
      </w:r>
      <w:r w:rsidRPr="00DE3248">
        <w:rPr>
          <w:color w:val="000000" w:themeColor="text1"/>
        </w:rPr>
        <w:t xml:space="preserve"> </w:t>
      </w:r>
      <w:r w:rsidRPr="00DE3248">
        <w:rPr>
          <w:rFonts w:cs="Times New Roman"/>
          <w:color w:val="000000" w:themeColor="text1"/>
          <w:szCs w:val="24"/>
        </w:rPr>
        <w:t xml:space="preserve">and reflects a confined or high stress environment during processing. This finding points to the </w:t>
      </w:r>
      <w:r w:rsidRPr="00DE3248">
        <w:rPr>
          <w:rFonts w:cs="Times New Roman"/>
          <w:noProof/>
          <w:color w:val="000000" w:themeColor="text1"/>
          <w:szCs w:val="24"/>
        </w:rPr>
        <w:t>systematic</w:t>
      </w:r>
      <w:r w:rsidRPr="00DE3248">
        <w:rPr>
          <w:rFonts w:cs="Times New Roman"/>
          <w:color w:val="000000" w:themeColor="text1"/>
          <w:szCs w:val="24"/>
        </w:rPr>
        <w:t xml:space="preserve"> selection of flow characterisation, by avoiding overlapping powder flow parameters or indices, as a static flow parameter (i.e. cohesion) may be predicted from parameters determined from dynamic flow </w:t>
      </w:r>
      <w:r w:rsidRPr="00DE3248">
        <w:rPr>
          <w:rFonts w:cs="Times New Roman"/>
          <w:noProof/>
          <w:color w:val="000000" w:themeColor="text1"/>
          <w:szCs w:val="24"/>
        </w:rPr>
        <w:t>testing.</w:t>
      </w:r>
      <w:r w:rsidRPr="00DE3248">
        <w:rPr>
          <w:rFonts w:cs="Times New Roman"/>
          <w:color w:val="000000" w:themeColor="text1"/>
          <w:szCs w:val="24"/>
        </w:rPr>
        <w:t xml:space="preserve"> Increasing the number of batches of IBU (from 6 to 8) and adding one more dynamic flow parameter (SI) to the MLR model (MLR-1b) (Fig. 2 slightly decreased the quality of the model for FF and cohesion from dynamic powder properties (Fig. 2). The ANOVA analysis showed a decrease in multiple </w:t>
      </w:r>
      <w:r w:rsidRPr="00DE3248">
        <w:rPr>
          <w:rFonts w:cs="Times New Roman"/>
          <w:noProof/>
          <w:color w:val="000000" w:themeColor="text1"/>
          <w:szCs w:val="24"/>
        </w:rPr>
        <w:t xml:space="preserve">correlations and an increase </w:t>
      </w:r>
      <w:r w:rsidRPr="00DE3248">
        <w:rPr>
          <w:rFonts w:cs="Times New Roman"/>
          <w:color w:val="000000" w:themeColor="text1"/>
          <w:szCs w:val="24"/>
        </w:rPr>
        <w:t xml:space="preserve">in the </w:t>
      </w:r>
      <w:r w:rsidRPr="00DE3248">
        <w:rPr>
          <w:rFonts w:cs="Times New Roman"/>
          <w:i/>
          <w:color w:val="000000" w:themeColor="text1"/>
          <w:szCs w:val="24"/>
        </w:rPr>
        <w:t>p</w:t>
      </w:r>
      <w:r w:rsidRPr="00DE3248">
        <w:rPr>
          <w:rFonts w:cs="Times New Roman"/>
          <w:color w:val="000000" w:themeColor="text1"/>
          <w:szCs w:val="24"/>
        </w:rPr>
        <w:t>-value (</w:t>
      </w:r>
      <w:r w:rsidRPr="00DE3248">
        <w:rPr>
          <w:rFonts w:eastAsia="Times New Roman" w:cs="Times New Roman"/>
          <w:color w:val="000000" w:themeColor="text1"/>
          <w:szCs w:val="24"/>
          <w:lang w:val="en-US"/>
        </w:rPr>
        <w:t>cohesion,</w:t>
      </w:r>
      <w:r w:rsidRPr="00DE3248">
        <w:rPr>
          <w:rFonts w:cs="Times New Roman"/>
          <w:i/>
          <w:color w:val="000000" w:themeColor="text1"/>
          <w:szCs w:val="24"/>
        </w:rPr>
        <w:t xml:space="preserve"> p </w:t>
      </w:r>
      <w:r w:rsidRPr="00DE3248">
        <w:rPr>
          <w:rFonts w:cs="Times New Roman"/>
          <w:color w:val="000000" w:themeColor="text1"/>
          <w:szCs w:val="24"/>
        </w:rPr>
        <w:t xml:space="preserve">= </w:t>
      </w:r>
      <w:r w:rsidRPr="00DE3248">
        <w:rPr>
          <w:rFonts w:eastAsia="Times New Roman" w:cs="Times New Roman"/>
          <w:color w:val="000000" w:themeColor="text1"/>
          <w:szCs w:val="24"/>
          <w:lang w:val="en-US"/>
        </w:rPr>
        <w:t>0.15 and FF,</w:t>
      </w:r>
      <w:r w:rsidRPr="00DE3248">
        <w:rPr>
          <w:rFonts w:eastAsia="Times New Roman" w:cs="Times New Roman"/>
          <w:i/>
          <w:color w:val="000000" w:themeColor="text1"/>
          <w:szCs w:val="24"/>
          <w:lang w:val="en-US"/>
        </w:rPr>
        <w:t xml:space="preserve"> p </w:t>
      </w:r>
      <w:r w:rsidRPr="00DE3248">
        <w:rPr>
          <w:rFonts w:eastAsia="Times New Roman" w:cs="Times New Roman"/>
          <w:color w:val="000000" w:themeColor="text1"/>
          <w:szCs w:val="24"/>
          <w:lang w:val="en-US"/>
        </w:rPr>
        <w:t>= 0.24)</w:t>
      </w:r>
      <w:r w:rsidRPr="00DE3248">
        <w:rPr>
          <w:rFonts w:cs="Times New Roman"/>
          <w:color w:val="000000" w:themeColor="text1"/>
          <w:szCs w:val="24"/>
        </w:rPr>
        <w:t xml:space="preserve"> due to the higher number of batches in the MLR models (MLR-1b from </w:t>
      </w:r>
      <w:r w:rsidRPr="00DE3248">
        <w:rPr>
          <w:rFonts w:eastAsia="Times New Roman" w:cs="Times New Roman"/>
          <w:color w:val="000000" w:themeColor="text1"/>
          <w:sz w:val="20"/>
          <w:szCs w:val="20"/>
          <w:lang w:val="en-US"/>
        </w:rPr>
        <w:t>SE, CBD, FRI, SI, BFE</w:t>
      </w:r>
      <w:r w:rsidRPr="00DE3248">
        <w:rPr>
          <w:rFonts w:cs="Times New Roman"/>
          <w:color w:val="000000" w:themeColor="text1"/>
          <w:szCs w:val="24"/>
        </w:rPr>
        <w:t xml:space="preserve"> and MLR-1c (not shown) from </w:t>
      </w:r>
      <w:r w:rsidRPr="00DE3248">
        <w:rPr>
          <w:rFonts w:eastAsia="Times New Roman" w:cs="Times New Roman"/>
          <w:color w:val="000000" w:themeColor="text1"/>
          <w:sz w:val="20"/>
          <w:szCs w:val="20"/>
          <w:lang w:val="en-US"/>
        </w:rPr>
        <w:t>SE, CBD, FRI, BFE)</w:t>
      </w:r>
      <w:r w:rsidRPr="00DE3248">
        <w:rPr>
          <w:rFonts w:cs="Times New Roman"/>
          <w:color w:val="000000" w:themeColor="text1"/>
          <w:szCs w:val="24"/>
        </w:rPr>
        <w:t xml:space="preserve"> (table 3) (supplementary data table S</w:t>
      </w:r>
      <w:r w:rsidRPr="00DE3248">
        <w:rPr>
          <w:rFonts w:cs="Times New Roman"/>
          <w:color w:val="000000" w:themeColor="text1"/>
          <w:szCs w:val="24"/>
          <w:vertAlign w:val="subscript"/>
        </w:rPr>
        <w:t>2</w:t>
      </w:r>
      <w:r w:rsidRPr="00DE3248">
        <w:rPr>
          <w:rFonts w:cs="Times New Roman"/>
          <w:color w:val="000000" w:themeColor="text1"/>
          <w:szCs w:val="24"/>
        </w:rPr>
        <w:t xml:space="preserve">-2 for </w:t>
      </w:r>
      <w:r w:rsidRPr="00DE3248">
        <w:rPr>
          <w:rFonts w:cs="Times New Roman"/>
          <w:color w:val="000000" w:themeColor="text1"/>
        </w:rPr>
        <w:t>ANOVA table of both MLR models</w:t>
      </w:r>
      <w:r w:rsidRPr="00DE3248">
        <w:rPr>
          <w:rFonts w:cs="Times New Roman"/>
          <w:color w:val="000000" w:themeColor="text1"/>
          <w:szCs w:val="24"/>
        </w:rPr>
        <w:t>)</w:t>
      </w:r>
      <w:r w:rsidRPr="00DE3248">
        <w:rPr>
          <w:rFonts w:ascii="Calibri" w:eastAsia="Times New Roman" w:hAnsi="Calibri" w:cs="Times New Roman"/>
          <w:color w:val="000000" w:themeColor="text1"/>
          <w:lang w:val="en-US"/>
        </w:rPr>
        <w:t xml:space="preserve">. </w:t>
      </w:r>
      <w:r w:rsidRPr="00DE3248">
        <w:rPr>
          <w:color w:val="000000" w:themeColor="text1"/>
          <w:lang w:val="en-US"/>
        </w:rPr>
        <w:t>However, the prediction values of cohesion and FF by the MLR-1b model for validation batches were improved compared to MLR-1a, even if ANOVA analysis showed a relatively superior quality of the MLR-1a model. Increasing the number of batches to develop MLR models clearly improved the prediction of cohesion and FF. However, including an additional dynamic flow variable</w:t>
      </w:r>
      <w:r w:rsidRPr="00DE3248">
        <w:rPr>
          <w:color w:val="000000" w:themeColor="text1"/>
        </w:rPr>
        <w:t>, stability index (SI), did not improve the predictive ability of the MLR models (table 3).</w:t>
      </w:r>
    </w:p>
    <w:p w:rsidR="00BF0B37" w:rsidRPr="00DE3248" w:rsidRDefault="00BF0B37" w:rsidP="00BF0B37">
      <w:pPr>
        <w:spacing w:before="120" w:line="480" w:lineRule="auto"/>
        <w:jc w:val="both"/>
        <w:rPr>
          <w:rFonts w:cs="Times New Roman"/>
          <w:b/>
          <w:i/>
          <w:color w:val="000000" w:themeColor="text1"/>
          <w:szCs w:val="24"/>
        </w:rPr>
      </w:pPr>
      <w:r w:rsidRPr="00DE3248">
        <w:rPr>
          <w:color w:val="000000" w:themeColor="text1"/>
          <w:szCs w:val="24"/>
        </w:rPr>
        <w:t xml:space="preserve">Poor powder stability, as measured by the stability index (SI), can be associated </w:t>
      </w:r>
      <w:r w:rsidRPr="00DE3248">
        <w:rPr>
          <w:noProof/>
          <w:color w:val="000000" w:themeColor="text1"/>
          <w:szCs w:val="24"/>
        </w:rPr>
        <w:t>with</w:t>
      </w:r>
      <w:r w:rsidRPr="00DE3248">
        <w:rPr>
          <w:color w:val="000000" w:themeColor="text1"/>
          <w:szCs w:val="24"/>
        </w:rPr>
        <w:t xml:space="preserve"> alteration of the complex particulate level physical properties of the powders due to attrition or/and agglomeration during the lifecycle of the API, from raw material manufacturing to drug product </w:t>
      </w:r>
      <w:r w:rsidRPr="00DE3248">
        <w:rPr>
          <w:color w:val="000000" w:themeColor="text1"/>
          <w:szCs w:val="24"/>
        </w:rPr>
        <w:lastRenderedPageBreak/>
        <w:t xml:space="preserve">development. Pharmaceutical excipients and polymers are often ductile or less brittle in nature </w:t>
      </w:r>
      <w:r w:rsidRPr="00DE3248">
        <w:rPr>
          <w:rStyle w:val="fontstyle01"/>
          <w:i/>
          <w:color w:val="000000" w:themeColor="text1"/>
          <w:szCs w:val="24"/>
        </w:rPr>
        <w:fldChar w:fldCharType="begin"/>
      </w:r>
      <w:r w:rsidRPr="00DE3248">
        <w:rPr>
          <w:rStyle w:val="fontstyle01"/>
          <w:color w:val="000000" w:themeColor="text1"/>
          <w:szCs w:val="24"/>
        </w:rPr>
        <w:instrText xml:space="preserve"> ADDIN EN.CITE &lt;EndNote&gt;&lt;Cite&gt;&lt;Author&gt;Khomane&lt;/Author&gt;&lt;Year&gt;2013&lt;/Year&gt;&lt;RecNum&gt;28&lt;/RecNum&gt;&lt;DisplayText&gt;(Khomane and Bansal, 2013)&lt;/DisplayText&gt;&lt;record&gt;&lt;rec-number&gt;28&lt;/rec-number&gt;&lt;foreign-keys&gt;&lt;key app="EN" db-id="d5fs0wsvp0f05ser9abpxz97rwr0et952ape" timestamp="1491558971"&gt;28&lt;/key&gt;&lt;/foreign-keys&gt;&lt;ref-type name="Journal Article"&gt;17&lt;/ref-type&gt;&lt;contributors&gt;&lt;authors&gt;&lt;author&gt;Khomane, Kailas S&lt;/author&gt;&lt;author&gt;Bansal, Arvind K&lt;/author&gt;&lt;/authors&gt;&lt;/contributors&gt;&lt;titles&gt;&lt;title&gt;Yield strength of microcrystalline cellulose: Experimental evidence by dielectric spectroscopy&lt;/title&gt;&lt;secondary-title&gt;Int. J. Pharm.&lt;/secondary-title&gt;&lt;/titles&gt;&lt;periodical&gt;&lt;full-title&gt;Int. J. Pharm.&lt;/full-title&gt;&lt;/periodical&gt;&lt;pages&gt;1-4&lt;/pages&gt;&lt;volume&gt;455&lt;/volume&gt;&lt;number&gt;1&lt;/number&gt;&lt;dates&gt;&lt;year&gt;2013&lt;/year&gt;&lt;/dates&gt;&lt;isbn&gt;0378-5173&lt;/isbn&gt;&lt;urls&gt;&lt;/urls&gt;&lt;/record&gt;&lt;/Cite&gt;&lt;/EndNote&gt;</w:instrText>
      </w:r>
      <w:r w:rsidRPr="00DE3248">
        <w:rPr>
          <w:rStyle w:val="fontstyle01"/>
          <w:i/>
          <w:color w:val="000000" w:themeColor="text1"/>
          <w:szCs w:val="24"/>
        </w:rPr>
        <w:fldChar w:fldCharType="separate"/>
      </w:r>
      <w:r w:rsidRPr="00DE3248">
        <w:rPr>
          <w:rStyle w:val="fontstyle01"/>
          <w:noProof/>
          <w:color w:val="000000" w:themeColor="text1"/>
          <w:szCs w:val="24"/>
        </w:rPr>
        <w:t>(</w:t>
      </w:r>
      <w:hyperlink w:anchor="_ENREF_18" w:tooltip="Khomane, 2013 #28" w:history="1">
        <w:r w:rsidRPr="00DE3248">
          <w:rPr>
            <w:rStyle w:val="fontstyle01"/>
            <w:noProof/>
            <w:color w:val="000000" w:themeColor="text1"/>
            <w:szCs w:val="24"/>
          </w:rPr>
          <w:t>Khomane and Bansal, 2013</w:t>
        </w:r>
      </w:hyperlink>
      <w:r w:rsidRPr="00DE3248">
        <w:rPr>
          <w:rStyle w:val="fontstyle01"/>
          <w:noProof/>
          <w:color w:val="000000" w:themeColor="text1"/>
          <w:szCs w:val="24"/>
        </w:rPr>
        <w:t>)</w:t>
      </w:r>
      <w:r w:rsidRPr="00DE3248">
        <w:rPr>
          <w:rStyle w:val="fontstyle01"/>
          <w:i/>
          <w:color w:val="000000" w:themeColor="text1"/>
          <w:szCs w:val="24"/>
        </w:rPr>
        <w:fldChar w:fldCharType="end"/>
      </w:r>
      <w:r w:rsidRPr="00DE3248">
        <w:rPr>
          <w:color w:val="000000" w:themeColor="text1"/>
          <w:szCs w:val="24"/>
        </w:rPr>
        <w:t xml:space="preserve">. They require a mechanical stress beyond the yield strength to undergo plastic deformation followed by brittle </w:t>
      </w:r>
      <w:r w:rsidRPr="00DE3248">
        <w:rPr>
          <w:color w:val="000000" w:themeColor="text1"/>
          <w:szCs w:val="24"/>
          <w:lang w:val="en-US"/>
        </w:rPr>
        <w:t>fracture</w:t>
      </w:r>
      <w:r w:rsidRPr="00DE3248">
        <w:rPr>
          <w:color w:val="000000" w:themeColor="text1"/>
          <w:szCs w:val="24"/>
        </w:rPr>
        <w:t xml:space="preserve">. </w:t>
      </w:r>
    </w:p>
    <w:p w:rsidR="00BF0B37" w:rsidRPr="00DE3248" w:rsidRDefault="00BF0B37">
      <w:pPr>
        <w:rPr>
          <w:b/>
          <w:iCs/>
          <w:color w:val="000000" w:themeColor="text1"/>
          <w:sz w:val="20"/>
          <w:szCs w:val="20"/>
        </w:rPr>
      </w:pPr>
      <w:r w:rsidRPr="00DE3248">
        <w:rPr>
          <w:b/>
          <w:i/>
          <w:color w:val="000000" w:themeColor="text1"/>
          <w:sz w:val="20"/>
          <w:szCs w:val="20"/>
        </w:rPr>
        <w:br w:type="page"/>
      </w:r>
    </w:p>
    <w:p w:rsidR="00BF0B37" w:rsidRPr="00DE3248" w:rsidRDefault="00BF0B37" w:rsidP="00BF0B37">
      <w:pPr>
        <w:pStyle w:val="Caption"/>
        <w:keepNext/>
        <w:rPr>
          <w:b/>
          <w:i w:val="0"/>
          <w:color w:val="000000" w:themeColor="text1"/>
          <w:sz w:val="20"/>
          <w:szCs w:val="20"/>
        </w:rPr>
      </w:pPr>
      <w:r w:rsidRPr="00DE3248">
        <w:rPr>
          <w:b/>
          <w:i w:val="0"/>
          <w:color w:val="000000" w:themeColor="text1"/>
          <w:sz w:val="20"/>
          <w:szCs w:val="20"/>
        </w:rPr>
        <w:lastRenderedPageBreak/>
        <w:t xml:space="preserve">Table </w:t>
      </w:r>
      <w:r w:rsidRPr="00DE3248">
        <w:rPr>
          <w:b/>
          <w:i w:val="0"/>
          <w:color w:val="000000" w:themeColor="text1"/>
          <w:sz w:val="20"/>
          <w:szCs w:val="20"/>
        </w:rPr>
        <w:fldChar w:fldCharType="begin"/>
      </w:r>
      <w:r w:rsidRPr="00DE3248">
        <w:rPr>
          <w:b/>
          <w:i w:val="0"/>
          <w:color w:val="000000" w:themeColor="text1"/>
          <w:sz w:val="20"/>
          <w:szCs w:val="20"/>
        </w:rPr>
        <w:instrText xml:space="preserve"> SEQ Table \* ARABIC </w:instrText>
      </w:r>
      <w:r w:rsidRPr="00DE3248">
        <w:rPr>
          <w:b/>
          <w:i w:val="0"/>
          <w:color w:val="000000" w:themeColor="text1"/>
          <w:sz w:val="20"/>
          <w:szCs w:val="20"/>
        </w:rPr>
        <w:fldChar w:fldCharType="separate"/>
      </w:r>
      <w:r w:rsidRPr="00DE3248">
        <w:rPr>
          <w:b/>
          <w:i w:val="0"/>
          <w:noProof/>
          <w:color w:val="000000" w:themeColor="text1"/>
          <w:sz w:val="20"/>
          <w:szCs w:val="20"/>
        </w:rPr>
        <w:t>3</w:t>
      </w:r>
      <w:r w:rsidRPr="00DE3248">
        <w:rPr>
          <w:b/>
          <w:i w:val="0"/>
          <w:color w:val="000000" w:themeColor="text1"/>
          <w:sz w:val="20"/>
          <w:szCs w:val="20"/>
        </w:rPr>
        <w:fldChar w:fldCharType="end"/>
      </w:r>
    </w:p>
    <w:p w:rsidR="00BF0B37" w:rsidRPr="00DE3248" w:rsidRDefault="00BF0B37" w:rsidP="00BF0B37">
      <w:pPr>
        <w:pStyle w:val="Caption"/>
        <w:keepNext/>
        <w:spacing w:line="480" w:lineRule="auto"/>
        <w:rPr>
          <w:rFonts w:cs="Times New Roman"/>
          <w:i w:val="0"/>
          <w:color w:val="000000" w:themeColor="text1"/>
          <w:sz w:val="20"/>
          <w:szCs w:val="20"/>
        </w:rPr>
      </w:pPr>
      <w:r w:rsidRPr="00DE3248">
        <w:rPr>
          <w:rFonts w:cs="Times New Roman"/>
          <w:i w:val="0"/>
          <w:color w:val="000000" w:themeColor="text1"/>
          <w:sz w:val="20"/>
          <w:szCs w:val="20"/>
        </w:rPr>
        <w:t>The prediction of cohesion (kPa) and FF from dynamic powder flow parameters using three models</w:t>
      </w:r>
    </w:p>
    <w:tbl>
      <w:tblPr>
        <w:tblStyle w:val="PlainTable2"/>
        <w:tblW w:w="0" w:type="auto"/>
        <w:tblLook w:val="04A0" w:firstRow="1" w:lastRow="0" w:firstColumn="1" w:lastColumn="0" w:noHBand="0" w:noVBand="1"/>
      </w:tblPr>
      <w:tblGrid>
        <w:gridCol w:w="3703"/>
        <w:gridCol w:w="1095"/>
        <w:gridCol w:w="972"/>
        <w:gridCol w:w="1027"/>
        <w:gridCol w:w="972"/>
        <w:gridCol w:w="1027"/>
      </w:tblGrid>
      <w:tr w:rsidR="00BF0B37" w:rsidRPr="00DE3248" w:rsidTr="008162A4">
        <w:trPr>
          <w:cnfStyle w:val="100000000000" w:firstRow="1" w:lastRow="0" w:firstColumn="0" w:lastColumn="0" w:oddVBand="0" w:evenVBand="0" w:oddHBand="0"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single" w:sz="4" w:space="0" w:color="auto"/>
              <w:bottom w:val="nil"/>
            </w:tcBorders>
            <w:noWrap/>
            <w:hideMark/>
          </w:tcPr>
          <w:p w:rsidR="00BF0B37" w:rsidRPr="00DE3248" w:rsidRDefault="00BF0B37" w:rsidP="008162A4">
            <w:pPr>
              <w:spacing w:line="480" w:lineRule="auto"/>
              <w:jc w:val="center"/>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MLR Model</w:t>
            </w:r>
            <w:r w:rsidRPr="00DE3248">
              <w:rPr>
                <w:rFonts w:eastAsia="Times New Roman" w:cs="Times New Roman"/>
                <w:b w:val="0"/>
                <w:color w:val="000000" w:themeColor="text1"/>
                <w:sz w:val="20"/>
                <w:szCs w:val="20"/>
                <w:vertAlign w:val="superscript"/>
                <w:lang w:val="en-US"/>
              </w:rPr>
              <w:t>a, b</w:t>
            </w:r>
          </w:p>
        </w:tc>
        <w:tc>
          <w:tcPr>
            <w:tcW w:w="1095" w:type="dxa"/>
            <w:vMerge w:val="restart"/>
            <w:tcBorders>
              <w:top w:val="single" w:sz="4" w:space="0" w:color="auto"/>
              <w:bottom w:val="nil"/>
            </w:tcBorders>
            <w:noWrap/>
            <w:hideMark/>
          </w:tcPr>
          <w:p w:rsidR="00BF0B37" w:rsidRPr="00DE3248" w:rsidRDefault="00BF0B37" w:rsidP="008162A4">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Batches</w:t>
            </w:r>
          </w:p>
        </w:tc>
        <w:tc>
          <w:tcPr>
            <w:tcW w:w="0" w:type="auto"/>
            <w:gridSpan w:val="2"/>
            <w:tcBorders>
              <w:top w:val="single" w:sz="4" w:space="0" w:color="auto"/>
              <w:bottom w:val="single" w:sz="4" w:space="0" w:color="auto"/>
            </w:tcBorders>
            <w:noWrap/>
            <w:hideMark/>
          </w:tcPr>
          <w:p w:rsidR="00BF0B37" w:rsidRPr="00DE3248" w:rsidRDefault="00BF0B37" w:rsidP="008162A4">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Cohesion (kPa)</w:t>
            </w:r>
          </w:p>
        </w:tc>
        <w:tc>
          <w:tcPr>
            <w:tcW w:w="0" w:type="auto"/>
            <w:gridSpan w:val="2"/>
            <w:tcBorders>
              <w:top w:val="single" w:sz="4" w:space="0" w:color="auto"/>
              <w:bottom w:val="single" w:sz="4" w:space="0" w:color="auto"/>
            </w:tcBorders>
            <w:noWrap/>
            <w:hideMark/>
          </w:tcPr>
          <w:p w:rsidR="00BF0B37" w:rsidRPr="00DE3248" w:rsidRDefault="00BF0B37" w:rsidP="008162A4">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FF</w:t>
            </w:r>
          </w:p>
        </w:tc>
      </w:tr>
      <w:tr w:rsidR="00BF0B37" w:rsidRPr="00DE3248" w:rsidTr="008162A4">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single" w:sz="4" w:space="0" w:color="auto"/>
            </w:tcBorders>
            <w:hideMark/>
          </w:tcPr>
          <w:p w:rsidR="00BF0B37" w:rsidRPr="00DE3248" w:rsidRDefault="00BF0B37" w:rsidP="008162A4">
            <w:pPr>
              <w:spacing w:line="480" w:lineRule="auto"/>
              <w:rPr>
                <w:rFonts w:eastAsia="Times New Roman" w:cs="Times New Roman"/>
                <w:b w:val="0"/>
                <w:color w:val="000000" w:themeColor="text1"/>
                <w:sz w:val="20"/>
                <w:szCs w:val="20"/>
                <w:lang w:val="en-US"/>
              </w:rPr>
            </w:pPr>
          </w:p>
        </w:tc>
        <w:tc>
          <w:tcPr>
            <w:tcW w:w="1095" w:type="dxa"/>
            <w:vMerge/>
            <w:tcBorders>
              <w:top w:val="nil"/>
              <w:bottom w:val="single" w:sz="4" w:space="0" w:color="auto"/>
            </w:tcBorders>
            <w:hideMark/>
          </w:tcPr>
          <w:p w:rsidR="00BF0B37" w:rsidRPr="00DE3248" w:rsidRDefault="00BF0B37" w:rsidP="008162A4">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
                <w:color w:val="000000" w:themeColor="text1"/>
                <w:sz w:val="20"/>
                <w:szCs w:val="20"/>
                <w:lang w:val="en-US"/>
              </w:rPr>
            </w:pPr>
          </w:p>
        </w:tc>
        <w:tc>
          <w:tcPr>
            <w:tcW w:w="0" w:type="auto"/>
            <w:tcBorders>
              <w:top w:val="single" w:sz="4" w:space="0" w:color="auto"/>
              <w:bottom w:val="single" w:sz="4" w:space="0" w:color="auto"/>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Predicted</w:t>
            </w:r>
          </w:p>
        </w:tc>
        <w:tc>
          <w:tcPr>
            <w:tcW w:w="0" w:type="auto"/>
            <w:tcBorders>
              <w:top w:val="single" w:sz="4" w:space="0" w:color="auto"/>
              <w:bottom w:val="single" w:sz="4" w:space="0" w:color="auto"/>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Reference</w:t>
            </w:r>
          </w:p>
        </w:tc>
        <w:tc>
          <w:tcPr>
            <w:tcW w:w="0" w:type="auto"/>
            <w:tcBorders>
              <w:top w:val="single" w:sz="4" w:space="0" w:color="auto"/>
              <w:bottom w:val="single" w:sz="4" w:space="0" w:color="auto"/>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Predicted</w:t>
            </w:r>
          </w:p>
        </w:tc>
        <w:tc>
          <w:tcPr>
            <w:tcW w:w="0" w:type="auto"/>
            <w:tcBorders>
              <w:top w:val="single" w:sz="4" w:space="0" w:color="auto"/>
              <w:bottom w:val="single" w:sz="4" w:space="0" w:color="auto"/>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Reference</w:t>
            </w:r>
          </w:p>
        </w:tc>
      </w:tr>
      <w:tr w:rsidR="00BF0B37" w:rsidRPr="00DE3248" w:rsidTr="008162A4">
        <w:trPr>
          <w:trHeight w:val="152"/>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single" w:sz="4" w:space="0" w:color="auto"/>
              <w:bottom w:val="nil"/>
            </w:tcBorders>
            <w:noWrap/>
            <w:hideMark/>
          </w:tcPr>
          <w:p w:rsidR="00BF0B37" w:rsidRPr="00DE3248" w:rsidRDefault="00BF0B37" w:rsidP="008162A4">
            <w:pPr>
              <w:spacing w:line="480" w:lineRule="auto"/>
              <w:rPr>
                <w:rFonts w:eastAsia="Times New Roman" w:cs="Times New Roman"/>
                <w:b w:val="0"/>
                <w:color w:val="000000" w:themeColor="text1"/>
                <w:sz w:val="20"/>
                <w:szCs w:val="20"/>
                <w:lang w:val="fr-BE"/>
              </w:rPr>
            </w:pPr>
            <w:r w:rsidRPr="00DE3248">
              <w:rPr>
                <w:rFonts w:eastAsia="Times New Roman" w:cs="Times New Roman"/>
                <w:b w:val="0"/>
                <w:color w:val="000000" w:themeColor="text1"/>
                <w:sz w:val="20"/>
                <w:szCs w:val="20"/>
                <w:lang w:val="fr-BE"/>
              </w:rPr>
              <w:t>MLR-1a (SE, CBD, FRI, BFE)</w:t>
            </w:r>
            <w:r w:rsidRPr="00DE3248">
              <w:rPr>
                <w:rFonts w:eastAsia="Times New Roman" w:cs="Times New Roman"/>
                <w:b w:val="0"/>
                <w:color w:val="000000" w:themeColor="text1"/>
                <w:sz w:val="20"/>
                <w:szCs w:val="20"/>
                <w:vertAlign w:val="superscript"/>
                <w:lang w:val="fr-BE"/>
              </w:rPr>
              <w:t>a</w:t>
            </w:r>
            <w:r w:rsidRPr="00DE3248">
              <w:rPr>
                <w:rFonts w:eastAsia="Times New Roman" w:cs="Times New Roman"/>
                <w:b w:val="0"/>
                <w:color w:val="000000" w:themeColor="text1"/>
                <w:sz w:val="20"/>
                <w:szCs w:val="20"/>
                <w:lang w:val="fr-BE"/>
              </w:rPr>
              <w:t xml:space="preserve"> (6)</w:t>
            </w:r>
            <w:r w:rsidRPr="00DE3248">
              <w:rPr>
                <w:rFonts w:eastAsia="Times New Roman" w:cs="Times New Roman"/>
                <w:b w:val="0"/>
                <w:color w:val="000000" w:themeColor="text1"/>
                <w:sz w:val="20"/>
                <w:szCs w:val="20"/>
                <w:vertAlign w:val="superscript"/>
                <w:lang w:val="fr-BE"/>
              </w:rPr>
              <w:t>b</w:t>
            </w:r>
          </w:p>
        </w:tc>
        <w:tc>
          <w:tcPr>
            <w:tcW w:w="1095" w:type="dxa"/>
            <w:tcBorders>
              <w:top w:val="single" w:sz="4" w:space="0" w:color="auto"/>
              <w:bottom w:val="nil"/>
            </w:tcBorders>
            <w:noWrap/>
            <w:hideMark/>
          </w:tcPr>
          <w:p w:rsidR="00BF0B37" w:rsidRPr="00DE3248" w:rsidRDefault="00BF0B37" w:rsidP="008162A4">
            <w:pPr>
              <w:spacing w:line="48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n6</w:t>
            </w:r>
          </w:p>
        </w:tc>
        <w:tc>
          <w:tcPr>
            <w:tcW w:w="0" w:type="auto"/>
            <w:tcBorders>
              <w:top w:val="single" w:sz="4" w:space="0" w:color="auto"/>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2.03</w:t>
            </w:r>
          </w:p>
        </w:tc>
        <w:tc>
          <w:tcPr>
            <w:tcW w:w="0" w:type="auto"/>
            <w:tcBorders>
              <w:top w:val="single" w:sz="4" w:space="0" w:color="auto"/>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0.88</w:t>
            </w:r>
          </w:p>
        </w:tc>
        <w:tc>
          <w:tcPr>
            <w:tcW w:w="0" w:type="auto"/>
            <w:tcBorders>
              <w:top w:val="single" w:sz="4" w:space="0" w:color="auto"/>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3.95</w:t>
            </w:r>
          </w:p>
        </w:tc>
        <w:tc>
          <w:tcPr>
            <w:tcW w:w="0" w:type="auto"/>
            <w:tcBorders>
              <w:top w:val="single" w:sz="4" w:space="0" w:color="auto"/>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5.68</w:t>
            </w:r>
          </w:p>
        </w:tc>
      </w:tr>
      <w:tr w:rsidR="00BF0B37" w:rsidRPr="00DE3248" w:rsidTr="008162A4">
        <w:trPr>
          <w:cnfStyle w:val="000000100000" w:firstRow="0" w:lastRow="0" w:firstColumn="0" w:lastColumn="0" w:oddVBand="0" w:evenVBand="0" w:oddHBand="1"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nil"/>
            </w:tcBorders>
            <w:hideMark/>
          </w:tcPr>
          <w:p w:rsidR="00BF0B37" w:rsidRPr="00DE3248" w:rsidRDefault="00BF0B37" w:rsidP="008162A4">
            <w:pPr>
              <w:spacing w:line="480" w:lineRule="auto"/>
              <w:rPr>
                <w:rFonts w:eastAsia="Times New Roman" w:cs="Times New Roman"/>
                <w:b w:val="0"/>
                <w:color w:val="000000" w:themeColor="text1"/>
                <w:sz w:val="20"/>
                <w:szCs w:val="20"/>
                <w:lang w:val="en-US"/>
              </w:rPr>
            </w:pPr>
          </w:p>
        </w:tc>
        <w:tc>
          <w:tcPr>
            <w:tcW w:w="1095" w:type="dxa"/>
            <w:tcBorders>
              <w:top w:val="nil"/>
              <w:bottom w:val="nil"/>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p7</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1.06</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0.45</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-1.54</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9.66</w:t>
            </w:r>
          </w:p>
        </w:tc>
      </w:tr>
      <w:tr w:rsidR="00BF0B37" w:rsidRPr="00DE3248" w:rsidTr="008162A4">
        <w:trPr>
          <w:trHeight w:val="80"/>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nil"/>
              <w:bottom w:val="nil"/>
            </w:tcBorders>
            <w:noWrap/>
            <w:hideMark/>
          </w:tcPr>
          <w:p w:rsidR="00BF0B37" w:rsidRPr="00DE3248" w:rsidRDefault="00BF0B37" w:rsidP="008162A4">
            <w:pPr>
              <w:spacing w:line="480" w:lineRule="auto"/>
              <w:rPr>
                <w:rFonts w:eastAsia="Times New Roman" w:cs="Times New Roman"/>
                <w:b w:val="0"/>
                <w:color w:val="000000" w:themeColor="text1"/>
                <w:sz w:val="20"/>
                <w:szCs w:val="20"/>
                <w:lang w:val="fr-BE"/>
              </w:rPr>
            </w:pPr>
            <w:r w:rsidRPr="00DE3248">
              <w:rPr>
                <w:rFonts w:eastAsia="Times New Roman" w:cs="Times New Roman"/>
                <w:b w:val="0"/>
                <w:color w:val="000000" w:themeColor="text1"/>
                <w:sz w:val="20"/>
                <w:szCs w:val="20"/>
                <w:lang w:val="fr-BE"/>
              </w:rPr>
              <w:t>MLR-1b (SE, CBD, FRI, SI, BFE)</w:t>
            </w:r>
            <w:r w:rsidRPr="00DE3248">
              <w:rPr>
                <w:rFonts w:eastAsia="Times New Roman" w:cs="Times New Roman"/>
                <w:b w:val="0"/>
                <w:color w:val="000000" w:themeColor="text1"/>
                <w:sz w:val="20"/>
                <w:szCs w:val="20"/>
                <w:vertAlign w:val="superscript"/>
                <w:lang w:val="fr-BE"/>
              </w:rPr>
              <w:t>a</w:t>
            </w:r>
            <w:r w:rsidRPr="00DE3248">
              <w:rPr>
                <w:rFonts w:eastAsia="Times New Roman" w:cs="Times New Roman"/>
                <w:b w:val="0"/>
                <w:color w:val="000000" w:themeColor="text1"/>
                <w:sz w:val="20"/>
                <w:szCs w:val="20"/>
                <w:lang w:val="fr-BE"/>
              </w:rPr>
              <w:t xml:space="preserve"> (8)</w:t>
            </w:r>
            <w:r w:rsidRPr="00DE3248">
              <w:rPr>
                <w:rFonts w:eastAsia="Times New Roman" w:cs="Times New Roman"/>
                <w:b w:val="0"/>
                <w:color w:val="000000" w:themeColor="text1"/>
                <w:sz w:val="20"/>
                <w:szCs w:val="20"/>
                <w:vertAlign w:val="superscript"/>
                <w:lang w:val="fr-BE"/>
              </w:rPr>
              <w:t>b</w:t>
            </w:r>
          </w:p>
        </w:tc>
        <w:tc>
          <w:tcPr>
            <w:tcW w:w="1095" w:type="dxa"/>
            <w:tcBorders>
              <w:top w:val="nil"/>
              <w:bottom w:val="nil"/>
            </w:tcBorders>
            <w:noWrap/>
            <w:hideMark/>
          </w:tcPr>
          <w:p w:rsidR="00BF0B37" w:rsidRPr="00DE3248" w:rsidRDefault="00BF0B37" w:rsidP="008162A4">
            <w:pPr>
              <w:spacing w:line="48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n6</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1.50</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0.88</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4.43</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5.68</w:t>
            </w:r>
          </w:p>
        </w:tc>
      </w:tr>
      <w:tr w:rsidR="00BF0B37" w:rsidRPr="00DE3248" w:rsidTr="008162A4">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nil"/>
            </w:tcBorders>
            <w:hideMark/>
          </w:tcPr>
          <w:p w:rsidR="00BF0B37" w:rsidRPr="00DE3248" w:rsidRDefault="00BF0B37" w:rsidP="008162A4">
            <w:pPr>
              <w:spacing w:line="480" w:lineRule="auto"/>
              <w:rPr>
                <w:rFonts w:eastAsia="Times New Roman" w:cs="Times New Roman"/>
                <w:b w:val="0"/>
                <w:color w:val="000000" w:themeColor="text1"/>
                <w:sz w:val="20"/>
                <w:szCs w:val="20"/>
                <w:lang w:val="en-US"/>
              </w:rPr>
            </w:pPr>
          </w:p>
        </w:tc>
        <w:tc>
          <w:tcPr>
            <w:tcW w:w="1095" w:type="dxa"/>
            <w:tcBorders>
              <w:top w:val="nil"/>
              <w:bottom w:val="nil"/>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p7</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1.09</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0.45</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3.88</w:t>
            </w:r>
          </w:p>
        </w:tc>
        <w:tc>
          <w:tcPr>
            <w:tcW w:w="0" w:type="auto"/>
            <w:tcBorders>
              <w:top w:val="nil"/>
              <w:bottom w:val="nil"/>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9.66</w:t>
            </w:r>
          </w:p>
        </w:tc>
      </w:tr>
      <w:tr w:rsidR="00BF0B37" w:rsidRPr="00DE3248" w:rsidTr="008162A4">
        <w:trPr>
          <w:trHeight w:val="80"/>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nil"/>
              <w:bottom w:val="nil"/>
            </w:tcBorders>
            <w:noWrap/>
            <w:hideMark/>
          </w:tcPr>
          <w:p w:rsidR="00BF0B37" w:rsidRPr="00DE3248" w:rsidRDefault="00BF0B37" w:rsidP="008162A4">
            <w:pPr>
              <w:spacing w:line="480" w:lineRule="auto"/>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MLR-1c (SE, CBD, FRI, BFE)</w:t>
            </w:r>
            <w:r w:rsidRPr="00DE3248">
              <w:rPr>
                <w:rFonts w:eastAsia="Times New Roman" w:cs="Times New Roman"/>
                <w:b w:val="0"/>
                <w:color w:val="000000" w:themeColor="text1"/>
                <w:sz w:val="20"/>
                <w:szCs w:val="20"/>
                <w:vertAlign w:val="superscript"/>
                <w:lang w:val="en-US"/>
              </w:rPr>
              <w:t xml:space="preserve">a </w:t>
            </w:r>
            <w:r w:rsidRPr="00DE3248">
              <w:rPr>
                <w:rFonts w:eastAsia="Times New Roman" w:cs="Times New Roman"/>
                <w:b w:val="0"/>
                <w:color w:val="000000" w:themeColor="text1"/>
                <w:sz w:val="20"/>
                <w:szCs w:val="20"/>
                <w:lang w:val="en-US"/>
              </w:rPr>
              <w:t>(8)</w:t>
            </w:r>
            <w:r w:rsidRPr="00DE3248">
              <w:rPr>
                <w:rFonts w:eastAsia="Times New Roman" w:cs="Times New Roman"/>
                <w:b w:val="0"/>
                <w:color w:val="000000" w:themeColor="text1"/>
                <w:sz w:val="20"/>
                <w:szCs w:val="20"/>
                <w:vertAlign w:val="superscript"/>
                <w:lang w:val="en-US"/>
              </w:rPr>
              <w:t xml:space="preserve">b  </w:t>
            </w:r>
            <w:r w:rsidRPr="00DE3248">
              <w:rPr>
                <w:rFonts w:eastAsia="Times New Roman" w:cs="Times New Roman"/>
                <w:b w:val="0"/>
                <w:color w:val="000000" w:themeColor="text1"/>
                <w:sz w:val="20"/>
                <w:szCs w:val="20"/>
                <w:lang w:val="en-US"/>
              </w:rPr>
              <w:t>(not shown)</w:t>
            </w:r>
          </w:p>
        </w:tc>
        <w:tc>
          <w:tcPr>
            <w:tcW w:w="1095" w:type="dxa"/>
            <w:tcBorders>
              <w:top w:val="nil"/>
              <w:bottom w:val="nil"/>
            </w:tcBorders>
            <w:noWrap/>
            <w:hideMark/>
          </w:tcPr>
          <w:p w:rsidR="00BF0B37" w:rsidRPr="00DE3248" w:rsidRDefault="00BF0B37" w:rsidP="008162A4">
            <w:pPr>
              <w:spacing w:line="48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n6</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1.93</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0.88</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3.60</w:t>
            </w:r>
          </w:p>
        </w:tc>
        <w:tc>
          <w:tcPr>
            <w:tcW w:w="0" w:type="auto"/>
            <w:tcBorders>
              <w:top w:val="nil"/>
              <w:bottom w:val="nil"/>
            </w:tcBorders>
            <w:noWrap/>
            <w:hideMark/>
          </w:tcPr>
          <w:p w:rsidR="00BF0B37" w:rsidRPr="00DE3248" w:rsidRDefault="00BF0B37" w:rsidP="008162A4">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5.68</w:t>
            </w:r>
          </w:p>
        </w:tc>
      </w:tr>
      <w:tr w:rsidR="00BF0B37" w:rsidRPr="00DE3248" w:rsidTr="008162A4">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single" w:sz="4" w:space="0" w:color="auto"/>
            </w:tcBorders>
            <w:hideMark/>
          </w:tcPr>
          <w:p w:rsidR="00BF0B37" w:rsidRPr="00DE3248" w:rsidRDefault="00BF0B37" w:rsidP="008162A4">
            <w:pPr>
              <w:spacing w:line="480" w:lineRule="auto"/>
              <w:rPr>
                <w:rFonts w:eastAsia="Times New Roman" w:cs="Times New Roman"/>
                <w:color w:val="000000" w:themeColor="text1"/>
                <w:sz w:val="20"/>
                <w:szCs w:val="20"/>
                <w:lang w:val="en-US"/>
              </w:rPr>
            </w:pPr>
          </w:p>
        </w:tc>
        <w:tc>
          <w:tcPr>
            <w:tcW w:w="1095" w:type="dxa"/>
            <w:tcBorders>
              <w:top w:val="nil"/>
              <w:bottom w:val="single" w:sz="4" w:space="0" w:color="auto"/>
            </w:tcBorders>
            <w:noWrap/>
            <w:hideMark/>
          </w:tcPr>
          <w:p w:rsidR="00BF0B37" w:rsidRPr="00DE3248" w:rsidRDefault="00BF0B37" w:rsidP="008162A4">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p7</w:t>
            </w:r>
          </w:p>
        </w:tc>
        <w:tc>
          <w:tcPr>
            <w:tcW w:w="0" w:type="auto"/>
            <w:tcBorders>
              <w:top w:val="nil"/>
              <w:bottom w:val="single" w:sz="4" w:space="0" w:color="auto"/>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1.03</w:t>
            </w:r>
          </w:p>
        </w:tc>
        <w:tc>
          <w:tcPr>
            <w:tcW w:w="0" w:type="auto"/>
            <w:tcBorders>
              <w:top w:val="nil"/>
              <w:bottom w:val="single" w:sz="4" w:space="0" w:color="auto"/>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0.45</w:t>
            </w:r>
          </w:p>
        </w:tc>
        <w:tc>
          <w:tcPr>
            <w:tcW w:w="0" w:type="auto"/>
            <w:tcBorders>
              <w:top w:val="nil"/>
              <w:bottom w:val="single" w:sz="4" w:space="0" w:color="auto"/>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4.00</w:t>
            </w:r>
          </w:p>
        </w:tc>
        <w:tc>
          <w:tcPr>
            <w:tcW w:w="0" w:type="auto"/>
            <w:tcBorders>
              <w:top w:val="nil"/>
              <w:bottom w:val="single" w:sz="4" w:space="0" w:color="auto"/>
            </w:tcBorders>
            <w:noWrap/>
            <w:hideMark/>
          </w:tcPr>
          <w:p w:rsidR="00BF0B37" w:rsidRPr="00DE3248" w:rsidRDefault="00BF0B37" w:rsidP="008162A4">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9.66</w:t>
            </w:r>
          </w:p>
        </w:tc>
      </w:tr>
    </w:tbl>
    <w:p w:rsidR="00BF0B37" w:rsidRPr="00DE3248" w:rsidRDefault="00BF0B37" w:rsidP="00BF0B37">
      <w:pPr>
        <w:spacing w:before="240" w:after="120" w:line="480" w:lineRule="auto"/>
        <w:jc w:val="both"/>
        <w:rPr>
          <w:color w:val="000000" w:themeColor="text1"/>
          <w:sz w:val="20"/>
          <w:szCs w:val="20"/>
          <w:lang w:val="en-US"/>
        </w:rPr>
      </w:pPr>
      <w:r w:rsidRPr="00DE3248">
        <w:rPr>
          <w:noProof/>
          <w:color w:val="000000" w:themeColor="text1"/>
          <w:sz w:val="20"/>
          <w:szCs w:val="20"/>
          <w:vertAlign w:val="superscript"/>
          <w:lang w:val="en-US"/>
        </w:rPr>
        <w:t>a,</w:t>
      </w:r>
      <w:r w:rsidRPr="00DE3248">
        <w:rPr>
          <w:color w:val="000000" w:themeColor="text1"/>
          <w:sz w:val="20"/>
          <w:szCs w:val="20"/>
          <w:vertAlign w:val="superscript"/>
          <w:lang w:val="en-US"/>
        </w:rPr>
        <w:t xml:space="preserve">b </w:t>
      </w:r>
      <w:r w:rsidRPr="00DE3248">
        <w:rPr>
          <w:color w:val="000000" w:themeColor="text1"/>
          <w:sz w:val="20"/>
          <w:szCs w:val="20"/>
          <w:lang w:val="en-US"/>
        </w:rPr>
        <w:t xml:space="preserve">variables and the </w:t>
      </w:r>
      <w:r w:rsidRPr="00DE3248">
        <w:rPr>
          <w:noProof/>
          <w:color w:val="000000" w:themeColor="text1"/>
          <w:sz w:val="20"/>
          <w:szCs w:val="20"/>
          <w:lang w:val="en-US"/>
        </w:rPr>
        <w:t>number</w:t>
      </w:r>
      <w:r w:rsidRPr="00DE3248">
        <w:rPr>
          <w:color w:val="000000" w:themeColor="text1"/>
          <w:sz w:val="20"/>
          <w:szCs w:val="20"/>
          <w:lang w:val="en-US"/>
        </w:rPr>
        <w:t xml:space="preserve"> of batches used for MLR models, respectively.</w:t>
      </w:r>
    </w:p>
    <w:p w:rsidR="00BF0B37" w:rsidRPr="00DE3248" w:rsidRDefault="00BF0B37" w:rsidP="00BF0B37">
      <w:pPr>
        <w:spacing w:before="240" w:after="120" w:line="480" w:lineRule="auto"/>
        <w:jc w:val="both"/>
        <w:rPr>
          <w:color w:val="000000" w:themeColor="text1"/>
        </w:rPr>
      </w:pPr>
      <w:r w:rsidRPr="00DE3248">
        <w:rPr>
          <w:color w:val="000000" w:themeColor="text1"/>
        </w:rPr>
        <w:t xml:space="preserve">Excipients like MCC predominantly exhibit plastic deformation, requiring a relatively low yield </w:t>
      </w:r>
      <w:r w:rsidRPr="00DE3248">
        <w:rPr>
          <w:color w:val="000000" w:themeColor="text1"/>
          <w:szCs w:val="24"/>
        </w:rPr>
        <w:t xml:space="preserve">strength (mean yield strength </w:t>
      </w:r>
      <w:r w:rsidRPr="00DE3248">
        <w:rPr>
          <w:i/>
          <w:color w:val="000000" w:themeColor="text1"/>
          <w:szCs w:val="24"/>
        </w:rPr>
        <w:t>ca.</w:t>
      </w:r>
      <w:r w:rsidRPr="00DE3248">
        <w:rPr>
          <w:color w:val="000000" w:themeColor="text1"/>
          <w:szCs w:val="24"/>
        </w:rPr>
        <w:t xml:space="preserve"> </w:t>
      </w:r>
      <w:r w:rsidRPr="00DE3248">
        <w:rPr>
          <w:rStyle w:val="fontstyle01"/>
          <w:color w:val="000000" w:themeColor="text1"/>
          <w:sz w:val="24"/>
          <w:szCs w:val="24"/>
        </w:rPr>
        <w:t xml:space="preserve">15.35 MPa from out-of-die Heckel analysis) to exhibit plastic deformation </w:t>
      </w:r>
      <w:r w:rsidRPr="00DE3248">
        <w:rPr>
          <w:rStyle w:val="fontstyle01"/>
          <w:color w:val="000000" w:themeColor="text1"/>
          <w:sz w:val="24"/>
          <w:szCs w:val="24"/>
        </w:rPr>
        <w:fldChar w:fldCharType="begin"/>
      </w:r>
      <w:r w:rsidRPr="00DE3248">
        <w:rPr>
          <w:rStyle w:val="fontstyle01"/>
          <w:color w:val="000000" w:themeColor="text1"/>
          <w:sz w:val="24"/>
          <w:szCs w:val="24"/>
        </w:rPr>
        <w:instrText xml:space="preserve"> ADDIN EN.CITE &lt;EndNote&gt;&lt;Cite&gt;&lt;Author&gt;Khomane&lt;/Author&gt;&lt;Year&gt;2013&lt;/Year&gt;&lt;RecNum&gt;28&lt;/RecNum&gt;&lt;DisplayText&gt;(Khomane and Bansal, 2013)&lt;/DisplayText&gt;&lt;record&gt;&lt;rec-number&gt;28&lt;/rec-number&gt;&lt;foreign-keys&gt;&lt;key app="EN" db-id="d5fs0wsvp0f05ser9abpxz97rwr0et952ape" timestamp="1491558971"&gt;28&lt;/key&gt;&lt;/foreign-keys&gt;&lt;ref-type name="Journal Article"&gt;17&lt;/ref-type&gt;&lt;contributors&gt;&lt;authors&gt;&lt;author&gt;Khomane, Kailas S&lt;/author&gt;&lt;author&gt;Bansal, Arvind K&lt;/author&gt;&lt;/authors&gt;&lt;/contributors&gt;&lt;titles&gt;&lt;title&gt;Yield strength of microcrystalline cellulose: Experimental evidence by dielectric spectroscopy&lt;/title&gt;&lt;secondary-title&gt;Int. J. Pharm.&lt;/secondary-title&gt;&lt;/titles&gt;&lt;periodical&gt;&lt;full-title&gt;Int. J. Pharm.&lt;/full-title&gt;&lt;/periodical&gt;&lt;pages&gt;1-4&lt;/pages&gt;&lt;volume&gt;455&lt;/volume&gt;&lt;number&gt;1&lt;/number&gt;&lt;dates&gt;&lt;year&gt;2013&lt;/year&gt;&lt;/dates&gt;&lt;isbn&gt;0378-5173&lt;/isbn&gt;&lt;urls&gt;&lt;/urls&gt;&lt;/record&gt;&lt;/Cite&gt;&lt;/EndNote&gt;</w:instrText>
      </w:r>
      <w:r w:rsidRPr="00DE3248">
        <w:rPr>
          <w:rStyle w:val="fontstyle01"/>
          <w:color w:val="000000" w:themeColor="text1"/>
          <w:sz w:val="24"/>
          <w:szCs w:val="24"/>
        </w:rPr>
        <w:fldChar w:fldCharType="separate"/>
      </w:r>
      <w:r w:rsidRPr="00DE3248">
        <w:rPr>
          <w:rStyle w:val="fontstyle01"/>
          <w:noProof/>
          <w:color w:val="000000" w:themeColor="text1"/>
          <w:sz w:val="24"/>
          <w:szCs w:val="24"/>
        </w:rPr>
        <w:t>(</w:t>
      </w:r>
      <w:hyperlink w:anchor="_ENREF_18" w:tooltip="Khomane, 2013 #28" w:history="1">
        <w:r w:rsidRPr="00DE3248">
          <w:rPr>
            <w:rStyle w:val="fontstyle01"/>
            <w:noProof/>
            <w:color w:val="000000" w:themeColor="text1"/>
            <w:sz w:val="24"/>
            <w:szCs w:val="24"/>
          </w:rPr>
          <w:t>Khomane and Bansal, 2013</w:t>
        </w:r>
      </w:hyperlink>
      <w:r w:rsidRPr="00DE3248">
        <w:rPr>
          <w:rStyle w:val="fontstyle01"/>
          <w:noProof/>
          <w:color w:val="000000" w:themeColor="text1"/>
          <w:sz w:val="24"/>
          <w:szCs w:val="24"/>
        </w:rPr>
        <w:t>)</w:t>
      </w:r>
      <w:r w:rsidRPr="00DE3248">
        <w:rPr>
          <w:rStyle w:val="fontstyle01"/>
          <w:color w:val="000000" w:themeColor="text1"/>
          <w:sz w:val="24"/>
          <w:szCs w:val="24"/>
        </w:rPr>
        <w:fldChar w:fldCharType="end"/>
      </w:r>
      <w:r w:rsidRPr="00DE3248">
        <w:rPr>
          <w:color w:val="000000" w:themeColor="text1"/>
        </w:rPr>
        <w:t>. These excipients are less liable to attrition regardless of grades and differences in physical properties; thus they exhibit less flow stability problems (0.95</w:t>
      </w:r>
      <w:r w:rsidRPr="00DE3248">
        <w:rPr>
          <w:rFonts w:cs="Times New Roman"/>
          <w:color w:val="000000" w:themeColor="text1"/>
        </w:rPr>
        <w:t>≤</w:t>
      </w:r>
      <w:r w:rsidRPr="00DE3248">
        <w:rPr>
          <w:color w:val="000000" w:themeColor="text1"/>
        </w:rPr>
        <w:t xml:space="preserve"> SI </w:t>
      </w:r>
      <w:r w:rsidRPr="00DE3248">
        <w:rPr>
          <w:rFonts w:cs="Times New Roman"/>
          <w:color w:val="000000" w:themeColor="text1"/>
        </w:rPr>
        <w:t>≤</w:t>
      </w:r>
      <w:r w:rsidRPr="00DE3248">
        <w:rPr>
          <w:color w:val="000000" w:themeColor="text1"/>
        </w:rPr>
        <w:t xml:space="preserve">1.00) </w:t>
      </w:r>
      <w:r w:rsidRPr="00DE3248">
        <w:fldChar w:fldCharType="begin"/>
      </w:r>
      <w:r w:rsidRPr="00DE3248">
        <w:instrText xml:space="preserve"> ADDIN EN.CITE &lt;EndNote&gt;&lt;Cite&gt;&lt;Author&gt;Dumarey&lt;/Author&gt;&lt;Year&gt;2011&lt;/Year&gt;&lt;RecNum&gt;34&lt;/RecNum&gt;&lt;DisplayText&gt;(Dumarey et al., 2011)&lt;/DisplayText&gt;&lt;record&gt;&lt;rec-number&gt;34&lt;/rec-number&gt;&lt;foreign-keys&gt;&lt;key app="EN" db-id="d5fs0wsvp0f05ser9abpxz97rwr0et952ape" timestamp="1491558972"&gt;34&lt;/key&gt;&lt;/foreign-keys&gt;&lt;ref-type name="Journal Article"&gt;17&lt;/ref-type&gt;&lt;contributors&gt;&lt;authors&gt;&lt;author&gt;Dumarey, Melanie&lt;/author&gt;&lt;author&gt;Wikström, Håkan&lt;/author&gt;&lt;author&gt;Fransson, Magnus&lt;/author&gt;&lt;author&gt;Sparén, Anders&lt;/author&gt;&lt;author&gt;Tajarobi, Pirjo&lt;/author&gt;&lt;author&gt;Josefson, Mats&lt;/author&gt;&lt;author&gt;Trygg, Johan&lt;/author&gt;&lt;/authors&gt;&lt;/contributors&gt;&lt;titles&gt;&lt;title&gt;Combining experimental design and orthogonal projections to latent structures to study the influence of microcrystalline cellulose properties on roll compaction&lt;/title&gt;&lt;secondary-title&gt;Int. J. Pharm.&lt;/secondary-title&gt;&lt;/titles&gt;&lt;periodical&gt;&lt;full-title&gt;Int. J. Pharm.&lt;/full-title&gt;&lt;/periodical&gt;&lt;pages&gt;110-119&lt;/pages&gt;&lt;volume&gt;416&lt;/volume&gt;&lt;number&gt;1&lt;/number&gt;&lt;keywords&gt;&lt;keyword&gt;Experimental design&lt;/keyword&gt;&lt;keyword&gt;Microcrystalline cellulose&lt;/keyword&gt;&lt;keyword&gt;Orthogonal projections to latent structures&lt;/keyword&gt;&lt;keyword&gt;Principal component analysis&lt;/keyword&gt;&lt;keyword&gt;Roll compaction&lt;/keyword&gt;&lt;keyword&gt;Tablet manufacturing&lt;/keyword&gt;&lt;/keywords&gt;&lt;dates&gt;&lt;year&gt;2011&lt;/year&gt;&lt;pub-dates&gt;&lt;date&gt;9/15/&lt;/date&gt;&lt;/pub-dates&gt;&lt;/dates&gt;&lt;isbn&gt;0378-5173&lt;/isbn&gt;&lt;urls&gt;&lt;related-urls&gt;&lt;url&gt;http://www.sciencedirect.com/science/article/pii/S0378517311005527&lt;/url&gt;&lt;/related-urls&gt;&lt;/urls&gt;&lt;electronic-resource-num&gt;http://dx.doi.org/10.1016/j.ijpharm.2011.06.018&lt;/electronic-resource-num&gt;&lt;/record&gt;&lt;/Cite&gt;&lt;/EndNote&gt;</w:instrText>
      </w:r>
      <w:r w:rsidRPr="00DE3248">
        <w:fldChar w:fldCharType="separate"/>
      </w:r>
      <w:r w:rsidRPr="00DE3248">
        <w:rPr>
          <w:noProof/>
        </w:rPr>
        <w:t>(</w:t>
      </w:r>
      <w:hyperlink w:anchor="_ENREF_5" w:tooltip="Dumarey, 2011 #34" w:history="1">
        <w:r w:rsidRPr="00DE3248">
          <w:rPr>
            <w:noProof/>
          </w:rPr>
          <w:t>Dumarey et al., 2011</w:t>
        </w:r>
      </w:hyperlink>
      <w:r w:rsidRPr="00DE3248">
        <w:rPr>
          <w:noProof/>
        </w:rPr>
        <w:t>)</w:t>
      </w:r>
      <w:r w:rsidRPr="00DE3248">
        <w:fldChar w:fldCharType="end"/>
      </w:r>
      <w:r w:rsidRPr="00DE3248">
        <w:rPr>
          <w:color w:val="000000" w:themeColor="text1"/>
        </w:rPr>
        <w:t xml:space="preserve">. However, APIs can be brittle, elastic or ductile where brittle materials are prone to attrition followed by agglomeration during processing or powder flow characterisation </w:t>
      </w:r>
      <w:r w:rsidRPr="00DE3248">
        <w:rPr>
          <w:color w:val="000000" w:themeColor="text1"/>
        </w:rPr>
        <w:fldChar w:fldCharType="begin"/>
      </w:r>
      <w:r w:rsidRPr="00DE3248">
        <w:rPr>
          <w:color w:val="000000" w:themeColor="text1"/>
        </w:rPr>
        <w:instrText xml:space="preserve"> ADDIN EN.CITE &lt;EndNote&gt;&lt;Cite&gt;&lt;Author&gt;Patel&lt;/Author&gt;&lt;Year&gt;2010&lt;/Year&gt;&lt;RecNum&gt;35&lt;/RecNum&gt;&lt;DisplayText&gt;(Patel et al., 2010)&lt;/DisplayText&gt;&lt;record&gt;&lt;rec-number&gt;35&lt;/rec-number&gt;&lt;foreign-keys&gt;&lt;key app="EN" db-id="d5fs0wsvp0f05ser9abpxz97rwr0et952ape" timestamp="1491558972"&gt;35&lt;/key&gt;&lt;/foreign-keys&gt;&lt;ref-type name="Journal Article"&gt;17&lt;/ref-type&gt;&lt;contributors&gt;&lt;authors&gt;&lt;author&gt;Patel, Sarsvatkumar&lt;/author&gt;&lt;author&gt;Kaushal, Aditya Mohan&lt;/author&gt;&lt;author&gt;Bansal, Arvind Kumar&lt;/author&gt;&lt;/authors&gt;&lt;/contributors&gt;&lt;titles&gt;&lt;title&gt;Mechanistic investigation on pressure dependency of Heckel parameter&lt;/title&gt;&lt;secondary-title&gt;Int. J. Pharm.&lt;/secondary-title&gt;&lt;/titles&gt;&lt;periodical&gt;&lt;full-title&gt;Int. J. Pharm.&lt;/full-title&gt;&lt;/periodical&gt;&lt;pages&gt;66-73&lt;/pages&gt;&lt;volume&gt;389&lt;/volume&gt;&lt;number&gt;1&lt;/number&gt;&lt;dates&gt;&lt;year&gt;2010&lt;/year&gt;&lt;/dates&gt;&lt;isbn&gt;0378-5173&lt;/isbn&gt;&lt;urls&gt;&lt;/urls&gt;&lt;/record&gt;&lt;/Cite&gt;&lt;/EndNote&gt;</w:instrText>
      </w:r>
      <w:r w:rsidRPr="00DE3248">
        <w:rPr>
          <w:color w:val="000000" w:themeColor="text1"/>
        </w:rPr>
        <w:fldChar w:fldCharType="separate"/>
      </w:r>
      <w:r w:rsidRPr="00DE3248">
        <w:rPr>
          <w:noProof/>
          <w:color w:val="000000" w:themeColor="text1"/>
        </w:rPr>
        <w:t>(</w:t>
      </w:r>
      <w:hyperlink w:anchor="_ENREF_29" w:tooltip="Patel, 2010 #35" w:history="1">
        <w:r w:rsidRPr="00DE3248">
          <w:rPr>
            <w:noProof/>
            <w:color w:val="000000" w:themeColor="text1"/>
          </w:rPr>
          <w:t>Patel et al., 2010</w:t>
        </w:r>
      </w:hyperlink>
      <w:r w:rsidRPr="00DE3248">
        <w:rPr>
          <w:noProof/>
          <w:color w:val="000000" w:themeColor="text1"/>
        </w:rPr>
        <w:t>)</w:t>
      </w:r>
      <w:r w:rsidRPr="00DE3248">
        <w:rPr>
          <w:color w:val="000000" w:themeColor="text1"/>
        </w:rPr>
        <w:fldChar w:fldCharType="end"/>
      </w:r>
      <w:r w:rsidRPr="00DE3248">
        <w:rPr>
          <w:color w:val="000000" w:themeColor="text1"/>
        </w:rPr>
        <w:t>. IBU is an elastically deforming material with a relatively high Young’s modulus (</w:t>
      </w:r>
      <w:r w:rsidRPr="00DE3248">
        <w:rPr>
          <w:i/>
          <w:color w:val="000000" w:themeColor="text1"/>
        </w:rPr>
        <w:t>ca.</w:t>
      </w:r>
      <w:r w:rsidRPr="00DE3248">
        <w:rPr>
          <w:color w:val="000000" w:themeColor="text1"/>
        </w:rPr>
        <w:t xml:space="preserve"> 1.24 GPa) compared with other drugs, like PCM (</w:t>
      </w:r>
      <w:r w:rsidRPr="00DE3248">
        <w:rPr>
          <w:i/>
          <w:color w:val="000000" w:themeColor="text1"/>
        </w:rPr>
        <w:t>ca.</w:t>
      </w:r>
      <w:r w:rsidRPr="00DE3248">
        <w:rPr>
          <w:color w:val="000000" w:themeColor="text1"/>
        </w:rPr>
        <w:t xml:space="preserve"> 0.86 GPa) </w:t>
      </w:r>
      <w:r w:rsidRPr="00DE3248">
        <w:rPr>
          <w:color w:val="000000" w:themeColor="text1"/>
        </w:rPr>
        <w:fldChar w:fldCharType="begin"/>
      </w:r>
      <w:r w:rsidRPr="00DE3248">
        <w:rPr>
          <w:color w:val="000000" w:themeColor="text1"/>
        </w:rPr>
        <w:instrText xml:space="preserve"> ADDIN EN.CITE &lt;EndNote&gt;&lt;Cite&gt;&lt;Author&gt;Patel&lt;/Author&gt;&lt;Year&gt;2010&lt;/Year&gt;&lt;RecNum&gt;35&lt;/RecNum&gt;&lt;DisplayText&gt;(Patel et al., 2010)&lt;/DisplayText&gt;&lt;record&gt;&lt;rec-number&gt;35&lt;/rec-number&gt;&lt;foreign-keys&gt;&lt;key app="EN" db-id="d5fs0wsvp0f05ser9abpxz97rwr0et952ape" timestamp="1491558972"&gt;35&lt;/key&gt;&lt;/foreign-keys&gt;&lt;ref-type name="Journal Article"&gt;17&lt;/ref-type&gt;&lt;contributors&gt;&lt;authors&gt;&lt;author&gt;Patel, Sarsvatkumar&lt;/author&gt;&lt;author&gt;Kaushal, Aditya Mohan&lt;/author&gt;&lt;author&gt;Bansal, Arvind Kumar&lt;/author&gt;&lt;/authors&gt;&lt;/contributors&gt;&lt;titles&gt;&lt;title&gt;Mechanistic investigation on pressure dependency of Heckel parameter&lt;/title&gt;&lt;secondary-title&gt;Int. J. Pharm.&lt;/secondary-title&gt;&lt;/titles&gt;&lt;periodical&gt;&lt;full-title&gt;Int. J. Pharm.&lt;/full-title&gt;&lt;/periodical&gt;&lt;pages&gt;66-73&lt;/pages&gt;&lt;volume&gt;389&lt;/volume&gt;&lt;number&gt;1&lt;/number&gt;&lt;dates&gt;&lt;year&gt;2010&lt;/year&gt;&lt;/dates&gt;&lt;isbn&gt;0378-5173&lt;/isbn&gt;&lt;urls&gt;&lt;/urls&gt;&lt;/record&gt;&lt;/Cite&gt;&lt;/EndNote&gt;</w:instrText>
      </w:r>
      <w:r w:rsidRPr="00DE3248">
        <w:rPr>
          <w:color w:val="000000" w:themeColor="text1"/>
        </w:rPr>
        <w:fldChar w:fldCharType="separate"/>
      </w:r>
      <w:r w:rsidRPr="00DE3248">
        <w:rPr>
          <w:noProof/>
          <w:color w:val="000000" w:themeColor="text1"/>
        </w:rPr>
        <w:t>(</w:t>
      </w:r>
      <w:hyperlink w:anchor="_ENREF_29" w:tooltip="Patel, 2010 #35" w:history="1">
        <w:r w:rsidRPr="00DE3248">
          <w:rPr>
            <w:noProof/>
            <w:color w:val="000000" w:themeColor="text1"/>
          </w:rPr>
          <w:t>Patel et al., 2010</w:t>
        </w:r>
      </w:hyperlink>
      <w:r w:rsidRPr="00DE3248">
        <w:rPr>
          <w:noProof/>
          <w:color w:val="000000" w:themeColor="text1"/>
        </w:rPr>
        <w:t>)</w:t>
      </w:r>
      <w:r w:rsidRPr="00DE3248">
        <w:rPr>
          <w:color w:val="000000" w:themeColor="text1"/>
        </w:rPr>
        <w:fldChar w:fldCharType="end"/>
      </w:r>
      <w:r w:rsidRPr="00DE3248">
        <w:rPr>
          <w:color w:val="000000" w:themeColor="text1"/>
        </w:rPr>
        <w:t xml:space="preserve">. Hence, materials such as IBU can be less prone to attrition during processing and may show superior powder flow stability with </w:t>
      </w:r>
      <w:r w:rsidRPr="00DE3248">
        <w:rPr>
          <w:noProof/>
          <w:color w:val="000000" w:themeColor="text1"/>
        </w:rPr>
        <w:t>a SI</w:t>
      </w:r>
      <w:r w:rsidRPr="00DE3248">
        <w:rPr>
          <w:color w:val="000000" w:themeColor="text1"/>
        </w:rPr>
        <w:t xml:space="preserve"> value of around unity, which is considered an ideal property of powders with stable flow properties. The SI of 83 % of the IBU batches was less than 1 and overall IBU batches </w:t>
      </w:r>
      <w:r w:rsidRPr="00DE3248">
        <w:rPr>
          <w:noProof/>
          <w:color w:val="000000" w:themeColor="text1"/>
        </w:rPr>
        <w:t>have</w:t>
      </w:r>
      <w:r w:rsidRPr="00DE3248">
        <w:rPr>
          <w:color w:val="000000" w:themeColor="text1"/>
        </w:rPr>
        <w:t xml:space="preserve"> good powder flow stability with SI </w:t>
      </w:r>
      <w:r w:rsidRPr="00DE3248">
        <w:rPr>
          <w:i/>
          <w:color w:val="000000" w:themeColor="text1"/>
        </w:rPr>
        <w:t>=</w:t>
      </w:r>
      <w:r w:rsidRPr="00DE3248">
        <w:rPr>
          <w:color w:val="000000" w:themeColor="text1"/>
        </w:rPr>
        <w:t xml:space="preserve"> 0.92 ± 0.09</w:t>
      </w:r>
      <w:r w:rsidRPr="00DE3248">
        <w:rPr>
          <w:noProof/>
          <w:color w:val="000000" w:themeColor="text1"/>
        </w:rPr>
        <w:t>.</w:t>
      </w:r>
      <w:r w:rsidRPr="00DE3248">
        <w:rPr>
          <w:color w:val="000000" w:themeColor="text1"/>
        </w:rPr>
        <w:t xml:space="preserve"> However, the SI of needle shaped crystals of IBU (“n” in figures 2 and 3) were particle size dependent with very </w:t>
      </w:r>
      <w:r w:rsidRPr="00DE3248">
        <w:rPr>
          <w:color w:val="000000" w:themeColor="text1"/>
        </w:rPr>
        <w:lastRenderedPageBreak/>
        <w:t xml:space="preserve">poor powder flow stability, </w:t>
      </w:r>
      <w:r w:rsidRPr="00DE3248">
        <w:rPr>
          <w:rFonts w:cs="Times New Roman"/>
          <w:color w:val="000000" w:themeColor="text1"/>
        </w:rPr>
        <w:t xml:space="preserve">SI </w:t>
      </w:r>
      <w:r w:rsidRPr="00DE3248">
        <w:rPr>
          <w:rFonts w:cs="Times New Roman"/>
          <w:i/>
          <w:color w:val="000000" w:themeColor="text1"/>
        </w:rPr>
        <w:t>=</w:t>
      </w:r>
      <w:r w:rsidRPr="00DE3248">
        <w:rPr>
          <w:rFonts w:cs="Times New Roman"/>
          <w:color w:val="000000" w:themeColor="text1"/>
        </w:rPr>
        <w:t xml:space="preserve"> 0.84±0.05 for d50 of 6±0.07 µm and SI</w:t>
      </w:r>
      <w:r w:rsidRPr="00DE3248">
        <w:rPr>
          <w:rFonts w:cs="Times New Roman"/>
          <w:color w:val="000000" w:themeColor="text1"/>
          <w:vertAlign w:val="subscript"/>
        </w:rPr>
        <w:t xml:space="preserve"> </w:t>
      </w:r>
      <w:r w:rsidRPr="00DE3248">
        <w:rPr>
          <w:rFonts w:cs="Times New Roman"/>
          <w:color w:val="000000" w:themeColor="text1"/>
        </w:rPr>
        <w:t>= 0.56±0.01 for d50 of 18.7±0.71 µm.</w:t>
      </w:r>
      <w:r w:rsidRPr="00DE3248">
        <w:rPr>
          <w:color w:val="000000" w:themeColor="text1"/>
        </w:rPr>
        <w:t xml:space="preserve"> This can be attributed to the </w:t>
      </w:r>
      <w:r w:rsidRPr="00DE3248">
        <w:rPr>
          <w:noProof/>
          <w:color w:val="000000" w:themeColor="text1"/>
        </w:rPr>
        <w:t>high</w:t>
      </w:r>
      <w:r w:rsidRPr="00DE3248">
        <w:rPr>
          <w:color w:val="000000" w:themeColor="text1"/>
        </w:rPr>
        <w:t xml:space="preserve"> tendency to attrition for needle shape crystals with larger particle size. There are quite disparate reports in the literature of the brittle-ductile transition particle size of IBU, with values of both 854 </w:t>
      </w:r>
      <w:r w:rsidRPr="00DE3248">
        <w:rPr>
          <w:rFonts w:ascii="Arial" w:hAnsi="Arial" w:cs="Arial"/>
          <w:color w:val="000000" w:themeColor="text1"/>
        </w:rPr>
        <w:t>µ</w:t>
      </w:r>
      <w:r w:rsidRPr="00DE3248">
        <w:rPr>
          <w:color w:val="000000" w:themeColor="text1"/>
        </w:rPr>
        <w:t xml:space="preserve">m </w:t>
      </w:r>
      <w:r w:rsidRPr="00DE3248">
        <w:rPr>
          <w:color w:val="000000" w:themeColor="text1"/>
        </w:rPr>
        <w:fldChar w:fldCharType="begin"/>
      </w:r>
      <w:r w:rsidRPr="00DE3248">
        <w:rPr>
          <w:color w:val="000000" w:themeColor="text1"/>
        </w:rPr>
        <w:instrText xml:space="preserve"> ADDIN EN.CITE &lt;EndNote&gt;&lt;Cite&gt;&lt;Author&gt;Rowe&lt;/Author&gt;&lt;Year&gt;1995&lt;/Year&gt;&lt;RecNum&gt;36&lt;/RecNum&gt;&lt;DisplayText&gt;(Rowe and Roberts, 1995)&lt;/DisplayText&gt;&lt;record&gt;&lt;rec-number&gt;36&lt;/rec-number&gt;&lt;foreign-keys&gt;&lt;key app="EN" db-id="d5fs0wsvp0f05ser9abpxz97rwr0et952ape" timestamp="1491558972"&gt;36&lt;/key&gt;&lt;/foreign-keys&gt;&lt;ref-type name="Book Section"&gt;5&lt;/ref-type&gt;&lt;contributors&gt;&lt;authors&gt;&lt;author&gt;Rowe, R. C.&lt;/author&gt;&lt;author&gt;Roberts, R. J.&lt;/author&gt;&lt;/authors&gt;&lt;secondary-authors&gt;&lt;author&gt;David Ganderton, Trevor Jones&lt;/author&gt;&lt;author&gt;James, McGinity&lt;/author&gt;&lt;/secondary-authors&gt;&lt;/contributors&gt;&lt;titles&gt;&lt;title&gt;1 The mechanical properties of powders&lt;/title&gt;&lt;secondary-title&gt;Advances in Pharmaceutical Sciences&lt;/secondary-title&gt;&lt;/titles&gt;&lt;pages&gt;1-65&lt;/pages&gt;&lt;volume&gt;Volume 7&lt;/volume&gt;&lt;dates&gt;&lt;year&gt;1995&lt;/year&gt;&lt;/dates&gt;&lt;publisher&gt;Academic Press&lt;/publisher&gt;&lt;isbn&gt;0065-3136&lt;/isbn&gt;&lt;urls&gt;&lt;related-urls&gt;&lt;url&gt;http://www.sciencedirect.com/science/article/pii/S0065313606800038&lt;/url&gt;&lt;/related-urls&gt;&lt;/urls&gt;&lt;electronic-resource-num&gt;http://dx.doi.org/10.1016/S0065-3136(06)80003-8&lt;/electronic-resource-num&gt;&lt;/record&gt;&lt;/Cite&gt;&lt;/EndNote&gt;</w:instrText>
      </w:r>
      <w:r w:rsidRPr="00DE3248">
        <w:rPr>
          <w:color w:val="000000" w:themeColor="text1"/>
        </w:rPr>
        <w:fldChar w:fldCharType="separate"/>
      </w:r>
      <w:r w:rsidRPr="00DE3248">
        <w:rPr>
          <w:noProof/>
          <w:color w:val="000000" w:themeColor="text1"/>
        </w:rPr>
        <w:t>(</w:t>
      </w:r>
      <w:hyperlink w:anchor="_ENREF_34" w:tooltip="Rowe, 1995 #36" w:history="1">
        <w:r w:rsidRPr="00DE3248">
          <w:rPr>
            <w:noProof/>
            <w:color w:val="000000" w:themeColor="text1"/>
          </w:rPr>
          <w:t>Rowe and Roberts, 1995</w:t>
        </w:r>
      </w:hyperlink>
      <w:r w:rsidRPr="00DE3248">
        <w:rPr>
          <w:noProof/>
          <w:color w:val="000000" w:themeColor="text1"/>
        </w:rPr>
        <w:t>)</w:t>
      </w:r>
      <w:r w:rsidRPr="00DE3248">
        <w:rPr>
          <w:color w:val="000000" w:themeColor="text1"/>
        </w:rPr>
        <w:fldChar w:fldCharType="end"/>
      </w:r>
      <w:r w:rsidRPr="00DE3248">
        <w:rPr>
          <w:color w:val="000000" w:themeColor="text1"/>
        </w:rPr>
        <w:t xml:space="preserve"> and 125–355 </w:t>
      </w:r>
      <w:r w:rsidRPr="00DE3248">
        <w:rPr>
          <w:rFonts w:ascii="Arial" w:hAnsi="Arial" w:cs="Arial"/>
          <w:color w:val="000000" w:themeColor="text1"/>
        </w:rPr>
        <w:t>µ</w:t>
      </w:r>
      <w:r w:rsidRPr="00DE3248">
        <w:rPr>
          <w:color w:val="000000" w:themeColor="text1"/>
        </w:rPr>
        <w:t xml:space="preserve">m </w:t>
      </w:r>
      <w:r w:rsidRPr="00DE3248">
        <w:rPr>
          <w:color w:val="000000" w:themeColor="text1"/>
        </w:rPr>
        <w:fldChar w:fldCharType="begin"/>
      </w:r>
      <w:r w:rsidRPr="00DE3248">
        <w:rPr>
          <w:color w:val="000000" w:themeColor="text1"/>
        </w:rPr>
        <w:instrText xml:space="preserve"> ADDIN EN.CITE &lt;EndNote&gt;&lt;Cite&gt;&lt;Author&gt;Larsson&lt;/Author&gt;&lt;Year&gt;2000&lt;/Year&gt;&lt;RecNum&gt;37&lt;/RecNum&gt;&lt;DisplayText&gt;(Larsson and Kristensen, 2000)&lt;/DisplayText&gt;&lt;record&gt;&lt;rec-number&gt;37&lt;/rec-number&gt;&lt;foreign-keys&gt;&lt;key app="EN" db-id="d5fs0wsvp0f05ser9abpxz97rwr0et952ape" timestamp="1491558972"&gt;37&lt;/key&gt;&lt;/foreign-keys&gt;&lt;ref-type name="Journal Article"&gt;17&lt;/ref-type&gt;&lt;contributors&gt;&lt;authors&gt;&lt;author&gt;Larsson, I&lt;/author&gt;&lt;author&gt;Kristensen, HG&lt;/author&gt;&lt;/authors&gt;&lt;/contributors&gt;&lt;titles&gt;&lt;title&gt;Comminution of a brittle/ductile material in a Micros Ring Mill&lt;/title&gt;&lt;secondary-title&gt;Powder Technol.&lt;/secondary-title&gt;&lt;/titles&gt;&lt;periodical&gt;&lt;full-title&gt;Powder Technol.&lt;/full-title&gt;&lt;/periodical&gt;&lt;pages&gt;175-178&lt;/pages&gt;&lt;volume&gt;107&lt;/volume&gt;&lt;number&gt;1&lt;/number&gt;&lt;dates&gt;&lt;year&gt;2000&lt;/year&gt;&lt;/dates&gt;&lt;isbn&gt;0032-5910&lt;/isbn&gt;&lt;urls&gt;&lt;/urls&gt;&lt;/record&gt;&lt;/Cite&gt;&lt;/EndNote&gt;</w:instrText>
      </w:r>
      <w:r w:rsidRPr="00DE3248">
        <w:rPr>
          <w:color w:val="000000" w:themeColor="text1"/>
        </w:rPr>
        <w:fldChar w:fldCharType="separate"/>
      </w:r>
      <w:r w:rsidRPr="00DE3248">
        <w:rPr>
          <w:noProof/>
          <w:color w:val="000000" w:themeColor="text1"/>
        </w:rPr>
        <w:t>(</w:t>
      </w:r>
      <w:hyperlink w:anchor="_ENREF_21" w:tooltip="Larsson, 2000 #37" w:history="1">
        <w:r w:rsidRPr="00DE3248">
          <w:rPr>
            <w:noProof/>
            <w:color w:val="000000" w:themeColor="text1"/>
          </w:rPr>
          <w:t>Larsson and Kristensen, 2000</w:t>
        </w:r>
      </w:hyperlink>
      <w:r w:rsidRPr="00DE3248">
        <w:rPr>
          <w:noProof/>
          <w:color w:val="000000" w:themeColor="text1"/>
        </w:rPr>
        <w:t>)</w:t>
      </w:r>
      <w:r w:rsidRPr="00DE3248">
        <w:rPr>
          <w:color w:val="000000" w:themeColor="text1"/>
        </w:rPr>
        <w:fldChar w:fldCharType="end"/>
      </w:r>
      <w:r w:rsidRPr="00DE3248">
        <w:rPr>
          <w:color w:val="000000" w:themeColor="text1"/>
        </w:rPr>
        <w:t xml:space="preserve"> being reported. </w:t>
      </w:r>
      <w:r w:rsidRPr="00DE3248">
        <w:rPr>
          <w:bCs/>
          <w:color w:val="000000" w:themeColor="text1"/>
        </w:rPr>
        <w:t xml:space="preserve">Shariare </w:t>
      </w:r>
      <w:r w:rsidRPr="00DE3248">
        <w:rPr>
          <w:bCs/>
          <w:i/>
          <w:color w:val="000000" w:themeColor="text1"/>
        </w:rPr>
        <w:t xml:space="preserve">et al. </w:t>
      </w:r>
      <w:r w:rsidRPr="00DE3248">
        <w:rPr>
          <w:bCs/>
          <w:color w:val="000000" w:themeColor="text1"/>
        </w:rPr>
        <w:t>showed that milling of IBU can be affected by both particle</w:t>
      </w:r>
      <w:r w:rsidRPr="00DE3248">
        <w:rPr>
          <w:color w:val="000000" w:themeColor="text1"/>
        </w:rPr>
        <w:t xml:space="preserve"> size distribution and morphology. It was also suggested that needle shape crystals were more prone to attrition </w:t>
      </w:r>
      <w:r w:rsidRPr="00DE3248">
        <w:rPr>
          <w:color w:val="000000" w:themeColor="text1"/>
        </w:rPr>
        <w:fldChar w:fldCharType="begin"/>
      </w:r>
      <w:r w:rsidRPr="00DE3248">
        <w:rPr>
          <w:color w:val="000000" w:themeColor="text1"/>
        </w:rPr>
        <w:instrText xml:space="preserve"> ADDIN EN.CITE &lt;EndNote&gt;&lt;Cite&gt;&lt;Author&gt;Shariare&lt;/Author&gt;&lt;Year&gt;2012&lt;/Year&gt;&lt;RecNum&gt;38&lt;/RecNum&gt;&lt;DisplayText&gt;(Shariare et al., 2012)&lt;/DisplayText&gt;&lt;record&gt;&lt;rec-number&gt;38&lt;/rec-number&gt;&lt;foreign-keys&gt;&lt;key app="EN" db-id="d5fs0wsvp0f05ser9abpxz97rwr0et952ape" timestamp="1491558972"&gt;38&lt;/key&gt;&lt;/foreign-keys&gt;&lt;ref-type name="Journal Article"&gt;17&lt;/ref-type&gt;&lt;contributors&gt;&lt;authors&gt;&lt;author&gt;Shariare, Mohammad H&lt;/author&gt;&lt;author&gt;Blagden, Nicholas&lt;/author&gt;&lt;author&gt;Matas, Marcel de&lt;/author&gt;&lt;author&gt;Leusen, Frank JJ&lt;/author&gt;&lt;author&gt;York, Peter&lt;/author&gt;&lt;/authors&gt;&lt;/contributors&gt;&lt;titles&gt;&lt;title&gt;Influence of solvent on the morphology and subsequent comminution of ibuprofen crystals by air jet milling&lt;/title&gt;&lt;secondary-title&gt;‎J. Pharm. Sci.&lt;/secondary-title&gt;&lt;/titles&gt;&lt;periodical&gt;&lt;full-title&gt;‎J. Pharm. Sci.&lt;/full-title&gt;&lt;/periodical&gt;&lt;pages&gt;1108-1119&lt;/pages&gt;&lt;volume&gt;101&lt;/volume&gt;&lt;number&gt;3&lt;/number&gt;&lt;dates&gt;&lt;year&gt;2012&lt;/year&gt;&lt;/dates&gt;&lt;isbn&gt;1520-6017&lt;/isbn&gt;&lt;urls&gt;&lt;/urls&gt;&lt;/record&gt;&lt;/Cite&gt;&lt;/EndNote&gt;</w:instrText>
      </w:r>
      <w:r w:rsidRPr="00DE3248">
        <w:rPr>
          <w:color w:val="000000" w:themeColor="text1"/>
        </w:rPr>
        <w:fldChar w:fldCharType="separate"/>
      </w:r>
      <w:r w:rsidRPr="00DE3248">
        <w:rPr>
          <w:noProof/>
          <w:color w:val="000000" w:themeColor="text1"/>
        </w:rPr>
        <w:t>(</w:t>
      </w:r>
      <w:hyperlink w:anchor="_ENREF_37" w:tooltip="Shariare, 2012 #38" w:history="1">
        <w:r w:rsidRPr="00DE3248">
          <w:rPr>
            <w:noProof/>
            <w:color w:val="000000" w:themeColor="text1"/>
          </w:rPr>
          <w:t>Shariare et al., 2012</w:t>
        </w:r>
      </w:hyperlink>
      <w:r w:rsidRPr="00DE3248">
        <w:rPr>
          <w:noProof/>
          <w:color w:val="000000" w:themeColor="text1"/>
        </w:rPr>
        <w:t>)</w:t>
      </w:r>
      <w:r w:rsidRPr="00DE3248">
        <w:rPr>
          <w:color w:val="000000" w:themeColor="text1"/>
        </w:rPr>
        <w:fldChar w:fldCharType="end"/>
      </w:r>
      <w:r w:rsidRPr="00DE3248">
        <w:rPr>
          <w:color w:val="000000" w:themeColor="text1"/>
        </w:rPr>
        <w:t xml:space="preserve">. The impact and the importance of the type of external stress, either attrition or compressive (impact) force, on powder properties can be critical to </w:t>
      </w:r>
      <w:r w:rsidRPr="00DE3248">
        <w:rPr>
          <w:noProof/>
          <w:color w:val="000000" w:themeColor="text1"/>
        </w:rPr>
        <w:t>understanding</w:t>
      </w:r>
      <w:r w:rsidRPr="00DE3248">
        <w:rPr>
          <w:color w:val="000000" w:themeColor="text1"/>
        </w:rPr>
        <w:t xml:space="preserve"> variable or unpredicted powder flow properties during manufacturing.</w:t>
      </w:r>
    </w:p>
    <w:p w:rsidR="00BF0B37" w:rsidRPr="00DE3248" w:rsidRDefault="00BF0B37" w:rsidP="000C255C">
      <w:pPr>
        <w:spacing w:before="120" w:after="120" w:line="480" w:lineRule="auto"/>
        <w:rPr>
          <w:rFonts w:cs="Times New Roman"/>
          <w:b/>
        </w:rPr>
      </w:pPr>
    </w:p>
    <w:p w:rsidR="00BF0B37" w:rsidRPr="00DE3248" w:rsidRDefault="00BF0B37">
      <w:pPr>
        <w:rPr>
          <w:rFonts w:cs="Times New Roman"/>
          <w:b/>
        </w:rPr>
      </w:pPr>
      <w:r w:rsidRPr="00DE3248">
        <w:rPr>
          <w:rFonts w:cs="Times New Roman"/>
          <w:b/>
        </w:rPr>
        <w:br w:type="page"/>
      </w:r>
    </w:p>
    <w:p w:rsidR="00974CCA" w:rsidRPr="00DE3248" w:rsidRDefault="0078276B" w:rsidP="000C255C">
      <w:pPr>
        <w:spacing w:before="120" w:after="120" w:line="480" w:lineRule="auto"/>
        <w:rPr>
          <w:rFonts w:cs="Times New Roman"/>
          <w:b/>
          <w:szCs w:val="24"/>
        </w:rPr>
      </w:pPr>
      <w:r w:rsidRPr="00DE3248">
        <w:rPr>
          <w:rFonts w:cs="Times New Roman"/>
          <w:b/>
        </w:rPr>
        <w:lastRenderedPageBreak/>
        <w:t>S</w:t>
      </w:r>
      <w:r w:rsidRPr="00DE3248">
        <w:rPr>
          <w:rFonts w:cs="Times New Roman"/>
          <w:b/>
          <w:vertAlign w:val="subscript"/>
        </w:rPr>
        <w:t>3</w:t>
      </w:r>
      <w:r w:rsidRPr="00DE3248">
        <w:rPr>
          <w:rFonts w:cs="Times New Roman"/>
          <w:b/>
        </w:rPr>
        <w:t xml:space="preserve">. </w:t>
      </w:r>
      <w:r w:rsidR="00361069" w:rsidRPr="00DE3248">
        <w:rPr>
          <w:rFonts w:cs="Times New Roman"/>
          <w:b/>
        </w:rPr>
        <w:t>Static</w:t>
      </w:r>
      <w:r w:rsidR="00974CCA" w:rsidRPr="00DE3248">
        <w:rPr>
          <w:rFonts w:cs="Times New Roman"/>
          <w:b/>
        </w:rPr>
        <w:t xml:space="preserve"> </w:t>
      </w:r>
      <w:r w:rsidR="00470D70" w:rsidRPr="00DE3248">
        <w:rPr>
          <w:rFonts w:cs="Times New Roman"/>
          <w:b/>
        </w:rPr>
        <w:t>Powder Flow P</w:t>
      </w:r>
      <w:r w:rsidR="00974CCA" w:rsidRPr="00DE3248">
        <w:rPr>
          <w:rFonts w:cs="Times New Roman"/>
          <w:b/>
        </w:rPr>
        <w:t xml:space="preserve">roperties and </w:t>
      </w:r>
      <w:r w:rsidR="00470D70" w:rsidRPr="00DE3248">
        <w:rPr>
          <w:rFonts w:cs="Times New Roman"/>
          <w:b/>
          <w:szCs w:val="24"/>
        </w:rPr>
        <w:t>Particle Size Distribution Descriptors, Surface Energy and Surface C</w:t>
      </w:r>
      <w:r w:rsidR="00974CCA" w:rsidRPr="00DE3248">
        <w:rPr>
          <w:rFonts w:cs="Times New Roman"/>
          <w:b/>
          <w:szCs w:val="24"/>
        </w:rPr>
        <w:t>hemistry</w:t>
      </w:r>
    </w:p>
    <w:p w:rsidR="003D7925" w:rsidRPr="00DE3248" w:rsidRDefault="003D7925" w:rsidP="000C255C">
      <w:pPr>
        <w:spacing w:before="120" w:after="120" w:line="480" w:lineRule="auto"/>
        <w:rPr>
          <w:rFonts w:cs="Times New Roman"/>
          <w:b/>
          <w:i/>
          <w:szCs w:val="24"/>
        </w:rPr>
      </w:pPr>
      <w:r w:rsidRPr="00DE3248">
        <w:rPr>
          <w:rFonts w:cs="Times New Roman"/>
          <w:b/>
          <w:i/>
          <w:szCs w:val="24"/>
        </w:rPr>
        <w:t>S</w:t>
      </w:r>
      <w:r w:rsidRPr="00DE3248">
        <w:rPr>
          <w:rFonts w:cs="Times New Roman"/>
          <w:b/>
          <w:i/>
          <w:szCs w:val="24"/>
          <w:vertAlign w:val="subscript"/>
        </w:rPr>
        <w:t>3</w:t>
      </w:r>
      <w:r w:rsidRPr="00DE3248">
        <w:rPr>
          <w:rFonts w:cs="Times New Roman"/>
          <w:b/>
          <w:i/>
          <w:szCs w:val="24"/>
        </w:rPr>
        <w:t xml:space="preserve">.1. </w:t>
      </w:r>
      <w:r w:rsidR="00361069" w:rsidRPr="00DE3248">
        <w:rPr>
          <w:rFonts w:cs="Times New Roman"/>
          <w:b/>
          <w:i/>
        </w:rPr>
        <w:t xml:space="preserve">Static </w:t>
      </w:r>
      <w:r w:rsidR="00DC2280" w:rsidRPr="00DE3248">
        <w:rPr>
          <w:rFonts w:cs="Times New Roman"/>
          <w:b/>
          <w:i/>
        </w:rPr>
        <w:t xml:space="preserve">Powder Flow Properties and </w:t>
      </w:r>
      <w:r w:rsidR="00DC2280" w:rsidRPr="00DE3248">
        <w:rPr>
          <w:rFonts w:cs="Times New Roman"/>
          <w:b/>
          <w:i/>
          <w:szCs w:val="24"/>
        </w:rPr>
        <w:t>Particle Size Distribution Descriptors</w:t>
      </w:r>
    </w:p>
    <w:p w:rsidR="001C65F5" w:rsidRPr="00DE3248" w:rsidRDefault="00404134" w:rsidP="000C255C">
      <w:pPr>
        <w:spacing w:before="120" w:line="480" w:lineRule="auto"/>
        <w:rPr>
          <w:rFonts w:cs="Times New Roman"/>
          <w:szCs w:val="24"/>
        </w:rPr>
      </w:pPr>
      <w:r w:rsidRPr="00DE3248">
        <w:rPr>
          <w:rFonts w:cs="Times New Roman"/>
          <w:b/>
          <w:noProof/>
          <w:szCs w:val="24"/>
          <w:lang w:eastAsia="en-IE"/>
        </w:rPr>
        <mc:AlternateContent>
          <mc:Choice Requires="wps">
            <w:drawing>
              <wp:anchor distT="45720" distB="45720" distL="114300" distR="114300" simplePos="0" relativeHeight="251663360" behindDoc="0" locked="0" layoutInCell="1" allowOverlap="1" wp14:anchorId="62EB2AE3" wp14:editId="72D93A9A">
                <wp:simplePos x="0" y="0"/>
                <wp:positionH relativeFrom="column">
                  <wp:posOffset>105410</wp:posOffset>
                </wp:positionH>
                <wp:positionV relativeFrom="paragraph">
                  <wp:posOffset>81166</wp:posOffset>
                </wp:positionV>
                <wp:extent cx="328773" cy="256854"/>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404134">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62EB2AE3" id="_x0000_s1028" type="#_x0000_t202" style="position:absolute;margin-left:8.3pt;margin-top:6.4pt;width:25.9pt;height:20.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" filled="f" stroked="f">
                <v:textbox>
                  <w:txbxContent>
                    <w:p w:rsidR="008162A4" w:rsidRDefault="008162A4" w:rsidP="00404134">
                      <w:r>
                        <w:t>a.</w:t>
                      </w:r>
                    </w:p>
                  </w:txbxContent>
                </v:textbox>
              </v:shape>
            </w:pict>
          </mc:Fallback>
        </mc:AlternateContent>
      </w:r>
      <w:r w:rsidR="007F7C30" w:rsidRPr="00DE3248">
        <w:rPr>
          <w:rFonts w:cs="Times New Roman"/>
          <w:noProof/>
          <w:lang w:eastAsia="en-IE"/>
        </w:rPr>
        <w:drawing>
          <wp:inline distT="0" distB="0" distL="0" distR="0">
            <wp:extent cx="2845797" cy="2103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5797" cy="2103120"/>
                    </a:xfrm>
                    <a:prstGeom prst="rect">
                      <a:avLst/>
                    </a:prstGeom>
                    <a:noFill/>
                    <a:ln>
                      <a:noFill/>
                    </a:ln>
                  </pic:spPr>
                </pic:pic>
              </a:graphicData>
            </a:graphic>
          </wp:inline>
        </w:drawing>
      </w:r>
      <w:r w:rsidR="00CE78D0" w:rsidRPr="00DE3248">
        <w:rPr>
          <w:rFonts w:cs="Times New Roman"/>
          <w:noProof/>
          <w:lang w:val="en-US"/>
        </w:rPr>
        <w:t xml:space="preserve">   </w:t>
      </w:r>
      <w:r w:rsidR="007F7C30" w:rsidRPr="00DE3248">
        <w:rPr>
          <w:rFonts w:cs="Times New Roman"/>
          <w:noProof/>
          <w:lang w:eastAsia="en-IE"/>
        </w:rPr>
        <w:drawing>
          <wp:inline distT="0" distB="0" distL="0" distR="0">
            <wp:extent cx="2845796" cy="21031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5796" cy="2103120"/>
                    </a:xfrm>
                    <a:prstGeom prst="rect">
                      <a:avLst/>
                    </a:prstGeom>
                    <a:noFill/>
                    <a:ln>
                      <a:noFill/>
                    </a:ln>
                  </pic:spPr>
                </pic:pic>
              </a:graphicData>
            </a:graphic>
          </wp:inline>
        </w:drawing>
      </w:r>
    </w:p>
    <w:p w:rsidR="00B93B45" w:rsidRPr="00DE3248" w:rsidRDefault="00404134" w:rsidP="000C255C">
      <w:pPr>
        <w:keepNext/>
        <w:spacing w:line="480" w:lineRule="auto"/>
        <w:rPr>
          <w:rFonts w:cs="Times New Roman"/>
        </w:rPr>
      </w:pPr>
      <w:r w:rsidRPr="00DE3248">
        <w:rPr>
          <w:rFonts w:cs="Times New Roman"/>
          <w:b/>
          <w:noProof/>
          <w:szCs w:val="24"/>
          <w:lang w:eastAsia="en-IE"/>
        </w:rPr>
        <mc:AlternateContent>
          <mc:Choice Requires="wps">
            <w:drawing>
              <wp:anchor distT="45720" distB="45720" distL="114300" distR="114300" simplePos="0" relativeHeight="251665408" behindDoc="0" locked="0" layoutInCell="1" allowOverlap="1" wp14:anchorId="165F28EC" wp14:editId="5BB192B1">
                <wp:simplePos x="0" y="0"/>
                <wp:positionH relativeFrom="column">
                  <wp:posOffset>83185</wp:posOffset>
                </wp:positionH>
                <wp:positionV relativeFrom="paragraph">
                  <wp:posOffset>98425</wp:posOffset>
                </wp:positionV>
                <wp:extent cx="328773" cy="256854"/>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404134">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165F28EC" id="_x0000_s1029" type="#_x0000_t202" style="position:absolute;margin-left:6.55pt;margin-top:7.75pt;width:25.9pt;height:20.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" filled="f" stroked="f">
                <v:textbox>
                  <w:txbxContent>
                    <w:p w:rsidR="008162A4" w:rsidRDefault="008162A4" w:rsidP="00404134">
                      <w:r>
                        <w:t>b.</w:t>
                      </w:r>
                    </w:p>
                  </w:txbxContent>
                </v:textbox>
              </v:shape>
            </w:pict>
          </mc:Fallback>
        </mc:AlternateContent>
      </w:r>
      <w:r w:rsidR="007F7C30" w:rsidRPr="00DE3248">
        <w:rPr>
          <w:rFonts w:cs="Times New Roman"/>
          <w:noProof/>
          <w:lang w:eastAsia="en-IE"/>
        </w:rPr>
        <w:drawing>
          <wp:inline distT="0" distB="0" distL="0" distR="0">
            <wp:extent cx="2845796" cy="2103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45796" cy="2103120"/>
                    </a:xfrm>
                    <a:prstGeom prst="rect">
                      <a:avLst/>
                    </a:prstGeom>
                    <a:noFill/>
                    <a:ln>
                      <a:noFill/>
                    </a:ln>
                  </pic:spPr>
                </pic:pic>
              </a:graphicData>
            </a:graphic>
          </wp:inline>
        </w:drawing>
      </w:r>
      <w:r w:rsidR="007F7C30" w:rsidRPr="00DE3248">
        <w:rPr>
          <w:rFonts w:cs="Times New Roman"/>
          <w:noProof/>
          <w:lang w:val="en-US"/>
        </w:rPr>
        <w:t xml:space="preserve">   </w:t>
      </w:r>
      <w:r w:rsidR="007F7C30" w:rsidRPr="00DE3248">
        <w:rPr>
          <w:rFonts w:cs="Times New Roman"/>
          <w:noProof/>
          <w:lang w:eastAsia="en-IE"/>
        </w:rPr>
        <w:drawing>
          <wp:inline distT="0" distB="0" distL="0" distR="0">
            <wp:extent cx="2845796" cy="2103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45796" cy="2103120"/>
                    </a:xfrm>
                    <a:prstGeom prst="rect">
                      <a:avLst/>
                    </a:prstGeom>
                    <a:noFill/>
                    <a:ln>
                      <a:noFill/>
                    </a:ln>
                  </pic:spPr>
                </pic:pic>
              </a:graphicData>
            </a:graphic>
          </wp:inline>
        </w:drawing>
      </w:r>
    </w:p>
    <w:p w:rsidR="006B403D" w:rsidRPr="00DE3248" w:rsidRDefault="00B93B45" w:rsidP="00DC2280">
      <w:pPr>
        <w:pStyle w:val="Caption"/>
        <w:spacing w:line="480" w:lineRule="auto"/>
        <w:jc w:val="both"/>
        <w:rPr>
          <w:rFonts w:cs="Times New Roman"/>
          <w:i w:val="0"/>
          <w:color w:val="auto"/>
        </w:rPr>
      </w:pPr>
      <w:r w:rsidRPr="00DE3248">
        <w:rPr>
          <w:rFonts w:cs="Times New Roman"/>
          <w:b/>
          <w:i w:val="0"/>
          <w:color w:val="000000" w:themeColor="text1"/>
        </w:rPr>
        <w:t>Figure S</w:t>
      </w:r>
      <w:r w:rsidRPr="00DE3248">
        <w:rPr>
          <w:rFonts w:cs="Times New Roman"/>
          <w:b/>
          <w:i w:val="0"/>
          <w:color w:val="000000" w:themeColor="text1"/>
          <w:vertAlign w:val="subscript"/>
        </w:rPr>
        <w:t>3</w:t>
      </w:r>
      <w:r w:rsidRPr="00DE3248">
        <w:rPr>
          <w:rFonts w:cs="Times New Roman"/>
          <w:b/>
          <w:i w:val="0"/>
          <w:color w:val="000000" w:themeColor="text1"/>
        </w:rPr>
        <w:t>-</w:t>
      </w:r>
      <w:r w:rsidRPr="00DE3248">
        <w:rPr>
          <w:rFonts w:cs="Times New Roman"/>
          <w:b/>
          <w:i w:val="0"/>
          <w:color w:val="000000" w:themeColor="text1"/>
        </w:rPr>
        <w:fldChar w:fldCharType="begin"/>
      </w:r>
      <w:r w:rsidRPr="00DE3248">
        <w:rPr>
          <w:rFonts w:cs="Times New Roman"/>
          <w:b/>
          <w:i w:val="0"/>
          <w:color w:val="000000" w:themeColor="text1"/>
        </w:rPr>
        <w:instrText xml:space="preserve"> SEQ Figure_S3 \* ARABIC </w:instrText>
      </w:r>
      <w:r w:rsidRPr="00DE3248">
        <w:rPr>
          <w:rFonts w:cs="Times New Roman"/>
          <w:b/>
          <w:i w:val="0"/>
          <w:color w:val="000000" w:themeColor="text1"/>
        </w:rPr>
        <w:fldChar w:fldCharType="separate"/>
      </w:r>
      <w:r w:rsidR="006B512D" w:rsidRPr="00DE3248">
        <w:rPr>
          <w:rFonts w:cs="Times New Roman"/>
          <w:b/>
          <w:i w:val="0"/>
          <w:noProof/>
          <w:color w:val="000000" w:themeColor="text1"/>
        </w:rPr>
        <w:t>1</w:t>
      </w:r>
      <w:r w:rsidRPr="00DE3248">
        <w:rPr>
          <w:rFonts w:cs="Times New Roman"/>
          <w:b/>
          <w:i w:val="0"/>
          <w:color w:val="000000" w:themeColor="text1"/>
        </w:rPr>
        <w:fldChar w:fldCharType="end"/>
      </w:r>
      <w:r w:rsidRPr="00DE3248">
        <w:rPr>
          <w:rFonts w:cs="Times New Roman"/>
          <w:i w:val="0"/>
          <w:color w:val="000000" w:themeColor="text1"/>
        </w:rPr>
        <w:t>.</w:t>
      </w:r>
      <w:r w:rsidR="00747BA9" w:rsidRPr="00DE3248">
        <w:rPr>
          <w:rFonts w:cs="Times New Roman"/>
          <w:i w:val="0"/>
          <w:color w:val="000000" w:themeColor="text1"/>
        </w:rPr>
        <w:t xml:space="preserve"> Multiple scatter and regression coefficient for </w:t>
      </w:r>
      <w:r w:rsidR="009016B8" w:rsidRPr="00DE3248">
        <w:rPr>
          <w:rFonts w:cs="Times New Roman"/>
          <w:i w:val="0"/>
          <w:color w:val="000000" w:themeColor="text1"/>
        </w:rPr>
        <w:t>correlation between “static</w:t>
      </w:r>
      <w:r w:rsidR="00747BA9" w:rsidRPr="00DE3248">
        <w:rPr>
          <w:rFonts w:cs="Times New Roman"/>
          <w:i w:val="0"/>
          <w:color w:val="000000" w:themeColor="text1"/>
        </w:rPr>
        <w:t xml:space="preserve">” powder flow </w:t>
      </w:r>
      <w:r w:rsidR="0066616E" w:rsidRPr="00DE3248">
        <w:rPr>
          <w:rFonts w:cs="Times New Roman"/>
          <w:i w:val="0"/>
          <w:color w:val="000000" w:themeColor="text1"/>
        </w:rPr>
        <w:t xml:space="preserve">properties from </w:t>
      </w:r>
      <w:r w:rsidR="00747BA9" w:rsidRPr="00DE3248">
        <w:rPr>
          <w:rFonts w:cs="Times New Roman"/>
          <w:i w:val="0"/>
          <w:color w:val="000000" w:themeColor="text1"/>
        </w:rPr>
        <w:t>shear cell analysis, (a) FF and (b) cohesion</w:t>
      </w:r>
      <w:r w:rsidR="00A71D36" w:rsidRPr="00DE3248">
        <w:rPr>
          <w:rFonts w:cs="Times New Roman"/>
          <w:i w:val="0"/>
          <w:color w:val="000000" w:themeColor="text1"/>
        </w:rPr>
        <w:t xml:space="preserve">, and particle size distribution descriptors (d50, D [3,2], D [4,3], SSA, d90-d10 and Span) </w:t>
      </w:r>
      <w:r w:rsidR="00747BA9" w:rsidRPr="00DE3248">
        <w:rPr>
          <w:rFonts w:cs="Times New Roman"/>
          <w:i w:val="0"/>
          <w:color w:val="000000" w:themeColor="text1"/>
        </w:rPr>
        <w:t xml:space="preserve">of </w:t>
      </w:r>
      <w:r w:rsidR="00747BA9" w:rsidRPr="00DE3248">
        <w:rPr>
          <w:rFonts w:cs="Times New Roman"/>
          <w:i w:val="0"/>
          <w:color w:val="auto"/>
        </w:rPr>
        <w:t>IBU</w:t>
      </w:r>
    </w:p>
    <w:p w:rsidR="00345EC7" w:rsidRPr="00DE3248" w:rsidRDefault="00345EC7" w:rsidP="00345EC7"/>
    <w:p w:rsidR="00BF0B37" w:rsidRPr="00DE3248" w:rsidRDefault="00BF0B37">
      <w:pPr>
        <w:rPr>
          <w:b/>
          <w:iCs/>
          <w:sz w:val="18"/>
          <w:szCs w:val="18"/>
        </w:rPr>
      </w:pPr>
      <w:r w:rsidRPr="00DE3248">
        <w:rPr>
          <w:b/>
          <w:i/>
        </w:rPr>
        <w:br w:type="page"/>
      </w:r>
    </w:p>
    <w:p w:rsidR="00CA679A" w:rsidRPr="00DE3248" w:rsidRDefault="00CA679A" w:rsidP="00C25D07">
      <w:pPr>
        <w:pStyle w:val="Caption"/>
        <w:keepNext/>
        <w:spacing w:before="240" w:after="120" w:line="480" w:lineRule="auto"/>
        <w:rPr>
          <w:i w:val="0"/>
          <w:color w:val="auto"/>
        </w:rPr>
      </w:pPr>
      <w:r w:rsidRPr="00DE3248">
        <w:rPr>
          <w:b/>
          <w:i w:val="0"/>
          <w:color w:val="auto"/>
        </w:rPr>
        <w:lastRenderedPageBreak/>
        <w:t>Table S</w:t>
      </w:r>
      <w:r w:rsidRPr="00DE3248">
        <w:rPr>
          <w:b/>
          <w:i w:val="0"/>
          <w:color w:val="auto"/>
          <w:vertAlign w:val="subscript"/>
        </w:rPr>
        <w:t>3</w:t>
      </w:r>
      <w:r w:rsidRPr="00DE3248">
        <w:rPr>
          <w:b/>
          <w:i w:val="0"/>
          <w:color w:val="auto"/>
        </w:rPr>
        <w:t>-</w:t>
      </w:r>
      <w:r w:rsidR="006B512D" w:rsidRPr="00DE3248">
        <w:rPr>
          <w:b/>
          <w:i w:val="0"/>
          <w:color w:val="auto"/>
        </w:rPr>
        <w:fldChar w:fldCharType="begin"/>
      </w:r>
      <w:r w:rsidR="006B512D" w:rsidRPr="00DE3248">
        <w:rPr>
          <w:b/>
          <w:i w:val="0"/>
          <w:color w:val="auto"/>
        </w:rPr>
        <w:instrText xml:space="preserve"> SEQ Table_S3 \* ARABIC </w:instrText>
      </w:r>
      <w:r w:rsidR="006B512D" w:rsidRPr="00DE3248">
        <w:rPr>
          <w:b/>
          <w:i w:val="0"/>
          <w:color w:val="auto"/>
        </w:rPr>
        <w:fldChar w:fldCharType="separate"/>
      </w:r>
      <w:r w:rsidR="006B512D" w:rsidRPr="00DE3248">
        <w:rPr>
          <w:b/>
          <w:i w:val="0"/>
          <w:noProof/>
          <w:color w:val="auto"/>
        </w:rPr>
        <w:t>1</w:t>
      </w:r>
      <w:r w:rsidR="006B512D" w:rsidRPr="00DE3248">
        <w:rPr>
          <w:b/>
          <w:i w:val="0"/>
          <w:color w:val="auto"/>
        </w:rPr>
        <w:fldChar w:fldCharType="end"/>
      </w:r>
      <w:r w:rsidRPr="00DE3248">
        <w:rPr>
          <w:b/>
          <w:i w:val="0"/>
          <w:color w:val="auto"/>
        </w:rPr>
        <w:t>.</w:t>
      </w:r>
      <w:r w:rsidRPr="00DE3248">
        <w:rPr>
          <w:i w:val="0"/>
          <w:color w:val="auto"/>
        </w:rPr>
        <w:t xml:space="preserve"> </w:t>
      </w:r>
      <w:r w:rsidR="00C25D07" w:rsidRPr="00DE3248">
        <w:rPr>
          <w:i w:val="0"/>
          <w:color w:val="auto"/>
        </w:rPr>
        <w:t>ANOVA table for MLR models (MLR-2a) to predict cohesion (kPa) and FF from d50, SSA and uniformity for 6 batches of IBU</w:t>
      </w:r>
    </w:p>
    <w:tbl>
      <w:tblPr>
        <w:tblW w:w="5000" w:type="pct"/>
        <w:tblLook w:val="04A0" w:firstRow="1" w:lastRow="0" w:firstColumn="1" w:lastColumn="0" w:noHBand="0" w:noVBand="1"/>
      </w:tblPr>
      <w:tblGrid>
        <w:gridCol w:w="1911"/>
        <w:gridCol w:w="1539"/>
        <w:gridCol w:w="2560"/>
        <w:gridCol w:w="1253"/>
        <w:gridCol w:w="2087"/>
      </w:tblGrid>
      <w:tr w:rsidR="00C25D07" w:rsidRPr="00DE3248" w:rsidTr="00AF10B6">
        <w:trPr>
          <w:trHeight w:val="125"/>
        </w:trPr>
        <w:tc>
          <w:tcPr>
            <w:tcW w:w="102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Summary Model</w:t>
            </w:r>
          </w:p>
        </w:tc>
        <w:tc>
          <w:tcPr>
            <w:tcW w:w="823" w:type="pct"/>
            <w:tcBorders>
              <w:top w:val="single" w:sz="4" w:space="0" w:color="auto"/>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p value</w:t>
            </w:r>
          </w:p>
        </w:tc>
        <w:tc>
          <w:tcPr>
            <w:tcW w:w="1369" w:type="pct"/>
            <w:tcBorders>
              <w:top w:val="single" w:sz="4" w:space="0" w:color="auto"/>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B-coefficients</w:t>
            </w:r>
          </w:p>
        </w:tc>
        <w:tc>
          <w:tcPr>
            <w:tcW w:w="670" w:type="pct"/>
            <w:tcBorders>
              <w:top w:val="single" w:sz="4" w:space="0" w:color="auto"/>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p value</w:t>
            </w:r>
          </w:p>
        </w:tc>
        <w:tc>
          <w:tcPr>
            <w:tcW w:w="1116" w:type="pct"/>
            <w:tcBorders>
              <w:top w:val="single" w:sz="4" w:space="0" w:color="auto"/>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B-coefficients</w:t>
            </w:r>
          </w:p>
        </w:tc>
      </w:tr>
      <w:tr w:rsidR="00C25D07" w:rsidRPr="00DE3248" w:rsidTr="00AF10B6">
        <w:trPr>
          <w:trHeight w:val="188"/>
        </w:trPr>
        <w:tc>
          <w:tcPr>
            <w:tcW w:w="1022" w:type="pct"/>
            <w:vMerge/>
            <w:tcBorders>
              <w:top w:val="single" w:sz="4" w:space="0" w:color="auto"/>
              <w:left w:val="single" w:sz="4" w:space="0" w:color="auto"/>
              <w:bottom w:val="single" w:sz="4" w:space="0" w:color="auto"/>
              <w:right w:val="single" w:sz="4" w:space="0" w:color="auto"/>
            </w:tcBorders>
            <w:vAlign w:val="center"/>
            <w:hideMark/>
          </w:tcPr>
          <w:p w:rsidR="00C25D07" w:rsidRPr="00DE3248" w:rsidRDefault="00C25D07" w:rsidP="00AF10B6">
            <w:pPr>
              <w:spacing w:after="0" w:line="480" w:lineRule="auto"/>
              <w:rPr>
                <w:rFonts w:eastAsia="Times New Roman" w:cs="Times New Roman"/>
                <w:b/>
                <w:color w:val="000000"/>
                <w:sz w:val="18"/>
                <w:szCs w:val="18"/>
                <w:lang w:val="en-US"/>
              </w:rPr>
            </w:pPr>
          </w:p>
        </w:tc>
        <w:tc>
          <w:tcPr>
            <w:tcW w:w="2192" w:type="pct"/>
            <w:gridSpan w:val="2"/>
            <w:tcBorders>
              <w:top w:val="single" w:sz="4" w:space="0" w:color="auto"/>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Cohesion (Multiple Correlation= 0.98)</w:t>
            </w:r>
          </w:p>
        </w:tc>
        <w:tc>
          <w:tcPr>
            <w:tcW w:w="1786" w:type="pct"/>
            <w:gridSpan w:val="2"/>
            <w:tcBorders>
              <w:top w:val="single" w:sz="4" w:space="0" w:color="auto"/>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FF (Multiple Correlation= 0.82)</w:t>
            </w:r>
          </w:p>
        </w:tc>
      </w:tr>
      <w:tr w:rsidR="00C25D07" w:rsidRPr="00DE3248" w:rsidTr="00AF10B6">
        <w:trPr>
          <w:trHeight w:val="75"/>
        </w:trPr>
        <w:tc>
          <w:tcPr>
            <w:tcW w:w="1022" w:type="pct"/>
            <w:vMerge/>
            <w:tcBorders>
              <w:top w:val="single" w:sz="4" w:space="0" w:color="auto"/>
              <w:left w:val="single" w:sz="4" w:space="0" w:color="auto"/>
              <w:bottom w:val="single" w:sz="4" w:space="0" w:color="auto"/>
              <w:right w:val="single" w:sz="4" w:space="0" w:color="auto"/>
            </w:tcBorders>
            <w:vAlign w:val="center"/>
            <w:hideMark/>
          </w:tcPr>
          <w:p w:rsidR="00C25D07" w:rsidRPr="00DE3248" w:rsidRDefault="00C25D07" w:rsidP="00AF10B6">
            <w:pPr>
              <w:spacing w:after="0" w:line="480" w:lineRule="auto"/>
              <w:rPr>
                <w:rFonts w:eastAsia="Times New Roman" w:cs="Times New Roman"/>
                <w:b/>
                <w:color w:val="000000"/>
                <w:sz w:val="18"/>
                <w:szCs w:val="18"/>
                <w:lang w:val="en-US"/>
              </w:rPr>
            </w:pPr>
          </w:p>
        </w:tc>
        <w:tc>
          <w:tcPr>
            <w:tcW w:w="823"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0.05</w:t>
            </w:r>
          </w:p>
        </w:tc>
        <w:tc>
          <w:tcPr>
            <w:tcW w:w="1369"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 </w:t>
            </w:r>
          </w:p>
        </w:tc>
        <w:tc>
          <w:tcPr>
            <w:tcW w:w="670"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0.44</w:t>
            </w:r>
          </w:p>
        </w:tc>
        <w:tc>
          <w:tcPr>
            <w:tcW w:w="1116"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 </w:t>
            </w:r>
          </w:p>
        </w:tc>
      </w:tr>
      <w:tr w:rsidR="00C25D07" w:rsidRPr="00DE3248" w:rsidTr="00AF10B6">
        <w:trPr>
          <w:trHeight w:val="107"/>
        </w:trPr>
        <w:tc>
          <w:tcPr>
            <w:tcW w:w="5000" w:type="pct"/>
            <w:gridSpan w:val="5"/>
            <w:tcBorders>
              <w:top w:val="single" w:sz="4" w:space="0" w:color="auto"/>
              <w:left w:val="single" w:sz="4" w:space="0" w:color="auto"/>
              <w:bottom w:val="single" w:sz="4" w:space="0" w:color="auto"/>
              <w:right w:val="single" w:sz="4" w:space="0" w:color="000000"/>
            </w:tcBorders>
            <w:shd w:val="clear" w:color="000000" w:fill="EEECE1"/>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Variables</w:t>
            </w:r>
          </w:p>
        </w:tc>
      </w:tr>
      <w:tr w:rsidR="00C25D07" w:rsidRPr="00DE3248" w:rsidTr="00AF10B6">
        <w:trPr>
          <w:trHeight w:val="152"/>
        </w:trPr>
        <w:tc>
          <w:tcPr>
            <w:tcW w:w="1022" w:type="pct"/>
            <w:tcBorders>
              <w:top w:val="nil"/>
              <w:left w:val="single" w:sz="4" w:space="0" w:color="auto"/>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Intercept</w:t>
            </w:r>
          </w:p>
        </w:tc>
        <w:tc>
          <w:tcPr>
            <w:tcW w:w="823"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0.108</w:t>
            </w:r>
          </w:p>
        </w:tc>
        <w:tc>
          <w:tcPr>
            <w:tcW w:w="1369"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-2.169</w:t>
            </w:r>
          </w:p>
        </w:tc>
        <w:tc>
          <w:tcPr>
            <w:tcW w:w="670"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0.184</w:t>
            </w:r>
          </w:p>
        </w:tc>
        <w:tc>
          <w:tcPr>
            <w:tcW w:w="1116"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17.082</w:t>
            </w:r>
          </w:p>
        </w:tc>
      </w:tr>
      <w:tr w:rsidR="00C25D07" w:rsidRPr="00DE3248" w:rsidTr="00AF10B6">
        <w:trPr>
          <w:trHeight w:val="125"/>
        </w:trPr>
        <w:tc>
          <w:tcPr>
            <w:tcW w:w="1022" w:type="pct"/>
            <w:tcBorders>
              <w:top w:val="nil"/>
              <w:left w:val="single" w:sz="4" w:space="0" w:color="auto"/>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d50 (µm)</w:t>
            </w:r>
          </w:p>
        </w:tc>
        <w:tc>
          <w:tcPr>
            <w:tcW w:w="823"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0.117</w:t>
            </w:r>
          </w:p>
        </w:tc>
        <w:tc>
          <w:tcPr>
            <w:tcW w:w="1369"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0.014</w:t>
            </w:r>
          </w:p>
        </w:tc>
        <w:tc>
          <w:tcPr>
            <w:tcW w:w="670"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0.847</w:t>
            </w:r>
          </w:p>
        </w:tc>
        <w:tc>
          <w:tcPr>
            <w:tcW w:w="1116"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-0.013</w:t>
            </w:r>
          </w:p>
        </w:tc>
      </w:tr>
      <w:tr w:rsidR="00C25D07" w:rsidRPr="00DE3248" w:rsidTr="00AF10B6">
        <w:trPr>
          <w:trHeight w:val="89"/>
        </w:trPr>
        <w:tc>
          <w:tcPr>
            <w:tcW w:w="1022" w:type="pct"/>
            <w:tcBorders>
              <w:top w:val="nil"/>
              <w:left w:val="single" w:sz="4" w:space="0" w:color="auto"/>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SSA (m</w:t>
            </w:r>
            <w:r w:rsidRPr="00DE3248">
              <w:rPr>
                <w:rFonts w:eastAsia="Times New Roman" w:cs="Times New Roman"/>
                <w:color w:val="000000"/>
                <w:sz w:val="18"/>
                <w:szCs w:val="18"/>
                <w:vertAlign w:val="superscript"/>
                <w:lang w:val="en-US"/>
              </w:rPr>
              <w:t>2</w:t>
            </w:r>
            <w:r w:rsidRPr="00DE3248">
              <w:rPr>
                <w:rFonts w:eastAsia="Times New Roman" w:cs="Times New Roman"/>
                <w:color w:val="000000"/>
                <w:sz w:val="18"/>
                <w:szCs w:val="18"/>
                <w:lang w:val="en-US"/>
              </w:rPr>
              <w:t>/g)</w:t>
            </w:r>
          </w:p>
        </w:tc>
        <w:tc>
          <w:tcPr>
            <w:tcW w:w="823"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0.027</w:t>
            </w:r>
          </w:p>
        </w:tc>
        <w:tc>
          <w:tcPr>
            <w:tcW w:w="1369"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2.795</w:t>
            </w:r>
          </w:p>
        </w:tc>
        <w:tc>
          <w:tcPr>
            <w:tcW w:w="670"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0.262</w:t>
            </w:r>
          </w:p>
        </w:tc>
        <w:tc>
          <w:tcPr>
            <w:tcW w:w="1116"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-8.008</w:t>
            </w:r>
          </w:p>
        </w:tc>
      </w:tr>
      <w:tr w:rsidR="00C25D07" w:rsidRPr="00DE3248" w:rsidTr="00AF10B6">
        <w:trPr>
          <w:trHeight w:val="75"/>
        </w:trPr>
        <w:tc>
          <w:tcPr>
            <w:tcW w:w="1022" w:type="pct"/>
            <w:tcBorders>
              <w:top w:val="nil"/>
              <w:left w:val="single" w:sz="4" w:space="0" w:color="auto"/>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Uniformity</w:t>
            </w:r>
          </w:p>
        </w:tc>
        <w:tc>
          <w:tcPr>
            <w:tcW w:w="823"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0.210</w:t>
            </w:r>
          </w:p>
        </w:tc>
        <w:tc>
          <w:tcPr>
            <w:tcW w:w="1369"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0.663</w:t>
            </w:r>
          </w:p>
        </w:tc>
        <w:tc>
          <w:tcPr>
            <w:tcW w:w="670"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1.286</w:t>
            </w:r>
          </w:p>
        </w:tc>
        <w:tc>
          <w:tcPr>
            <w:tcW w:w="1116" w:type="pct"/>
            <w:tcBorders>
              <w:top w:val="nil"/>
              <w:left w:val="nil"/>
              <w:bottom w:val="single" w:sz="4" w:space="0" w:color="auto"/>
              <w:right w:val="single" w:sz="4" w:space="0" w:color="auto"/>
            </w:tcBorders>
            <w:shd w:val="clear" w:color="auto" w:fill="auto"/>
            <w:noWrap/>
            <w:vAlign w:val="bottom"/>
            <w:hideMark/>
          </w:tcPr>
          <w:p w:rsidR="00C25D07" w:rsidRPr="00DE3248" w:rsidRDefault="00C25D07" w:rsidP="00AF10B6">
            <w:pPr>
              <w:spacing w:after="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0.374</w:t>
            </w:r>
          </w:p>
        </w:tc>
      </w:tr>
    </w:tbl>
    <w:p w:rsidR="00DC2280" w:rsidRPr="00DE3248" w:rsidRDefault="00DC2280" w:rsidP="00DC2280">
      <w:pPr>
        <w:spacing w:before="120" w:after="120" w:line="480" w:lineRule="auto"/>
        <w:rPr>
          <w:rFonts w:cs="Times New Roman"/>
          <w:b/>
          <w:i/>
          <w:szCs w:val="24"/>
        </w:rPr>
      </w:pPr>
      <w:r w:rsidRPr="00DE3248">
        <w:rPr>
          <w:rFonts w:cs="Times New Roman"/>
          <w:b/>
          <w:i/>
          <w:szCs w:val="24"/>
        </w:rPr>
        <w:t>S</w:t>
      </w:r>
      <w:r w:rsidRPr="00DE3248">
        <w:rPr>
          <w:rFonts w:cs="Times New Roman"/>
          <w:b/>
          <w:i/>
          <w:szCs w:val="24"/>
          <w:vertAlign w:val="subscript"/>
        </w:rPr>
        <w:t>3</w:t>
      </w:r>
      <w:r w:rsidRPr="00DE3248">
        <w:rPr>
          <w:rFonts w:cs="Times New Roman"/>
          <w:b/>
          <w:i/>
          <w:szCs w:val="24"/>
        </w:rPr>
        <w:t>.2. Surface Energy and Surface Chemistry</w:t>
      </w:r>
    </w:p>
    <w:p w:rsidR="00DC2280" w:rsidRPr="00DE3248" w:rsidRDefault="00DC2280" w:rsidP="00DC2280">
      <w:pPr>
        <w:spacing w:before="120" w:after="120" w:line="480" w:lineRule="auto"/>
        <w:rPr>
          <w:rFonts w:cs="Times New Roman"/>
          <w:b/>
          <w:i/>
          <w:szCs w:val="24"/>
        </w:rPr>
      </w:pPr>
      <w:r w:rsidRPr="00DE3248">
        <w:rPr>
          <w:rFonts w:cs="Times New Roman"/>
          <w:b/>
          <w:i/>
          <w:szCs w:val="24"/>
        </w:rPr>
        <w:t>S</w:t>
      </w:r>
      <w:r w:rsidRPr="00DE3248">
        <w:rPr>
          <w:rFonts w:cs="Times New Roman"/>
          <w:b/>
          <w:i/>
          <w:szCs w:val="24"/>
          <w:vertAlign w:val="subscript"/>
        </w:rPr>
        <w:t>3</w:t>
      </w:r>
      <w:r w:rsidRPr="00DE3248">
        <w:rPr>
          <w:rFonts w:cs="Times New Roman"/>
          <w:b/>
          <w:i/>
          <w:szCs w:val="24"/>
        </w:rPr>
        <w:t xml:space="preserve">.2.1. Methods for </w:t>
      </w:r>
      <w:r w:rsidR="00B647A5" w:rsidRPr="00DE3248">
        <w:rPr>
          <w:rFonts w:cs="Times New Roman"/>
          <w:b/>
          <w:i/>
          <w:szCs w:val="24"/>
        </w:rPr>
        <w:t>Surface Energy</w:t>
      </w:r>
      <w:r w:rsidR="007E45B8" w:rsidRPr="00DE3248">
        <w:rPr>
          <w:rFonts w:cs="Times New Roman"/>
          <w:b/>
          <w:i/>
          <w:szCs w:val="24"/>
        </w:rPr>
        <w:t xml:space="preserve"> and Molecular Modeling for Surface Chemistry Analysis</w:t>
      </w:r>
    </w:p>
    <w:p w:rsidR="007E45B8" w:rsidRPr="00DE3248" w:rsidRDefault="007E45B8" w:rsidP="007E45B8">
      <w:pPr>
        <w:spacing w:line="480" w:lineRule="auto"/>
        <w:jc w:val="both"/>
        <w:rPr>
          <w:rFonts w:cs="Times New Roman"/>
          <w:color w:val="000000" w:themeColor="text1"/>
          <w:szCs w:val="24"/>
        </w:rPr>
      </w:pPr>
      <w:r w:rsidRPr="00DE3248">
        <w:rPr>
          <w:rFonts w:cs="Times New Roman"/>
          <w:color w:val="000000" w:themeColor="text1"/>
          <w:szCs w:val="24"/>
        </w:rPr>
        <w:t xml:space="preserve">A sessile drop analysis was performed on the surface of IBU compacts which were prepared using a Natoli NP-RD10 laboratory and manual tablet press (USA) employing 80 MPa compaction pressure. An in-house and custom designed sessile drop analysis method was used to measure the contact angles for selected batches of IBU (n=3). The image of the advancing contact angles of double distilled water, diiodomethane and ethylene glycol were captured at ambient conditions. The contact angles were calculated by fitting the Young-Laplace equation to the contact angle image using Image J 1.45s software (National Institute of Health, USA) with drop shape analysis plugin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&lt;EndNote&gt;&lt;Cite&gt;&lt;Author&gt;Stalder&lt;/Author&gt;&lt;Year&gt;2010&lt;/Year&gt;&lt;RecNum&gt;19&lt;/RecNum&gt;&lt;DisplayText&gt;(Stalder et al., 2006; Stalder et al., 2010)&lt;/DisplayText&gt;&lt;record&gt;&lt;rec-number&gt;19&lt;/rec-number&gt;&lt;foreign-keys&gt;&lt;key app="EN" db-id="d5fs0wsvp0f05ser9abpxz97rwr0et952ape" timestamp="1491558969"&gt;19&lt;/key&gt;&lt;/foreign-keys&gt;&lt;ref-type name="Journal Article"&gt;17&lt;/ref-type&gt;&lt;contributors&gt;&lt;authors&gt;&lt;author&gt;Stalder, Aurélien F&lt;/author&gt;&lt;author&gt;Melchior, Tobias&lt;/author&gt;&lt;author&gt;Müller, Michael&lt;/author&gt;&lt;author&gt;Sage, Daniel&lt;/author&gt;&lt;author&gt;Blu, Thierry&lt;/author&gt;&lt;author&gt;Unser, Michael&lt;/author&gt;&lt;/authors&gt;&lt;/contributors&gt;&lt;titles&gt;&lt;title&gt;Low-bond axisymmetric drop shape analysis for surface tension and contact angle measurements of sessile drops&lt;/title&gt;&lt;secondary-title&gt;Colloids Surf., A&lt;/secondary-title&gt;&lt;/titles&gt;&lt;periodical&gt;&lt;full-title&gt;Colloids Surf., A&lt;/full-title&gt;&lt;/periodical&gt;&lt;pages&gt;72-81&lt;/pages&gt;&lt;volume&gt;364&lt;/volume&gt;&lt;number&gt;1&lt;/number&gt;&lt;dates&gt;&lt;year&gt;2010&lt;/year&gt;&lt;/dates&gt;&lt;isbn&gt;0927-7757&lt;/isbn&gt;&lt;urls&gt;&lt;/urls&gt;&lt;/record&gt;&lt;/Cite&gt;&lt;Cite&gt;&lt;Author&gt;Stalder&lt;/Author&gt;&lt;Year&gt;2006&lt;/Year&gt;&lt;RecNum&gt;20&lt;/RecNum&gt;&lt;record&gt;&lt;rec-number&gt;20&lt;/rec-number&gt;&lt;foreign-keys&gt;&lt;key app="EN" db-id="d5fs0wsvp0f05ser9abpxz97rwr0et952ape" timestamp="1491558969"&gt;20&lt;/key&gt;&lt;/foreign-keys&gt;&lt;ref-type name="Journal Article"&gt;17&lt;/ref-type&gt;&lt;contributors&gt;&lt;authors&gt;&lt;author&gt;Stalder, AF&lt;/author&gt;&lt;author&gt;Kulik, G&lt;/author&gt;&lt;author&gt;Sage, D&lt;/author&gt;&lt;author&gt;Barbieri, L&lt;/author&gt;&lt;author&gt;Hoffmann, P&lt;/author&gt;&lt;/authors&gt;&lt;/contributors&gt;&lt;titles&gt;&lt;title&gt;A snake-based approach to accurate determination of both contact points and contact angles&lt;/title&gt;&lt;secondary-title&gt;Colloids Surf., A&amp;#x9;&lt;/secondary-title&gt;&lt;/titles&gt;&lt;pages&gt;92-103&lt;/pages&gt;&lt;volume&gt;286&lt;/volume&gt;&lt;number&gt;1&lt;/number&gt;&lt;dates&gt;&lt;year&gt;2006&lt;/year&gt;&lt;/dates&gt;&lt;isbn&gt;0927-7757&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44" w:tooltip="Stalder, 2006 #20" w:history="1">
        <w:r w:rsidRPr="00DE3248">
          <w:rPr>
            <w:rFonts w:cs="Times New Roman"/>
            <w:noProof/>
            <w:color w:val="000000" w:themeColor="text1"/>
            <w:szCs w:val="24"/>
          </w:rPr>
          <w:t>Stalder et al., 2006</w:t>
        </w:r>
      </w:hyperlink>
      <w:r w:rsidRPr="00DE3248">
        <w:rPr>
          <w:rFonts w:cs="Times New Roman"/>
          <w:noProof/>
          <w:color w:val="000000" w:themeColor="text1"/>
          <w:szCs w:val="24"/>
        </w:rPr>
        <w:t xml:space="preserve">; </w:t>
      </w:r>
      <w:hyperlink w:anchor="_ENREF_45" w:tooltip="Stalder, 2010 #19" w:history="1">
        <w:r w:rsidRPr="00DE3248">
          <w:rPr>
            <w:rFonts w:cs="Times New Roman"/>
            <w:noProof/>
            <w:color w:val="000000" w:themeColor="text1"/>
            <w:szCs w:val="24"/>
          </w:rPr>
          <w:t>Stalder et al., 2010</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The dispersive surface energy was calculated using Owns-Wendt and Oss-Chaudhury-Good methods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&lt;EndNote&gt;&lt;Cite&gt;&lt;Author&gt;Żenkiewicz&lt;/Author&gt;&lt;Year&gt;2007&lt;/Year&gt;&lt;RecNum&gt;21&lt;/RecNum&gt;&lt;DisplayText&gt;(Żenkiewicz, 2007)&lt;/DisplayText&gt;&lt;record&gt;&lt;rec-number&gt;21&lt;/rec-number&gt;&lt;foreign-keys&gt;&lt;key app="EN" db-id="d5fs0wsvp0f05ser9abpxz97rwr0et952ape" timestamp="1491558969"&gt;21&lt;/key&gt;&lt;/foreign-keys&gt;&lt;ref-type name="Journal Article"&gt;17&lt;/ref-type&gt;&lt;contributors&gt;&lt;authors&gt;&lt;author&gt;Żenkiewicz, M&lt;/author&gt;&lt;/authors&gt;&lt;/contributors&gt;&lt;titles&gt;&lt;title&gt;Methods for the calculation of surface free energy of solids&lt;/title&gt;&lt;secondary-title&gt;J. Achiev. Mater. Manuf. Eng.&lt;/secondary-title&gt;&lt;/titles&gt;&lt;periodical&gt;&lt;full-title&gt;J. Achiev. Mater. Manuf. Eng.&lt;/full-title&gt;&lt;/periodical&gt;&lt;pages&gt;137-145&lt;/pages&gt;&lt;volume&gt;24&lt;/volume&gt;&lt;number&gt;1&lt;/number&gt;&lt;dates&gt;&lt;year&gt;2007&lt;/year&gt;&lt;/dates&gt;&lt;isbn&gt;1734-8412&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54" w:tooltip="Żenkiewicz, 2007 #21" w:history="1">
        <w:r w:rsidRPr="00DE3248">
          <w:rPr>
            <w:rFonts w:cs="Times New Roman"/>
            <w:noProof/>
            <w:color w:val="000000" w:themeColor="text1"/>
            <w:szCs w:val="24"/>
          </w:rPr>
          <w:t>Żenkiewicz, 2007</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Inverse gas chromatography (iGC) (Surface Measurement Systems, </w:t>
      </w:r>
      <w:r w:rsidRPr="00DE3248">
        <w:rPr>
          <w:rFonts w:cs="Times New Roman"/>
          <w:color w:val="000000" w:themeColor="text1"/>
          <w:szCs w:val="24"/>
          <w:shd w:val="clear" w:color="auto" w:fill="FFFFFF"/>
        </w:rPr>
        <w:t>London, UK</w:t>
      </w:r>
      <w:r w:rsidRPr="00DE3248">
        <w:rPr>
          <w:rFonts w:cs="Times New Roman"/>
          <w:color w:val="000000" w:themeColor="text1"/>
          <w:szCs w:val="24"/>
        </w:rPr>
        <w:t xml:space="preserve">)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&lt;EndNote&gt;&lt;Cite&gt;&lt;Author&gt;Newell&lt;/Author&gt;&lt;Year&gt;2001&lt;/Year&gt;&lt;RecNum&gt;22&lt;/RecNum&gt;&lt;DisplayText&gt;(Buckton and Gill, 2007; Newell et al., 2001)&lt;/DisplayText&gt;&lt;record&gt;&lt;rec-number&gt;22&lt;/rec-number&gt;&lt;foreign-keys&gt;&lt;key app="EN" db-id="d5fs0wsvp0f05ser9abpxz97rwr0et952ape" timestamp="1491558970"&gt;22&lt;/key&gt;&lt;/foreign-keys&gt;&lt;ref-type name="Journal Article"&gt;17&lt;/ref-type&gt;&lt;contributors&gt;&lt;authors&gt;&lt;author&gt;Newell, Helen E&lt;/author&gt;&lt;author&gt;Buckton, Graham&lt;/author&gt;&lt;author&gt;Butler, David A&lt;/author&gt;&lt;author&gt;Thielmann, Frank&lt;/author&gt;&lt;author&gt;Williams, Daryl R&lt;/author&gt;&lt;/authors&gt;&lt;/contributors&gt;&lt;titles&gt;&lt;title&gt;The use of inverse phase gas chromatography to measure the surface energy of crystalline, amorphous, and recently milled lactose&lt;/title&gt;&lt;secondary-title&gt;Pharm. Res.&lt;/secondary-title&gt;&lt;/titles&gt;&lt;periodical&gt;&lt;full-title&gt;Pharm. Res.&lt;/full-title&gt;&lt;/periodical&gt;&lt;pages&gt;662-666&lt;/pages&gt;&lt;volume&gt;18&lt;/volume&gt;&lt;number&gt;5&lt;/number&gt;&lt;dates&gt;&lt;year&gt;2001&lt;/year&gt;&lt;/dates&gt;&lt;isbn&gt;0724-8741&lt;/isbn&gt;&lt;urls&gt;&lt;/urls&gt;&lt;/record&gt;&lt;/Cite&gt;&lt;Cite&gt;&lt;Author&gt;Buckton&lt;/Author&gt;&lt;Year&gt;2007&lt;/Year&gt;&lt;RecNum&gt;23&lt;/RecNum&gt;&lt;record&gt;&lt;rec-number&gt;23&lt;/rec-number&gt;&lt;foreign-keys&gt;&lt;key app="EN" db-id="d5fs0wsvp0f05ser9abpxz97rwr0et952ape" timestamp="1491558970"&gt;23&lt;/key&gt;&lt;/foreign-keys&gt;&lt;ref-type name="Journal Article"&gt;17&lt;/ref-type&gt;&lt;contributors&gt;&lt;authors&gt;&lt;author&gt;Buckton, Graham&lt;/author&gt;&lt;author&gt;Gill, Hardyal&lt;/author&gt;&lt;/authors&gt;&lt;/contributors&gt;&lt;titles&gt;&lt;title&gt;The importance of surface energetics of powders for drug delivery and the establishment of inverse gas chromatography&lt;/title&gt;&lt;secondary-title&gt;Adv. Drug Deliv. Rev.&lt;/secondary-title&gt;&lt;/titles&gt;&lt;periodical&gt;&lt;full-title&gt;Adv. Drug Deliv. Rev.&lt;/full-title&gt;&lt;/periodical&gt;&lt;pages&gt;1474-1479&lt;/pages&gt;&lt;volume&gt;59&lt;/volume&gt;&lt;number&gt;14&lt;/number&gt;&lt;dates&gt;&lt;year&gt;2007&lt;/year&gt;&lt;/dates&gt;&lt;isbn&gt;0169-409X&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4" w:tooltip="Buckton, 2007 #23" w:history="1">
        <w:r w:rsidRPr="00DE3248">
          <w:rPr>
            <w:rFonts w:cs="Times New Roman"/>
            <w:noProof/>
            <w:color w:val="000000" w:themeColor="text1"/>
            <w:szCs w:val="24"/>
          </w:rPr>
          <w:t>Buckton and Gill, 2007</w:t>
        </w:r>
      </w:hyperlink>
      <w:r w:rsidRPr="00DE3248">
        <w:rPr>
          <w:rFonts w:cs="Times New Roman"/>
          <w:noProof/>
          <w:color w:val="000000" w:themeColor="text1"/>
          <w:szCs w:val="24"/>
        </w:rPr>
        <w:t xml:space="preserve">; </w:t>
      </w:r>
      <w:hyperlink w:anchor="_ENREF_29" w:tooltip="Newell, 2001 #22" w:history="1">
        <w:r w:rsidRPr="00DE3248">
          <w:rPr>
            <w:rFonts w:cs="Times New Roman"/>
            <w:noProof/>
            <w:color w:val="000000" w:themeColor="text1"/>
            <w:szCs w:val="24"/>
          </w:rPr>
          <w:t>Newell et al., 2001</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was also used for surface energy analysis of selected batches of IBU with different morphologies and particle size. Alkane </w:t>
      </w:r>
      <w:r w:rsidRPr="00DE3248">
        <w:rPr>
          <w:color w:val="000000" w:themeColor="text1"/>
        </w:rPr>
        <w:t xml:space="preserve">probes with a known dispersive surface free </w:t>
      </w:r>
      <w:r w:rsidRPr="00DE3248">
        <w:rPr>
          <w:color w:val="000000" w:themeColor="text1"/>
        </w:rPr>
        <w:lastRenderedPageBreak/>
        <w:t>energy were used.</w:t>
      </w:r>
      <w:r w:rsidRPr="00DE3248">
        <w:rPr>
          <w:rFonts w:cs="Times New Roman"/>
          <w:color w:val="000000" w:themeColor="text1"/>
          <w:szCs w:val="24"/>
        </w:rPr>
        <w:t xml:space="preserve"> The method for surface free energy measurements has been previously described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&lt;EndNote&gt;&lt;Cite&gt;&lt;Author&gt;Tewes&lt;/Author&gt;&lt;Year&gt;2011&lt;/Year&gt;&lt;RecNum&gt;58&lt;/RecNum&gt;&lt;DisplayText&gt;(Tewes et al., 2011)&lt;/DisplayText&gt;&lt;record&gt;&lt;rec-number&gt;58&lt;/rec-number&gt;&lt;foreign-keys&gt;&lt;key app="EN" db-id="d5fs0wsvp0f05ser9abpxz97rwr0et952ape" timestamp="1492007397"&gt;58&lt;/key&gt;&lt;/foreign-keys&gt;&lt;ref-type name="Journal Article"&gt;17&lt;/ref-type&gt;&lt;contributors&gt;&lt;authors&gt;&lt;author&gt;Tewes, Frederic&lt;/author&gt;&lt;author&gt;Gobbo, Oliviero L.&lt;/author&gt;&lt;author&gt;Amaro, Maria I.&lt;/author&gt;&lt;author&gt;Tajber, Lidia&lt;/author&gt;&lt;author&gt;Corrigan, Owen I.&lt;/author&gt;&lt;author&gt;Ehrhardt, Carsten&lt;/author&gt;&lt;author&gt;Healy, Anne Marie&lt;/author&gt;&lt;/authors&gt;&lt;/contributors&gt;&lt;titles&gt;&lt;title&gt;Evaluation of HPβCD–PEG Microparticles for Salmon Calcitonin Administration via Pulmonary Delivery&lt;/title&gt;&lt;secondary-title&gt;Mol. Pharm.&lt;/secondary-title&gt;&lt;/titles&gt;&lt;periodical&gt;&lt;full-title&gt;Mol. Pharm.&lt;/full-title&gt;&lt;/periodical&gt;&lt;pages&gt;1887-1898&lt;/pages&gt;&lt;volume&gt;8&lt;/volume&gt;&lt;number&gt;5&lt;/number&gt;&lt;dates&gt;&lt;year&gt;2011&lt;/year&gt;&lt;pub-dates&gt;&lt;date&gt;2011/10/03&lt;/date&gt;&lt;/pub-dates&gt;&lt;/dates&gt;&lt;publisher&gt;American Chemical Society&lt;/publisher&gt;&lt;isbn&gt;1543-8384&lt;/isbn&gt;&lt;urls&gt;&lt;related-urls&gt;&lt;url&gt;http://dx.doi.org/10.1021/mp200231c&lt;/url&gt;&lt;/related-urls&gt;&lt;/urls&gt;&lt;electronic-resource-num&gt;10.1021/mp200231c&lt;/electronic-resource-num&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50" w:tooltip="Tewes, 2011 #58" w:history="1">
        <w:r w:rsidRPr="00DE3248">
          <w:rPr>
            <w:rFonts w:cs="Times New Roman"/>
            <w:noProof/>
            <w:color w:val="000000" w:themeColor="text1"/>
            <w:szCs w:val="24"/>
          </w:rPr>
          <w:t>Tewes et al., 2011</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w:t>
      </w:r>
    </w:p>
    <w:p w:rsidR="007E45B8" w:rsidRPr="00DE3248" w:rsidRDefault="007E45B8" w:rsidP="007E45B8">
      <w:pPr>
        <w:spacing w:line="480" w:lineRule="auto"/>
        <w:jc w:val="both"/>
        <w:rPr>
          <w:rFonts w:cs="Times New Roman"/>
          <w:color w:val="000000" w:themeColor="text1"/>
          <w:szCs w:val="24"/>
        </w:rPr>
      </w:pPr>
      <w:r w:rsidRPr="00DE3248">
        <w:rPr>
          <w:rFonts w:cs="Times New Roman"/>
          <w:color w:val="000000" w:themeColor="text1"/>
          <w:szCs w:val="24"/>
        </w:rPr>
        <w:t xml:space="preserve">Molecular modeling was performed using Materials Studio 4.0 (BIOVIA, USA) software to predict solvent dependent morphology and the surface chemistry of IBU where faces with the slowest growth rate are the morphological important faces with the lowest attachment energies. The detail of the molecular dynamics and modeling methods employed are described in the </w:t>
      </w:r>
      <w:r w:rsidRPr="00DE3248">
        <w:rPr>
          <w:rFonts w:cs="Times New Roman"/>
          <w:noProof/>
          <w:color w:val="000000" w:themeColor="text1"/>
          <w:szCs w:val="24"/>
        </w:rPr>
        <w:t>literature</w:t>
      </w:r>
      <w:r w:rsidRPr="00DE3248">
        <w:rPr>
          <w:rFonts w:cs="Times New Roman"/>
          <w:color w:val="000000" w:themeColor="text1"/>
          <w:szCs w:val="24"/>
        </w:rPr>
        <w:t xml:space="preserve">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&lt;EndNote&gt;&lt;Cite&gt;&lt;Author&gt;Schmidt&lt;/Author&gt;&lt;Year&gt;2012&lt;/Year&gt;&lt;RecNum&gt;25&lt;/RecNum&gt;&lt;DisplayText&gt;(Kumar and Shastri, 2013; Schmidt and Ulrich, 2012)&lt;/DisplayText&gt;&lt;record&gt;&lt;rec-number&gt;25&lt;/rec-number&gt;&lt;foreign-keys&gt;&lt;key app="EN" db-id="d5fs0wsvp0f05ser9abpxz97rwr0et952ape" timestamp="1491558970"&gt;25&lt;/key&gt;&lt;/foreign-keys&gt;&lt;ref-type name="Journal Article"&gt;17&lt;/ref-type&gt;&lt;contributors&gt;&lt;authors&gt;&lt;author&gt;Schmidt, Christiane&lt;/author&gt;&lt;author&gt;Ulrich, Joachim&lt;/author&gt;&lt;/authors&gt;&lt;/contributors&gt;&lt;titles&gt;&lt;title&gt;Predicting crystal morphology grown from solution&lt;/title&gt;&lt;secondary-title&gt;Chem. Eng. Technol.&lt;/secondary-title&gt;&lt;/titles&gt;&lt;periodical&gt;&lt;full-title&gt;Chem. Eng. Technol.&lt;/full-title&gt;&lt;/periodical&gt;&lt;pages&gt;1009-1012&lt;/pages&gt;&lt;volume&gt;35&lt;/volume&gt;&lt;number&gt;6&lt;/number&gt;&lt;dates&gt;&lt;year&gt;2012&lt;/year&gt;&lt;/dates&gt;&lt;isbn&gt;1521-4125&lt;/isbn&gt;&lt;urls&gt;&lt;/urls&gt;&lt;/record&gt;&lt;/Cite&gt;&lt;Cite&gt;&lt;Author&gt;Kumar&lt;/Author&gt;&lt;Year&gt;2013&lt;/Year&gt;&lt;RecNum&gt;26&lt;/RecNum&gt;&lt;record&gt;&lt;rec-number&gt;26&lt;/rec-number&gt;&lt;foreign-keys&gt;&lt;key app="EN" db-id="d5fs0wsvp0f05ser9abpxz97rwr0et952ape" timestamp="1491558970"&gt;26&lt;/key&gt;&lt;/foreign-keys&gt;&lt;ref-type name="Journal Article"&gt;17&lt;/ref-type&gt;&lt;contributors&gt;&lt;authors&gt;&lt;author&gt;Kumar, Dinesh&lt;/author&gt;&lt;author&gt;Shastri, Nalini R&lt;/author&gt;&lt;/authors&gt;&lt;/contributors&gt;&lt;titles&gt;&lt;title&gt;Designed isomorphism of nifedipine: a joint experimental and molecular simulation study with screened solvents and antisolvents&lt;/title&gt;&lt;secondary-title&gt;Cryst. Growth Des.&lt;/secondary-title&gt;&lt;/titles&gt;&lt;periodical&gt;&lt;full-title&gt;Cryst. Growth Des.&lt;/full-title&gt;&lt;/periodical&gt;&lt;pages&gt;326-338&lt;/pages&gt;&lt;volume&gt;14&lt;/volume&gt;&lt;number&gt;1&lt;/number&gt;&lt;dates&gt;&lt;year&gt;2013&lt;/year&gt;&lt;/dates&gt;&lt;isbn&gt;1528-7483&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23" w:tooltip="Kumar, 2013 #26" w:history="1">
        <w:r w:rsidRPr="00DE3248">
          <w:rPr>
            <w:rFonts w:cs="Times New Roman"/>
            <w:noProof/>
            <w:color w:val="000000" w:themeColor="text1"/>
            <w:szCs w:val="24"/>
          </w:rPr>
          <w:t>Kumar and Shastri, 2013</w:t>
        </w:r>
      </w:hyperlink>
      <w:r w:rsidRPr="00DE3248">
        <w:rPr>
          <w:rFonts w:cs="Times New Roman"/>
          <w:noProof/>
          <w:color w:val="000000" w:themeColor="text1"/>
          <w:szCs w:val="24"/>
        </w:rPr>
        <w:t xml:space="preserve">; </w:t>
      </w:r>
      <w:hyperlink w:anchor="_ENREF_41" w:tooltip="Schmidt, 2012 #25" w:history="1">
        <w:r w:rsidRPr="00DE3248">
          <w:rPr>
            <w:rFonts w:cs="Times New Roman"/>
            <w:noProof/>
            <w:color w:val="000000" w:themeColor="text1"/>
            <w:szCs w:val="24"/>
          </w:rPr>
          <w:t>Schmidt and Ulrich, 2012</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w:t>
      </w:r>
    </w:p>
    <w:p w:rsidR="00FB48AA" w:rsidRPr="00DE3248" w:rsidRDefault="00DC2280" w:rsidP="00097D65">
      <w:pPr>
        <w:spacing w:before="120" w:after="120" w:line="480" w:lineRule="auto"/>
        <w:rPr>
          <w:rFonts w:cs="Times New Roman"/>
          <w:b/>
          <w:i/>
          <w:szCs w:val="24"/>
        </w:rPr>
      </w:pPr>
      <w:r w:rsidRPr="00DE3248">
        <w:rPr>
          <w:rFonts w:cs="Times New Roman"/>
          <w:b/>
          <w:i/>
          <w:szCs w:val="24"/>
        </w:rPr>
        <w:t>S</w:t>
      </w:r>
      <w:r w:rsidRPr="00DE3248">
        <w:rPr>
          <w:rFonts w:cs="Times New Roman"/>
          <w:b/>
          <w:i/>
          <w:szCs w:val="24"/>
          <w:vertAlign w:val="subscript"/>
        </w:rPr>
        <w:t>3</w:t>
      </w:r>
      <w:r w:rsidRPr="00DE3248">
        <w:rPr>
          <w:rFonts w:cs="Times New Roman"/>
          <w:b/>
          <w:i/>
          <w:szCs w:val="24"/>
        </w:rPr>
        <w:t>.2.2. Results for Surface Energy and Surface Chemistry</w:t>
      </w:r>
    </w:p>
    <w:p w:rsidR="006B512D" w:rsidRPr="00DE3248" w:rsidRDefault="00FB48AA" w:rsidP="00FB48AA">
      <w:pPr>
        <w:spacing w:before="120" w:after="120" w:line="480" w:lineRule="auto"/>
        <w:jc w:val="both"/>
        <w:rPr>
          <w:rFonts w:cs="Times New Roman"/>
          <w:color w:val="000000" w:themeColor="text1"/>
          <w:szCs w:val="24"/>
        </w:rPr>
      </w:pPr>
      <w:r w:rsidRPr="00DE3248">
        <w:rPr>
          <w:rFonts w:cs="Times New Roman"/>
          <w:color w:val="000000" w:themeColor="text1"/>
          <w:szCs w:val="24"/>
        </w:rPr>
        <w:t xml:space="preserve">The surface chemistry and the dispersive surface energy values of IBU batches were </w:t>
      </w:r>
      <w:r w:rsidRPr="00DE3248">
        <w:rPr>
          <w:rFonts w:cs="Times New Roman"/>
          <w:noProof/>
          <w:color w:val="000000" w:themeColor="text1"/>
          <w:szCs w:val="24"/>
        </w:rPr>
        <w:t>comparable</w:t>
      </w:r>
      <w:r w:rsidRPr="00DE3248">
        <w:rPr>
          <w:rFonts w:cs="Times New Roman"/>
          <w:color w:val="000000" w:themeColor="text1"/>
          <w:szCs w:val="24"/>
        </w:rPr>
        <w:t xml:space="preserve"> regardless of the polarity of the solvent used during crystallisation (</w:t>
      </w:r>
      <w:r w:rsidR="006B512D" w:rsidRPr="00DE3248">
        <w:rPr>
          <w:rFonts w:cs="Times New Roman"/>
          <w:color w:val="000000" w:themeColor="text1"/>
          <w:szCs w:val="24"/>
        </w:rPr>
        <w:t>supplementary data table S</w:t>
      </w:r>
      <w:r w:rsidR="006B512D" w:rsidRPr="00DE3248">
        <w:rPr>
          <w:rFonts w:cs="Times New Roman"/>
          <w:color w:val="000000" w:themeColor="text1"/>
          <w:szCs w:val="24"/>
          <w:vertAlign w:val="subscript"/>
        </w:rPr>
        <w:t>3</w:t>
      </w:r>
      <w:r w:rsidR="006B512D" w:rsidRPr="00DE3248">
        <w:rPr>
          <w:rFonts w:cs="Times New Roman"/>
          <w:color w:val="000000" w:themeColor="text1"/>
          <w:szCs w:val="24"/>
        </w:rPr>
        <w:t>-2.</w:t>
      </w:r>
      <w:r w:rsidRPr="00DE3248">
        <w:rPr>
          <w:rFonts w:cs="Times New Roman"/>
          <w:color w:val="000000" w:themeColor="text1"/>
          <w:szCs w:val="24"/>
        </w:rPr>
        <w:t xml:space="preserve">). </w:t>
      </w:r>
      <w:r w:rsidRPr="00DE3248">
        <w:rPr>
          <w:rFonts w:cs="Times New Roman"/>
          <w:noProof/>
          <w:color w:val="000000" w:themeColor="text1"/>
          <w:szCs w:val="24"/>
        </w:rPr>
        <w:t>Molecular modeling</w:t>
      </w:r>
      <w:r w:rsidRPr="00DE3248">
        <w:rPr>
          <w:rFonts w:cs="Times New Roman"/>
          <w:color w:val="000000" w:themeColor="text1"/>
          <w:szCs w:val="24"/>
        </w:rPr>
        <w:t xml:space="preserve"> was used to generate solvent modified crystal morphology and surface chemistry of crystal facets </w:t>
      </w:r>
      <w:r w:rsidRPr="00DE3248">
        <w:rPr>
          <w:rFonts w:cs="Times New Roman"/>
          <w:color w:val="000000" w:themeColor="text1"/>
          <w:szCs w:val="24"/>
        </w:rPr>
        <w:fldChar w:fldCharType="begin"/>
      </w:r>
      <w:r w:rsidRPr="00DE3248">
        <w:rPr>
          <w:rFonts w:cs="Times New Roman"/>
          <w:color w:val="000000" w:themeColor="text1"/>
          <w:szCs w:val="24"/>
        </w:rPr>
        <w:instrText xml:space="preserve"> ADDIN EN.CITE &lt;EndNote&gt;&lt;Cite&gt;&lt;Author&gt;Kumar&lt;/Author&gt;&lt;Year&gt;2013&lt;/Year&gt;&lt;RecNum&gt;26&lt;/RecNum&gt;&lt;DisplayText&gt;(Kumar and Shastri, 2013)&lt;/DisplayText&gt;&lt;record&gt;&lt;rec-number&gt;26&lt;/rec-number&gt;&lt;foreign-keys&gt;&lt;key app="EN" db-id="d5fs0wsvp0f05ser9abpxz97rwr0et952ape" timestamp="1491558970"&gt;26&lt;/key&gt;&lt;/foreign-keys&gt;&lt;ref-type name="Journal Article"&gt;17&lt;/ref-type&gt;&lt;contributors&gt;&lt;authors&gt;&lt;author&gt;Kumar, Dinesh&lt;/author&gt;&lt;author&gt;Shastri, Nalini R&lt;/author&gt;&lt;/authors&gt;&lt;/contributors&gt;&lt;titles&gt;&lt;title&gt;Designed isomorphism of nifedipine: a joint experimental and molecular simulation study with screened solvents and antisolvents&lt;/title&gt;&lt;secondary-title&gt;Cryst. Growth Des.&lt;/secondary-title&gt;&lt;/titles&gt;&lt;periodical&gt;&lt;full-title&gt;Cryst. Growth Des.&lt;/full-title&gt;&lt;/periodical&gt;&lt;pages&gt;326-338&lt;/pages&gt;&lt;volume&gt;14&lt;/volume&gt;&lt;number&gt;1&lt;/number&gt;&lt;dates&gt;&lt;year&gt;2013&lt;/year&gt;&lt;/dates&gt;&lt;isbn&gt;1528-7483&lt;/isbn&gt;&lt;urls&gt;&lt;/urls&gt;&lt;/record&gt;&lt;/Cite&gt;&lt;/EndNote&gt;</w:instrText>
      </w:r>
      <w:r w:rsidRPr="00DE3248">
        <w:rPr>
          <w:rFonts w:cs="Times New Roman"/>
          <w:color w:val="000000" w:themeColor="text1"/>
          <w:szCs w:val="24"/>
        </w:rPr>
        <w:fldChar w:fldCharType="separate"/>
      </w:r>
      <w:r w:rsidRPr="00DE3248">
        <w:rPr>
          <w:rFonts w:cs="Times New Roman"/>
          <w:noProof/>
          <w:color w:val="000000" w:themeColor="text1"/>
          <w:szCs w:val="24"/>
        </w:rPr>
        <w:t>(</w:t>
      </w:r>
      <w:hyperlink w:anchor="_ENREF_21" w:tooltip="Kumar, 2013 #26" w:history="1">
        <w:r w:rsidRPr="00DE3248">
          <w:rPr>
            <w:rFonts w:cs="Times New Roman"/>
            <w:noProof/>
            <w:color w:val="000000" w:themeColor="text1"/>
            <w:szCs w:val="24"/>
          </w:rPr>
          <w:t>Kumar and Shastri, 2013</w:t>
        </w:r>
      </w:hyperlink>
      <w:r w:rsidRPr="00DE3248">
        <w:rPr>
          <w:rFonts w:cs="Times New Roman"/>
          <w:noProof/>
          <w:color w:val="000000" w:themeColor="text1"/>
          <w:szCs w:val="24"/>
        </w:rPr>
        <w:t>)</w:t>
      </w:r>
      <w:r w:rsidRPr="00DE3248">
        <w:rPr>
          <w:rFonts w:cs="Times New Roman"/>
          <w:color w:val="000000" w:themeColor="text1"/>
          <w:szCs w:val="24"/>
        </w:rPr>
        <w:fldChar w:fldCharType="end"/>
      </w:r>
      <w:r w:rsidRPr="00DE3248">
        <w:rPr>
          <w:rFonts w:cs="Times New Roman"/>
          <w:color w:val="000000" w:themeColor="text1"/>
          <w:szCs w:val="24"/>
        </w:rPr>
        <w:t xml:space="preserve">. The modified morphologies of IBU crystals generated from hexane and ethanol-water showed solvent dependent distinct crystal morphologies which conformed with the experimental morphology </w:t>
      </w:r>
      <w:r w:rsidR="006B512D" w:rsidRPr="00DE3248">
        <w:rPr>
          <w:rFonts w:cs="Times New Roman"/>
          <w:color w:val="000000" w:themeColor="text1"/>
          <w:szCs w:val="24"/>
        </w:rPr>
        <w:t>(</w:t>
      </w:r>
      <w:r w:rsidR="008162A4" w:rsidRPr="00DE3248">
        <w:rPr>
          <w:rFonts w:cs="Times New Roman"/>
          <w:color w:val="000000" w:themeColor="text1"/>
          <w:szCs w:val="24"/>
        </w:rPr>
        <w:t xml:space="preserve">supplementary data </w:t>
      </w:r>
      <w:r w:rsidR="006B512D" w:rsidRPr="00DE3248">
        <w:rPr>
          <w:rFonts w:cs="Times New Roman"/>
          <w:color w:val="000000" w:themeColor="text1"/>
          <w:szCs w:val="24"/>
        </w:rPr>
        <w:t>fig. S</w:t>
      </w:r>
      <w:r w:rsidR="006B512D" w:rsidRPr="00DE3248">
        <w:rPr>
          <w:rFonts w:cs="Times New Roman"/>
          <w:color w:val="000000" w:themeColor="text1"/>
          <w:szCs w:val="24"/>
          <w:vertAlign w:val="subscript"/>
        </w:rPr>
        <w:t>3</w:t>
      </w:r>
      <w:r w:rsidR="006B512D" w:rsidRPr="00DE3248">
        <w:rPr>
          <w:rFonts w:cs="Times New Roman"/>
          <w:color w:val="000000" w:themeColor="text1"/>
          <w:szCs w:val="24"/>
        </w:rPr>
        <w:t>-</w:t>
      </w:r>
      <w:r w:rsidR="003A020D" w:rsidRPr="00DE3248">
        <w:rPr>
          <w:rFonts w:cs="Times New Roman"/>
          <w:color w:val="000000" w:themeColor="text1"/>
          <w:szCs w:val="24"/>
        </w:rPr>
        <w:t>2</w:t>
      </w:r>
      <w:r w:rsidRPr="00DE3248">
        <w:rPr>
          <w:rFonts w:cs="Times New Roman"/>
          <w:color w:val="000000" w:themeColor="text1"/>
          <w:szCs w:val="24"/>
        </w:rPr>
        <w:t>).  The most dominant crystal facet was (11-1) for batches generated from a</w:t>
      </w:r>
      <w:r w:rsidRPr="00DE3248">
        <w:rPr>
          <w:rFonts w:cs="Times New Roman"/>
          <w:noProof/>
          <w:color w:val="000000" w:themeColor="text1"/>
          <w:szCs w:val="24"/>
        </w:rPr>
        <w:t xml:space="preserve"> saturated</w:t>
      </w:r>
      <w:r w:rsidRPr="00DE3248">
        <w:rPr>
          <w:rFonts w:cs="Times New Roman"/>
          <w:color w:val="000000" w:themeColor="text1"/>
          <w:szCs w:val="24"/>
        </w:rPr>
        <w:t xml:space="preserve"> solution of IBU in hexane and ethanol-water, which was </w:t>
      </w:r>
      <w:r w:rsidRPr="00DE3248">
        <w:rPr>
          <w:rFonts w:cs="Times New Roman"/>
          <w:i/>
          <w:color w:val="000000" w:themeColor="text1"/>
          <w:szCs w:val="24"/>
        </w:rPr>
        <w:t>ca.</w:t>
      </w:r>
      <w:r w:rsidRPr="00DE3248">
        <w:rPr>
          <w:rFonts w:cs="Times New Roman"/>
          <w:color w:val="000000" w:themeColor="text1"/>
          <w:szCs w:val="24"/>
        </w:rPr>
        <w:t xml:space="preserve"> 76 % and </w:t>
      </w:r>
      <w:r w:rsidRPr="00DE3248">
        <w:rPr>
          <w:rFonts w:cs="Times New Roman"/>
          <w:i/>
          <w:color w:val="000000" w:themeColor="text1"/>
          <w:szCs w:val="24"/>
        </w:rPr>
        <w:t>ca.</w:t>
      </w:r>
      <w:r w:rsidRPr="00DE3248">
        <w:rPr>
          <w:rFonts w:cs="Times New Roman"/>
          <w:color w:val="000000" w:themeColor="text1"/>
          <w:szCs w:val="24"/>
        </w:rPr>
        <w:t xml:space="preserve"> 54 % of the total facets area, respectively (supplementary data table S</w:t>
      </w:r>
      <w:r w:rsidRPr="00DE3248">
        <w:rPr>
          <w:rFonts w:cs="Times New Roman"/>
          <w:color w:val="000000" w:themeColor="text1"/>
          <w:szCs w:val="24"/>
          <w:vertAlign w:val="subscript"/>
        </w:rPr>
        <w:t>3</w:t>
      </w:r>
      <w:r w:rsidRPr="00DE3248">
        <w:rPr>
          <w:rFonts w:cs="Times New Roman"/>
          <w:color w:val="000000" w:themeColor="text1"/>
          <w:szCs w:val="24"/>
        </w:rPr>
        <w:t xml:space="preserve">-2). </w:t>
      </w:r>
    </w:p>
    <w:p w:rsidR="00E0549B" w:rsidRPr="00DE3248" w:rsidRDefault="00E0549B" w:rsidP="00E448B1">
      <w:pPr>
        <w:keepNext/>
        <w:spacing w:after="0" w:line="480" w:lineRule="auto"/>
        <w:jc w:val="center"/>
      </w:pPr>
      <w:r w:rsidRPr="00DE3248">
        <w:rPr>
          <w:noProof/>
          <w:lang w:eastAsia="en-IE"/>
        </w:rPr>
        <w:lastRenderedPageBreak/>
        <w:drawing>
          <wp:inline distT="0" distB="0" distL="0" distR="0" wp14:anchorId="5DC06799">
            <wp:extent cx="3413760" cy="73152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13760" cy="7315200"/>
                    </a:xfrm>
                    <a:prstGeom prst="rect">
                      <a:avLst/>
                    </a:prstGeom>
                    <a:noFill/>
                  </pic:spPr>
                </pic:pic>
              </a:graphicData>
            </a:graphic>
          </wp:inline>
        </w:drawing>
      </w:r>
    </w:p>
    <w:p w:rsidR="006B512D" w:rsidRPr="00DE3248" w:rsidRDefault="006B512D" w:rsidP="003A020D">
      <w:pPr>
        <w:pStyle w:val="Caption"/>
        <w:spacing w:line="480" w:lineRule="auto"/>
        <w:jc w:val="both"/>
        <w:rPr>
          <w:rFonts w:cs="Times New Roman"/>
          <w:b/>
          <w:i w:val="0"/>
          <w:color w:val="000000" w:themeColor="text1"/>
          <w:szCs w:val="24"/>
        </w:rPr>
      </w:pPr>
      <w:r w:rsidRPr="00DE3248">
        <w:rPr>
          <w:b/>
          <w:i w:val="0"/>
          <w:color w:val="000000" w:themeColor="text1"/>
        </w:rPr>
        <w:t>Figure S</w:t>
      </w:r>
      <w:r w:rsidRPr="00DE3248">
        <w:rPr>
          <w:b/>
          <w:i w:val="0"/>
          <w:color w:val="000000" w:themeColor="text1"/>
          <w:vertAlign w:val="subscript"/>
        </w:rPr>
        <w:t>3</w:t>
      </w:r>
      <w:r w:rsidRPr="00DE3248">
        <w:rPr>
          <w:b/>
          <w:i w:val="0"/>
          <w:color w:val="000000" w:themeColor="text1"/>
        </w:rPr>
        <w:t>-</w:t>
      </w:r>
      <w:r w:rsidRPr="00DE3248">
        <w:rPr>
          <w:b/>
          <w:i w:val="0"/>
          <w:color w:val="000000" w:themeColor="text1"/>
        </w:rPr>
        <w:fldChar w:fldCharType="begin"/>
      </w:r>
      <w:r w:rsidRPr="00DE3248">
        <w:rPr>
          <w:b/>
          <w:i w:val="0"/>
          <w:color w:val="000000" w:themeColor="text1"/>
        </w:rPr>
        <w:instrText xml:space="preserve"> SEQ Figure_S3 \* ARABIC </w:instrText>
      </w:r>
      <w:r w:rsidRPr="00DE3248">
        <w:rPr>
          <w:b/>
          <w:i w:val="0"/>
          <w:color w:val="000000" w:themeColor="text1"/>
        </w:rPr>
        <w:fldChar w:fldCharType="separate"/>
      </w:r>
      <w:r w:rsidRPr="00DE3248">
        <w:rPr>
          <w:b/>
          <w:i w:val="0"/>
          <w:noProof/>
          <w:color w:val="000000" w:themeColor="text1"/>
        </w:rPr>
        <w:t>2</w:t>
      </w:r>
      <w:r w:rsidRPr="00DE3248">
        <w:rPr>
          <w:b/>
          <w:i w:val="0"/>
          <w:color w:val="000000" w:themeColor="text1"/>
        </w:rPr>
        <w:fldChar w:fldCharType="end"/>
      </w:r>
      <w:r w:rsidRPr="00DE3248">
        <w:rPr>
          <w:b/>
          <w:i w:val="0"/>
          <w:color w:val="000000" w:themeColor="text1"/>
        </w:rPr>
        <w:t>.</w:t>
      </w:r>
      <w:r w:rsidR="003A020D" w:rsidRPr="00DE3248">
        <w:rPr>
          <w:b/>
          <w:i w:val="0"/>
          <w:color w:val="000000" w:themeColor="text1"/>
        </w:rPr>
        <w:t xml:space="preserve"> </w:t>
      </w:r>
      <w:r w:rsidR="003A020D" w:rsidRPr="00DE3248">
        <w:rPr>
          <w:i w:val="0"/>
          <w:color w:val="000000" w:themeColor="text1"/>
        </w:rPr>
        <w:t>Predicted morphology and SEM images of IBU prepared by cooling crystallisation from (a) and (b) Ethanol/Water, (c) and (d) Hexane, respectively, and the surface chemistry of the first layer of morphologically important crystal facets with Miller indices (e) (111) and (f) (11-1)</w:t>
      </w:r>
    </w:p>
    <w:p w:rsidR="00FB48AA" w:rsidRPr="00DE3248" w:rsidRDefault="00FB48AA" w:rsidP="00FB48AA">
      <w:pPr>
        <w:spacing w:before="120" w:after="120" w:line="480" w:lineRule="auto"/>
        <w:jc w:val="both"/>
        <w:rPr>
          <w:rFonts w:cs="Times New Roman"/>
          <w:color w:val="000000" w:themeColor="text1"/>
          <w:szCs w:val="24"/>
        </w:rPr>
      </w:pPr>
      <w:r w:rsidRPr="00DE3248">
        <w:rPr>
          <w:rFonts w:cs="Times New Roman"/>
          <w:color w:val="000000" w:themeColor="text1"/>
          <w:szCs w:val="24"/>
        </w:rPr>
        <w:lastRenderedPageBreak/>
        <w:t xml:space="preserve">IBU batches generated from ethanol-water also showed a second most abundant crystal facet with a Miller index (111) which was </w:t>
      </w:r>
      <w:r w:rsidRPr="00DE3248">
        <w:rPr>
          <w:rFonts w:cs="Times New Roman"/>
          <w:i/>
          <w:color w:val="000000" w:themeColor="text1"/>
          <w:szCs w:val="24"/>
        </w:rPr>
        <w:t>ca.</w:t>
      </w:r>
      <w:r w:rsidRPr="00DE3248">
        <w:rPr>
          <w:rFonts w:cs="Times New Roman"/>
          <w:color w:val="000000" w:themeColor="text1"/>
          <w:szCs w:val="24"/>
        </w:rPr>
        <w:t xml:space="preserve"> 33 % of the total facets area. The surface of both (111) and (11-1) Miller indices consist of both polar and non-polar functional groups and moieties. The polar components of the surface chemistry of both crystal facets with (111) and (11-1) Miller indices were contributed by the carboxylic group of IBU (both carbonyl and hydroxyl group), indicating that the disparity in surface chemistry is insignificant between IBU batches with needle (IBU crystallised from hexane) and polyhedral crystal morphology (IBU crystallised from ethanol-water) (</w:t>
      </w:r>
      <w:r w:rsidR="003A020D" w:rsidRPr="00DE3248">
        <w:rPr>
          <w:rFonts w:cs="Times New Roman"/>
          <w:color w:val="000000" w:themeColor="text1"/>
          <w:szCs w:val="24"/>
        </w:rPr>
        <w:t>supplementary data fig. S</w:t>
      </w:r>
      <w:r w:rsidR="003A020D" w:rsidRPr="00DE3248">
        <w:rPr>
          <w:rFonts w:cs="Times New Roman"/>
          <w:color w:val="000000" w:themeColor="text1"/>
          <w:szCs w:val="24"/>
          <w:vertAlign w:val="subscript"/>
        </w:rPr>
        <w:t>3</w:t>
      </w:r>
      <w:r w:rsidR="003A020D" w:rsidRPr="00DE3248">
        <w:rPr>
          <w:rFonts w:cs="Times New Roman"/>
          <w:color w:val="000000" w:themeColor="text1"/>
          <w:szCs w:val="24"/>
        </w:rPr>
        <w:t>-2e and f</w:t>
      </w:r>
      <w:r w:rsidRPr="00DE3248">
        <w:rPr>
          <w:rFonts w:cs="Times New Roman"/>
          <w:color w:val="000000" w:themeColor="text1"/>
          <w:szCs w:val="24"/>
        </w:rPr>
        <w:t>). The iGC and sessile drop analysis for selected batches of IBU confirmed very small differences in the dispersive surface energies depending on the crystal morphology (</w:t>
      </w:r>
      <w:r w:rsidR="003A020D" w:rsidRPr="00DE3248">
        <w:rPr>
          <w:rFonts w:cs="Times New Roman"/>
          <w:color w:val="000000" w:themeColor="text1"/>
          <w:szCs w:val="24"/>
        </w:rPr>
        <w:t>supplementary data table S</w:t>
      </w:r>
      <w:r w:rsidR="003A020D" w:rsidRPr="00DE3248">
        <w:rPr>
          <w:rFonts w:cs="Times New Roman"/>
          <w:color w:val="000000" w:themeColor="text1"/>
          <w:szCs w:val="24"/>
          <w:vertAlign w:val="subscript"/>
        </w:rPr>
        <w:t>3</w:t>
      </w:r>
      <w:r w:rsidR="003A020D" w:rsidRPr="00DE3248">
        <w:rPr>
          <w:rFonts w:cs="Times New Roman"/>
          <w:color w:val="000000" w:themeColor="text1"/>
          <w:szCs w:val="24"/>
        </w:rPr>
        <w:t>-3.</w:t>
      </w:r>
      <w:r w:rsidRPr="00DE3248">
        <w:rPr>
          <w:rFonts w:cs="Times New Roman"/>
          <w:color w:val="000000" w:themeColor="text1"/>
          <w:szCs w:val="24"/>
        </w:rPr>
        <w:t xml:space="preserve">). Thus, the insignificant difference in the surface energy and surface chemistry of IBU batches confirm that the CMPs of these batches </w:t>
      </w:r>
      <w:r w:rsidRPr="00DE3248">
        <w:rPr>
          <w:rFonts w:cs="Times New Roman"/>
          <w:noProof/>
          <w:color w:val="000000" w:themeColor="text1"/>
          <w:szCs w:val="24"/>
        </w:rPr>
        <w:t>are</w:t>
      </w:r>
      <w:r w:rsidRPr="00DE3248">
        <w:rPr>
          <w:rFonts w:cs="Times New Roman"/>
          <w:color w:val="000000" w:themeColor="text1"/>
          <w:szCs w:val="24"/>
        </w:rPr>
        <w:t xml:space="preserve"> more likely to be related to particle physical properties, such as particle size distribution, rather than surface properties.  </w:t>
      </w:r>
    </w:p>
    <w:p w:rsidR="000340E3" w:rsidRPr="00DE3248" w:rsidRDefault="000340E3" w:rsidP="000C255C">
      <w:pPr>
        <w:pStyle w:val="Caption"/>
        <w:keepNext/>
        <w:spacing w:before="240" w:after="120" w:line="480" w:lineRule="auto"/>
        <w:rPr>
          <w:i w:val="0"/>
          <w:color w:val="auto"/>
        </w:rPr>
      </w:pPr>
      <w:r w:rsidRPr="00DE3248">
        <w:rPr>
          <w:b/>
          <w:i w:val="0"/>
          <w:color w:val="auto"/>
        </w:rPr>
        <w:t>Table S</w:t>
      </w:r>
      <w:r w:rsidRPr="00DE3248">
        <w:rPr>
          <w:b/>
          <w:i w:val="0"/>
          <w:color w:val="auto"/>
          <w:vertAlign w:val="subscript"/>
        </w:rPr>
        <w:t>3</w:t>
      </w:r>
      <w:r w:rsidRPr="00DE3248">
        <w:rPr>
          <w:b/>
          <w:i w:val="0"/>
          <w:color w:val="auto"/>
        </w:rPr>
        <w:t>-</w:t>
      </w:r>
      <w:r w:rsidR="006B512D" w:rsidRPr="00DE3248">
        <w:rPr>
          <w:b/>
          <w:i w:val="0"/>
          <w:color w:val="auto"/>
        </w:rPr>
        <w:fldChar w:fldCharType="begin"/>
      </w:r>
      <w:r w:rsidR="006B512D" w:rsidRPr="00DE3248">
        <w:rPr>
          <w:b/>
          <w:i w:val="0"/>
          <w:color w:val="auto"/>
        </w:rPr>
        <w:instrText xml:space="preserve"> SEQ Table_S3 \* ARABIC </w:instrText>
      </w:r>
      <w:r w:rsidR="006B512D" w:rsidRPr="00DE3248">
        <w:rPr>
          <w:b/>
          <w:i w:val="0"/>
          <w:color w:val="auto"/>
        </w:rPr>
        <w:fldChar w:fldCharType="separate"/>
      </w:r>
      <w:r w:rsidR="006B512D" w:rsidRPr="00DE3248">
        <w:rPr>
          <w:b/>
          <w:i w:val="0"/>
          <w:noProof/>
          <w:color w:val="auto"/>
        </w:rPr>
        <w:t>2</w:t>
      </w:r>
      <w:r w:rsidR="006B512D" w:rsidRPr="00DE3248">
        <w:rPr>
          <w:b/>
          <w:i w:val="0"/>
          <w:color w:val="auto"/>
        </w:rPr>
        <w:fldChar w:fldCharType="end"/>
      </w:r>
      <w:r w:rsidRPr="00DE3248">
        <w:rPr>
          <w:b/>
          <w:i w:val="0"/>
          <w:color w:val="auto"/>
        </w:rPr>
        <w:t xml:space="preserve">. </w:t>
      </w:r>
      <w:r w:rsidR="00C25D07" w:rsidRPr="00DE3248">
        <w:rPr>
          <w:i w:val="0"/>
          <w:color w:val="auto"/>
        </w:rPr>
        <w:t>The crystal facet area and modified attachment energies (E</w:t>
      </w:r>
      <w:r w:rsidR="00C25D07" w:rsidRPr="00DE3248">
        <w:rPr>
          <w:i w:val="0"/>
          <w:color w:val="auto"/>
          <w:vertAlign w:val="subscript"/>
        </w:rPr>
        <w:t>att</w:t>
      </w:r>
      <w:r w:rsidR="00C25D07" w:rsidRPr="00DE3248">
        <w:rPr>
          <w:i w:val="0"/>
          <w:color w:val="auto"/>
        </w:rPr>
        <w:t>) predicted by Materials Studio software program for IBU prepared by cooling crystallisation from saturated solution of IBU in Ethanol/Water (p2) and Hexane (n1)</w:t>
      </w:r>
    </w:p>
    <w:tbl>
      <w:tblPr>
        <w:tblStyle w:val="TableGrid"/>
        <w:tblW w:w="5000" w:type="pct"/>
        <w:tblLook w:val="04A0" w:firstRow="1" w:lastRow="0" w:firstColumn="1" w:lastColumn="0" w:noHBand="0" w:noVBand="1"/>
      </w:tblPr>
      <w:tblGrid>
        <w:gridCol w:w="1139"/>
        <w:gridCol w:w="2683"/>
        <w:gridCol w:w="2033"/>
        <w:gridCol w:w="1464"/>
        <w:gridCol w:w="2031"/>
      </w:tblGrid>
      <w:tr w:rsidR="00C25D07" w:rsidRPr="00DE3248" w:rsidTr="00AF10B6">
        <w:trPr>
          <w:trHeight w:val="205"/>
        </w:trPr>
        <w:tc>
          <w:tcPr>
            <w:tcW w:w="609" w:type="pct"/>
            <w:vMerge w:val="restart"/>
            <w:hideMark/>
          </w:tcPr>
          <w:p w:rsidR="00C25D07" w:rsidRPr="00DE3248" w:rsidRDefault="00C25D07" w:rsidP="00AF10B6">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hkl</w:t>
            </w:r>
          </w:p>
        </w:tc>
        <w:tc>
          <w:tcPr>
            <w:tcW w:w="2522" w:type="pct"/>
            <w:gridSpan w:val="2"/>
            <w:hideMark/>
          </w:tcPr>
          <w:p w:rsidR="00C25D07" w:rsidRPr="00DE3248" w:rsidRDefault="00C25D07" w:rsidP="00AF10B6">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Ethanol-Water (p2)</w:t>
            </w:r>
          </w:p>
        </w:tc>
        <w:tc>
          <w:tcPr>
            <w:tcW w:w="1869" w:type="pct"/>
            <w:gridSpan w:val="2"/>
            <w:hideMark/>
          </w:tcPr>
          <w:p w:rsidR="00C25D07" w:rsidRPr="00DE3248" w:rsidRDefault="00C25D07" w:rsidP="00AF10B6">
            <w:pPr>
              <w:spacing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Hexane (n1)</w:t>
            </w:r>
          </w:p>
        </w:tc>
      </w:tr>
      <w:tr w:rsidR="00C25D07" w:rsidRPr="00DE3248" w:rsidTr="00AF10B6">
        <w:trPr>
          <w:trHeight w:val="422"/>
        </w:trPr>
        <w:tc>
          <w:tcPr>
            <w:tcW w:w="609" w:type="pct"/>
            <w:vMerge/>
            <w:hideMark/>
          </w:tcPr>
          <w:p w:rsidR="00C25D07" w:rsidRPr="00DE3248" w:rsidRDefault="00C25D07" w:rsidP="00AF10B6">
            <w:pPr>
              <w:spacing w:line="480" w:lineRule="auto"/>
              <w:rPr>
                <w:rFonts w:eastAsia="Times New Roman" w:cs="Times New Roman"/>
                <w:b/>
                <w:bCs/>
                <w:color w:val="000000"/>
                <w:sz w:val="18"/>
                <w:szCs w:val="18"/>
                <w:lang w:val="en-US"/>
              </w:rPr>
            </w:pPr>
          </w:p>
        </w:tc>
        <w:tc>
          <w:tcPr>
            <w:tcW w:w="1435" w:type="pct"/>
            <w:hideMark/>
          </w:tcPr>
          <w:p w:rsidR="00C25D07" w:rsidRPr="00DE3248" w:rsidRDefault="00C25D07" w:rsidP="00AF10B6">
            <w:pPr>
              <w:spacing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E</w:t>
            </w:r>
            <w:r w:rsidRPr="00DE3248">
              <w:rPr>
                <w:rFonts w:eastAsia="Times New Roman" w:cs="Times New Roman"/>
                <w:b/>
                <w:color w:val="000000"/>
                <w:sz w:val="18"/>
                <w:szCs w:val="18"/>
                <w:vertAlign w:val="subscript"/>
                <w:lang w:val="en-US"/>
              </w:rPr>
              <w:t xml:space="preserve">att </w:t>
            </w:r>
            <w:r w:rsidRPr="00DE3248">
              <w:rPr>
                <w:rFonts w:eastAsia="Times New Roman" w:cs="Times New Roman"/>
                <w:b/>
                <w:color w:val="000000"/>
                <w:sz w:val="18"/>
                <w:szCs w:val="18"/>
                <w:lang w:val="en-US"/>
              </w:rPr>
              <w:t>(Total) (kcal/mol)</w:t>
            </w:r>
          </w:p>
        </w:tc>
        <w:tc>
          <w:tcPr>
            <w:tcW w:w="1087" w:type="pct"/>
            <w:hideMark/>
          </w:tcPr>
          <w:p w:rsidR="00C25D07" w:rsidRPr="00DE3248" w:rsidRDefault="00C25D07" w:rsidP="00AF10B6">
            <w:pPr>
              <w:spacing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Facet area (%)</w:t>
            </w:r>
          </w:p>
        </w:tc>
        <w:tc>
          <w:tcPr>
            <w:tcW w:w="783" w:type="pct"/>
            <w:hideMark/>
          </w:tcPr>
          <w:p w:rsidR="00C25D07" w:rsidRPr="00DE3248" w:rsidRDefault="00C25D07" w:rsidP="00AF10B6">
            <w:pPr>
              <w:spacing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E</w:t>
            </w:r>
            <w:r w:rsidRPr="00DE3248">
              <w:rPr>
                <w:rFonts w:eastAsia="Times New Roman" w:cs="Times New Roman"/>
                <w:b/>
                <w:color w:val="000000"/>
                <w:sz w:val="18"/>
                <w:szCs w:val="18"/>
                <w:vertAlign w:val="subscript"/>
                <w:lang w:val="en-US"/>
              </w:rPr>
              <w:t xml:space="preserve">att </w:t>
            </w:r>
            <w:r w:rsidRPr="00DE3248">
              <w:rPr>
                <w:rFonts w:eastAsia="Times New Roman" w:cs="Times New Roman"/>
                <w:b/>
                <w:color w:val="000000"/>
                <w:sz w:val="18"/>
                <w:szCs w:val="18"/>
                <w:lang w:val="en-US"/>
              </w:rPr>
              <w:t>(Total)</w:t>
            </w:r>
          </w:p>
          <w:p w:rsidR="00C25D07" w:rsidRPr="00DE3248" w:rsidRDefault="00C25D07" w:rsidP="00AF10B6">
            <w:pPr>
              <w:spacing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(kcal/mol)</w:t>
            </w:r>
          </w:p>
        </w:tc>
        <w:tc>
          <w:tcPr>
            <w:tcW w:w="1086" w:type="pct"/>
            <w:hideMark/>
          </w:tcPr>
          <w:p w:rsidR="00C25D07" w:rsidRPr="00DE3248" w:rsidRDefault="00C25D07" w:rsidP="00AF10B6">
            <w:pPr>
              <w:spacing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Facet area (%)</w:t>
            </w:r>
          </w:p>
        </w:tc>
      </w:tr>
      <w:tr w:rsidR="00C25D07" w:rsidRPr="00DE3248" w:rsidTr="00AF10B6">
        <w:trPr>
          <w:trHeight w:val="233"/>
        </w:trPr>
        <w:tc>
          <w:tcPr>
            <w:tcW w:w="609"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 0 0}</w:t>
            </w:r>
          </w:p>
        </w:tc>
        <w:tc>
          <w:tcPr>
            <w:tcW w:w="1435"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-42.78</w:t>
            </w:r>
          </w:p>
        </w:tc>
        <w:tc>
          <w:tcPr>
            <w:tcW w:w="1087"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8.7933</w:t>
            </w:r>
          </w:p>
        </w:tc>
        <w:tc>
          <w:tcPr>
            <w:tcW w:w="783"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-173.93</w:t>
            </w:r>
          </w:p>
        </w:tc>
        <w:tc>
          <w:tcPr>
            <w:tcW w:w="1086"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7.983</w:t>
            </w:r>
          </w:p>
        </w:tc>
      </w:tr>
      <w:tr w:rsidR="00C25D07" w:rsidRPr="00DE3248" w:rsidTr="00AF10B6">
        <w:trPr>
          <w:trHeight w:val="152"/>
        </w:trPr>
        <w:tc>
          <w:tcPr>
            <w:tcW w:w="609"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 1 -1}</w:t>
            </w:r>
          </w:p>
        </w:tc>
        <w:tc>
          <w:tcPr>
            <w:tcW w:w="1435"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-27.48</w:t>
            </w:r>
          </w:p>
        </w:tc>
        <w:tc>
          <w:tcPr>
            <w:tcW w:w="1087"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54.411</w:t>
            </w:r>
          </w:p>
        </w:tc>
        <w:tc>
          <w:tcPr>
            <w:tcW w:w="783"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-69.58</w:t>
            </w:r>
          </w:p>
        </w:tc>
        <w:tc>
          <w:tcPr>
            <w:tcW w:w="1086"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76.141</w:t>
            </w:r>
          </w:p>
        </w:tc>
      </w:tr>
      <w:tr w:rsidR="00C25D07" w:rsidRPr="00DE3248" w:rsidTr="00AF10B6">
        <w:trPr>
          <w:trHeight w:val="107"/>
        </w:trPr>
        <w:tc>
          <w:tcPr>
            <w:tcW w:w="609"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 1 1}</w:t>
            </w:r>
          </w:p>
        </w:tc>
        <w:tc>
          <w:tcPr>
            <w:tcW w:w="1435"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-32.44</w:t>
            </w:r>
          </w:p>
        </w:tc>
        <w:tc>
          <w:tcPr>
            <w:tcW w:w="1087"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32.752</w:t>
            </w:r>
          </w:p>
        </w:tc>
        <w:tc>
          <w:tcPr>
            <w:tcW w:w="783"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-151.46</w:t>
            </w:r>
          </w:p>
        </w:tc>
        <w:tc>
          <w:tcPr>
            <w:tcW w:w="1086"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12.232</w:t>
            </w:r>
          </w:p>
        </w:tc>
      </w:tr>
      <w:tr w:rsidR="00C25D07" w:rsidRPr="00DE3248" w:rsidTr="00AF10B6">
        <w:trPr>
          <w:trHeight w:val="125"/>
        </w:trPr>
        <w:tc>
          <w:tcPr>
            <w:tcW w:w="609"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 0 2}</w:t>
            </w:r>
          </w:p>
        </w:tc>
        <w:tc>
          <w:tcPr>
            <w:tcW w:w="1435"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-41.22</w:t>
            </w:r>
          </w:p>
        </w:tc>
        <w:tc>
          <w:tcPr>
            <w:tcW w:w="1087"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4.03</w:t>
            </w:r>
          </w:p>
        </w:tc>
        <w:tc>
          <w:tcPr>
            <w:tcW w:w="783"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-159.9</w:t>
            </w:r>
          </w:p>
        </w:tc>
        <w:tc>
          <w:tcPr>
            <w:tcW w:w="1086" w:type="pct"/>
            <w:hideMark/>
          </w:tcPr>
          <w:p w:rsidR="00C25D07" w:rsidRPr="00DE3248" w:rsidRDefault="00C25D07" w:rsidP="00AF10B6">
            <w:pPr>
              <w:spacing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3.63</w:t>
            </w:r>
          </w:p>
        </w:tc>
      </w:tr>
    </w:tbl>
    <w:p w:rsidR="006B512D" w:rsidRPr="00DE3248" w:rsidRDefault="006B512D" w:rsidP="006B512D">
      <w:pPr>
        <w:pStyle w:val="Caption"/>
        <w:keepNext/>
        <w:spacing w:before="120" w:after="120" w:line="480" w:lineRule="auto"/>
      </w:pPr>
      <w:r w:rsidRPr="00DE3248">
        <w:rPr>
          <w:b/>
          <w:i w:val="0"/>
          <w:color w:val="000000" w:themeColor="text1"/>
        </w:rPr>
        <w:t>Table S</w:t>
      </w:r>
      <w:r w:rsidRPr="00DE3248">
        <w:rPr>
          <w:b/>
          <w:i w:val="0"/>
          <w:color w:val="000000" w:themeColor="text1"/>
          <w:vertAlign w:val="subscript"/>
        </w:rPr>
        <w:t>3</w:t>
      </w:r>
      <w:r w:rsidRPr="00DE3248">
        <w:rPr>
          <w:b/>
          <w:i w:val="0"/>
          <w:color w:val="000000" w:themeColor="text1"/>
        </w:rPr>
        <w:t>-</w:t>
      </w:r>
      <w:r w:rsidRPr="00DE3248">
        <w:rPr>
          <w:b/>
          <w:i w:val="0"/>
          <w:color w:val="000000" w:themeColor="text1"/>
        </w:rPr>
        <w:fldChar w:fldCharType="begin"/>
      </w:r>
      <w:r w:rsidRPr="00DE3248">
        <w:rPr>
          <w:b/>
          <w:i w:val="0"/>
          <w:color w:val="000000" w:themeColor="text1"/>
        </w:rPr>
        <w:instrText xml:space="preserve"> SEQ Table_S3 \* ARABIC </w:instrText>
      </w:r>
      <w:r w:rsidRPr="00DE3248">
        <w:rPr>
          <w:b/>
          <w:i w:val="0"/>
          <w:color w:val="000000" w:themeColor="text1"/>
        </w:rPr>
        <w:fldChar w:fldCharType="separate"/>
      </w:r>
      <w:r w:rsidRPr="00DE3248">
        <w:rPr>
          <w:b/>
          <w:i w:val="0"/>
          <w:noProof/>
          <w:color w:val="000000" w:themeColor="text1"/>
        </w:rPr>
        <w:t>3</w:t>
      </w:r>
      <w:r w:rsidRPr="00DE3248">
        <w:rPr>
          <w:b/>
          <w:i w:val="0"/>
          <w:color w:val="000000" w:themeColor="text1"/>
        </w:rPr>
        <w:fldChar w:fldCharType="end"/>
      </w:r>
      <w:r w:rsidRPr="00DE3248">
        <w:rPr>
          <w:b/>
          <w:i w:val="0"/>
          <w:color w:val="000000" w:themeColor="text1"/>
        </w:rPr>
        <w:t>.</w:t>
      </w:r>
      <w:r w:rsidRPr="00DE3248">
        <w:rPr>
          <w:i w:val="0"/>
          <w:color w:val="000000" w:themeColor="text1"/>
        </w:rPr>
        <w:t xml:space="preserve"> </w:t>
      </w:r>
      <w:r w:rsidRPr="00DE3248">
        <w:rPr>
          <w:i w:val="0"/>
          <w:color w:val="000000" w:themeColor="text1"/>
          <w:sz w:val="20"/>
          <w:szCs w:val="20"/>
        </w:rPr>
        <w:t>The dispersive surface energy determined by iGC and sessile drop analysis for selected batches of IBU with different morphologies and particle size</w:t>
      </w:r>
    </w:p>
    <w:tbl>
      <w:tblPr>
        <w:tblStyle w:val="PlainTable2"/>
        <w:tblW w:w="5000" w:type="pct"/>
        <w:tblLook w:val="04A0" w:firstRow="1" w:lastRow="0" w:firstColumn="1" w:lastColumn="0" w:noHBand="0" w:noVBand="1"/>
      </w:tblPr>
      <w:tblGrid>
        <w:gridCol w:w="1938"/>
        <w:gridCol w:w="1488"/>
        <w:gridCol w:w="2533"/>
        <w:gridCol w:w="3401"/>
      </w:tblGrid>
      <w:tr w:rsidR="00FB48AA" w:rsidRPr="00DE3248" w:rsidTr="006B512D">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035" w:type="pct"/>
            <w:vMerge w:val="restart"/>
            <w:tcBorders>
              <w:top w:val="single" w:sz="4" w:space="0" w:color="auto"/>
              <w:bottom w:val="nil"/>
            </w:tcBorders>
            <w:noWrap/>
            <w:hideMark/>
          </w:tcPr>
          <w:p w:rsidR="00FB48AA" w:rsidRPr="00DE3248" w:rsidRDefault="00FB48AA" w:rsidP="008162A4">
            <w:pPr>
              <w:spacing w:line="360" w:lineRule="auto"/>
              <w:rPr>
                <w:rFonts w:eastAsia="Times New Roman" w:cs="Times New Roman"/>
                <w:b w:val="0"/>
                <w:bCs w:val="0"/>
                <w:color w:val="000000" w:themeColor="text1"/>
                <w:sz w:val="20"/>
                <w:szCs w:val="20"/>
                <w:lang w:val="en-US"/>
              </w:rPr>
            </w:pPr>
            <w:r w:rsidRPr="00DE3248">
              <w:rPr>
                <w:rFonts w:eastAsia="Times New Roman" w:cs="Times New Roman"/>
                <w:b w:val="0"/>
                <w:bCs w:val="0"/>
                <w:color w:val="000000" w:themeColor="text1"/>
                <w:sz w:val="20"/>
                <w:szCs w:val="20"/>
                <w:lang w:val="en-US"/>
              </w:rPr>
              <w:t>Solvent (v/v)</w:t>
            </w:r>
          </w:p>
        </w:tc>
        <w:tc>
          <w:tcPr>
            <w:tcW w:w="795" w:type="pct"/>
            <w:vMerge w:val="restart"/>
            <w:tcBorders>
              <w:top w:val="single" w:sz="4" w:space="0" w:color="auto"/>
              <w:bottom w:val="nil"/>
            </w:tcBorders>
            <w:noWrap/>
            <w:hideMark/>
          </w:tcPr>
          <w:p w:rsidR="00FB48AA" w:rsidRPr="00DE3248" w:rsidRDefault="00FB48AA" w:rsidP="008162A4">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themeColor="text1"/>
                <w:sz w:val="20"/>
                <w:szCs w:val="20"/>
                <w:lang w:val="en-US"/>
              </w:rPr>
            </w:pPr>
            <w:r w:rsidRPr="00DE3248">
              <w:rPr>
                <w:rFonts w:eastAsia="Times New Roman" w:cs="Times New Roman"/>
                <w:b w:val="0"/>
                <w:bCs w:val="0"/>
                <w:color w:val="000000" w:themeColor="text1"/>
                <w:sz w:val="20"/>
                <w:szCs w:val="20"/>
                <w:lang w:val="en-US"/>
              </w:rPr>
              <w:t>Morphology</w:t>
            </w:r>
          </w:p>
        </w:tc>
        <w:tc>
          <w:tcPr>
            <w:tcW w:w="3170" w:type="pct"/>
            <w:gridSpan w:val="2"/>
            <w:tcBorders>
              <w:top w:val="single" w:sz="4" w:space="0" w:color="auto"/>
              <w:bottom w:val="single" w:sz="4" w:space="0" w:color="auto"/>
            </w:tcBorders>
          </w:tcPr>
          <w:p w:rsidR="00FB48AA" w:rsidRPr="00DE3248" w:rsidRDefault="00FB48AA" w:rsidP="008162A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themeColor="text1"/>
                <w:sz w:val="20"/>
                <w:szCs w:val="20"/>
                <w:lang w:val="en-US"/>
              </w:rPr>
            </w:pPr>
            <w:r w:rsidRPr="00DE3248">
              <w:rPr>
                <w:rFonts w:eastAsia="Times New Roman" w:cs="Times New Roman"/>
                <w:b w:val="0"/>
                <w:bCs w:val="0"/>
                <w:color w:val="000000" w:themeColor="text1"/>
                <w:sz w:val="20"/>
                <w:szCs w:val="20"/>
                <w:lang w:val="en-US"/>
              </w:rPr>
              <w:t>Dispersive Surface Energy (mJ/m</w:t>
            </w:r>
            <w:r w:rsidRPr="00DE3248">
              <w:rPr>
                <w:rFonts w:eastAsia="Times New Roman" w:cs="Times New Roman"/>
                <w:b w:val="0"/>
                <w:bCs w:val="0"/>
                <w:color w:val="000000" w:themeColor="text1"/>
                <w:sz w:val="20"/>
                <w:szCs w:val="20"/>
                <w:vertAlign w:val="superscript"/>
                <w:lang w:val="en-US"/>
              </w:rPr>
              <w:t>2</w:t>
            </w:r>
            <w:r w:rsidRPr="00DE3248">
              <w:rPr>
                <w:rFonts w:eastAsia="Times New Roman" w:cs="Times New Roman"/>
                <w:b w:val="0"/>
                <w:bCs w:val="0"/>
                <w:color w:val="000000" w:themeColor="text1"/>
                <w:sz w:val="20"/>
                <w:szCs w:val="20"/>
                <w:lang w:val="en-US"/>
              </w:rPr>
              <w:t>)</w:t>
            </w:r>
          </w:p>
        </w:tc>
      </w:tr>
      <w:tr w:rsidR="00FB48AA" w:rsidRPr="00DE3248" w:rsidTr="006B512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35" w:type="pct"/>
            <w:vMerge/>
            <w:tcBorders>
              <w:top w:val="nil"/>
              <w:bottom w:val="single" w:sz="4" w:space="0" w:color="auto"/>
            </w:tcBorders>
            <w:hideMark/>
          </w:tcPr>
          <w:p w:rsidR="00FB48AA" w:rsidRPr="00DE3248" w:rsidRDefault="00FB48AA" w:rsidP="008162A4">
            <w:pPr>
              <w:spacing w:line="360" w:lineRule="auto"/>
              <w:rPr>
                <w:rFonts w:eastAsia="Times New Roman" w:cs="Times New Roman"/>
                <w:b w:val="0"/>
                <w:bCs w:val="0"/>
                <w:color w:val="000000" w:themeColor="text1"/>
                <w:sz w:val="20"/>
                <w:szCs w:val="20"/>
                <w:lang w:val="en-US"/>
              </w:rPr>
            </w:pPr>
          </w:p>
        </w:tc>
        <w:tc>
          <w:tcPr>
            <w:tcW w:w="795" w:type="pct"/>
            <w:vMerge/>
            <w:tcBorders>
              <w:top w:val="nil"/>
              <w:bottom w:val="single" w:sz="4" w:space="0" w:color="auto"/>
            </w:tcBorders>
            <w:hideMark/>
          </w:tcPr>
          <w:p w:rsidR="00FB48AA" w:rsidRPr="00DE3248" w:rsidRDefault="00FB48AA" w:rsidP="008162A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20"/>
                <w:szCs w:val="20"/>
                <w:lang w:val="en-US"/>
              </w:rPr>
            </w:pPr>
          </w:p>
        </w:tc>
        <w:tc>
          <w:tcPr>
            <w:tcW w:w="1353" w:type="pct"/>
            <w:tcBorders>
              <w:top w:val="single" w:sz="4" w:space="0" w:color="auto"/>
              <w:bottom w:val="single" w:sz="4" w:space="0" w:color="auto"/>
            </w:tcBorders>
          </w:tcPr>
          <w:p w:rsidR="00FB48AA" w:rsidRPr="00DE3248" w:rsidRDefault="00FB48AA" w:rsidP="008162A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20"/>
                <w:szCs w:val="20"/>
                <w:lang w:val="en-US"/>
              </w:rPr>
            </w:pPr>
            <w:r w:rsidRPr="00DE3248">
              <w:rPr>
                <w:rFonts w:eastAsia="Times New Roman" w:cs="Times New Roman"/>
                <w:bCs/>
                <w:color w:val="000000" w:themeColor="text1"/>
                <w:sz w:val="20"/>
                <w:szCs w:val="20"/>
                <w:lang w:val="en-US"/>
              </w:rPr>
              <w:t>Sessile Drop analysis</w:t>
            </w:r>
          </w:p>
        </w:tc>
        <w:tc>
          <w:tcPr>
            <w:tcW w:w="1817" w:type="pct"/>
            <w:tcBorders>
              <w:top w:val="single" w:sz="4" w:space="0" w:color="auto"/>
              <w:bottom w:val="single" w:sz="4" w:space="0" w:color="auto"/>
            </w:tcBorders>
            <w:noWrap/>
            <w:hideMark/>
          </w:tcPr>
          <w:p w:rsidR="00FB48AA" w:rsidRPr="00DE3248" w:rsidRDefault="00FB48AA" w:rsidP="008162A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20"/>
                <w:szCs w:val="20"/>
                <w:lang w:val="en-US"/>
              </w:rPr>
            </w:pPr>
            <w:r w:rsidRPr="00DE3248">
              <w:rPr>
                <w:rFonts w:eastAsia="Times New Roman" w:cs="Times New Roman"/>
                <w:bCs/>
                <w:color w:val="000000" w:themeColor="text1"/>
                <w:sz w:val="20"/>
                <w:szCs w:val="20"/>
                <w:lang w:val="en-US"/>
              </w:rPr>
              <w:t>iGC</w:t>
            </w:r>
          </w:p>
        </w:tc>
      </w:tr>
      <w:tr w:rsidR="00FB48AA" w:rsidRPr="00DE3248" w:rsidTr="006B512D">
        <w:trPr>
          <w:trHeight w:val="161"/>
        </w:trPr>
        <w:tc>
          <w:tcPr>
            <w:cnfStyle w:val="001000000000" w:firstRow="0" w:lastRow="0" w:firstColumn="1" w:lastColumn="0" w:oddVBand="0" w:evenVBand="0" w:oddHBand="0" w:evenHBand="0" w:firstRowFirstColumn="0" w:firstRowLastColumn="0" w:lastRowFirstColumn="0" w:lastRowLastColumn="0"/>
            <w:tcW w:w="1035" w:type="pct"/>
            <w:tcBorders>
              <w:top w:val="single" w:sz="4" w:space="0" w:color="auto"/>
              <w:bottom w:val="nil"/>
            </w:tcBorders>
            <w:noWrap/>
            <w:hideMark/>
          </w:tcPr>
          <w:p w:rsidR="00FB48AA" w:rsidRPr="00DE3248" w:rsidRDefault="00FB48AA" w:rsidP="008162A4">
            <w:pPr>
              <w:spacing w:line="360" w:lineRule="auto"/>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Hexane-water (9:1)</w:t>
            </w:r>
          </w:p>
        </w:tc>
        <w:tc>
          <w:tcPr>
            <w:tcW w:w="795" w:type="pct"/>
            <w:tcBorders>
              <w:top w:val="single" w:sz="4" w:space="0" w:color="auto"/>
              <w:bottom w:val="nil"/>
            </w:tcBorders>
            <w:noWrap/>
            <w:hideMark/>
          </w:tcPr>
          <w:p w:rsidR="00FB48AA" w:rsidRPr="00DE3248" w:rsidRDefault="00FB48AA" w:rsidP="008162A4">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Needle</w:t>
            </w:r>
          </w:p>
        </w:tc>
        <w:tc>
          <w:tcPr>
            <w:tcW w:w="1353" w:type="pct"/>
            <w:tcBorders>
              <w:top w:val="single" w:sz="4" w:space="0" w:color="auto"/>
              <w:bottom w:val="nil"/>
            </w:tcBorders>
          </w:tcPr>
          <w:p w:rsidR="00FB48AA" w:rsidRPr="00DE3248" w:rsidRDefault="00FB48AA" w:rsidP="008162A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47.40 ± 0.20</w:t>
            </w:r>
          </w:p>
        </w:tc>
        <w:tc>
          <w:tcPr>
            <w:tcW w:w="1817" w:type="pct"/>
            <w:tcBorders>
              <w:top w:val="single" w:sz="4" w:space="0" w:color="auto"/>
              <w:bottom w:val="nil"/>
            </w:tcBorders>
            <w:noWrap/>
            <w:hideMark/>
          </w:tcPr>
          <w:p w:rsidR="00FB48AA" w:rsidRPr="00DE3248" w:rsidRDefault="00FB48AA" w:rsidP="008162A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34.58 ± 0.10</w:t>
            </w:r>
          </w:p>
        </w:tc>
      </w:tr>
      <w:tr w:rsidR="00FB48AA" w:rsidRPr="00DE3248" w:rsidTr="006B512D">
        <w:trPr>
          <w:cnfStyle w:val="000000100000" w:firstRow="0" w:lastRow="0" w:firstColumn="0" w:lastColumn="0" w:oddVBand="0" w:evenVBand="0" w:oddHBand="1" w:evenHBand="0" w:firstRowFirstColumn="0" w:firstRowLastColumn="0" w:lastRowFirstColumn="0" w:lastRowLastColumn="0"/>
          <w:trHeight w:val="125"/>
        </w:trPr>
        <w:tc>
          <w:tcPr>
            <w:cnfStyle w:val="001000000000" w:firstRow="0" w:lastRow="0" w:firstColumn="1" w:lastColumn="0" w:oddVBand="0" w:evenVBand="0" w:oddHBand="0" w:evenHBand="0" w:firstRowFirstColumn="0" w:firstRowLastColumn="0" w:lastRowFirstColumn="0" w:lastRowLastColumn="0"/>
            <w:tcW w:w="1035" w:type="pct"/>
            <w:tcBorders>
              <w:top w:val="nil"/>
              <w:bottom w:val="nil"/>
            </w:tcBorders>
            <w:noWrap/>
            <w:hideMark/>
          </w:tcPr>
          <w:p w:rsidR="00FB48AA" w:rsidRPr="00DE3248" w:rsidRDefault="00FB48AA" w:rsidP="008162A4">
            <w:pPr>
              <w:spacing w:line="360" w:lineRule="auto"/>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Ethanol-water (1:1)</w:t>
            </w:r>
          </w:p>
        </w:tc>
        <w:tc>
          <w:tcPr>
            <w:tcW w:w="795" w:type="pct"/>
            <w:tcBorders>
              <w:top w:val="nil"/>
              <w:bottom w:val="nil"/>
            </w:tcBorders>
            <w:noWrap/>
            <w:hideMark/>
          </w:tcPr>
          <w:p w:rsidR="00FB48AA" w:rsidRPr="00DE3248" w:rsidRDefault="00FB48AA" w:rsidP="008162A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Polyhedral</w:t>
            </w:r>
          </w:p>
        </w:tc>
        <w:tc>
          <w:tcPr>
            <w:tcW w:w="1353" w:type="pct"/>
            <w:tcBorders>
              <w:top w:val="nil"/>
              <w:bottom w:val="nil"/>
            </w:tcBorders>
          </w:tcPr>
          <w:p w:rsidR="00FB48AA" w:rsidRPr="00DE3248" w:rsidRDefault="00FB48AA" w:rsidP="008162A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47.05 ± 0.16</w:t>
            </w:r>
          </w:p>
        </w:tc>
        <w:tc>
          <w:tcPr>
            <w:tcW w:w="1817" w:type="pct"/>
            <w:tcBorders>
              <w:top w:val="nil"/>
              <w:bottom w:val="nil"/>
            </w:tcBorders>
            <w:noWrap/>
            <w:hideMark/>
          </w:tcPr>
          <w:p w:rsidR="00FB48AA" w:rsidRPr="00DE3248" w:rsidRDefault="00FB48AA" w:rsidP="008162A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36.21 ± 0.39</w:t>
            </w:r>
          </w:p>
        </w:tc>
      </w:tr>
      <w:tr w:rsidR="00FB48AA" w:rsidRPr="00DE3248" w:rsidTr="006B512D">
        <w:trPr>
          <w:trHeight w:val="179"/>
        </w:trPr>
        <w:tc>
          <w:tcPr>
            <w:cnfStyle w:val="001000000000" w:firstRow="0" w:lastRow="0" w:firstColumn="1" w:lastColumn="0" w:oddVBand="0" w:evenVBand="0" w:oddHBand="0" w:evenHBand="0" w:firstRowFirstColumn="0" w:firstRowLastColumn="0" w:lastRowFirstColumn="0" w:lastRowLastColumn="0"/>
            <w:tcW w:w="1035" w:type="pct"/>
            <w:tcBorders>
              <w:top w:val="nil"/>
              <w:bottom w:val="nil"/>
            </w:tcBorders>
            <w:noWrap/>
            <w:hideMark/>
          </w:tcPr>
          <w:p w:rsidR="00FB48AA" w:rsidRPr="00DE3248" w:rsidRDefault="00FB48AA" w:rsidP="008162A4">
            <w:pPr>
              <w:spacing w:line="360" w:lineRule="auto"/>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Hexane</w:t>
            </w:r>
          </w:p>
        </w:tc>
        <w:tc>
          <w:tcPr>
            <w:tcW w:w="795" w:type="pct"/>
            <w:tcBorders>
              <w:top w:val="nil"/>
              <w:bottom w:val="nil"/>
            </w:tcBorders>
            <w:noWrap/>
            <w:hideMark/>
          </w:tcPr>
          <w:p w:rsidR="00FB48AA" w:rsidRPr="00DE3248" w:rsidRDefault="00FB48AA" w:rsidP="008162A4">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Needle</w:t>
            </w:r>
          </w:p>
        </w:tc>
        <w:tc>
          <w:tcPr>
            <w:tcW w:w="1353" w:type="pct"/>
            <w:tcBorders>
              <w:top w:val="nil"/>
              <w:bottom w:val="nil"/>
            </w:tcBorders>
          </w:tcPr>
          <w:p w:rsidR="00FB48AA" w:rsidRPr="00DE3248" w:rsidRDefault="00FB48AA" w:rsidP="008162A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46.78 ± 0.20</w:t>
            </w:r>
          </w:p>
        </w:tc>
        <w:tc>
          <w:tcPr>
            <w:tcW w:w="1817" w:type="pct"/>
            <w:tcBorders>
              <w:top w:val="nil"/>
              <w:bottom w:val="nil"/>
            </w:tcBorders>
            <w:noWrap/>
            <w:hideMark/>
          </w:tcPr>
          <w:p w:rsidR="00FB48AA" w:rsidRPr="00DE3248" w:rsidRDefault="00FB48AA" w:rsidP="008162A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34.39 ± 0.18</w:t>
            </w:r>
          </w:p>
        </w:tc>
      </w:tr>
      <w:tr w:rsidR="00FB48AA" w:rsidRPr="00DE3248" w:rsidTr="006B512D">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1035" w:type="pct"/>
            <w:tcBorders>
              <w:top w:val="nil"/>
              <w:bottom w:val="single" w:sz="4" w:space="0" w:color="auto"/>
            </w:tcBorders>
            <w:noWrap/>
            <w:hideMark/>
          </w:tcPr>
          <w:p w:rsidR="00FB48AA" w:rsidRPr="00DE3248" w:rsidRDefault="00FB48AA" w:rsidP="008162A4">
            <w:pPr>
              <w:spacing w:line="360" w:lineRule="auto"/>
              <w:rPr>
                <w:rFonts w:eastAsia="Times New Roman" w:cs="Times New Roman"/>
                <w:b w:val="0"/>
                <w:color w:val="000000" w:themeColor="text1"/>
                <w:sz w:val="20"/>
                <w:szCs w:val="20"/>
                <w:lang w:val="en-US"/>
              </w:rPr>
            </w:pPr>
            <w:r w:rsidRPr="00DE3248">
              <w:rPr>
                <w:rFonts w:eastAsia="Times New Roman" w:cs="Times New Roman"/>
                <w:b w:val="0"/>
                <w:color w:val="000000" w:themeColor="text1"/>
                <w:sz w:val="20"/>
                <w:szCs w:val="20"/>
                <w:lang w:val="en-US"/>
              </w:rPr>
              <w:t>Ethanol-water (1.2:1)</w:t>
            </w:r>
          </w:p>
        </w:tc>
        <w:tc>
          <w:tcPr>
            <w:tcW w:w="795" w:type="pct"/>
            <w:tcBorders>
              <w:top w:val="nil"/>
              <w:bottom w:val="single" w:sz="4" w:space="0" w:color="auto"/>
            </w:tcBorders>
            <w:noWrap/>
            <w:hideMark/>
          </w:tcPr>
          <w:p w:rsidR="00FB48AA" w:rsidRPr="00DE3248" w:rsidRDefault="00FB48AA" w:rsidP="008162A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Polyhedral</w:t>
            </w:r>
          </w:p>
        </w:tc>
        <w:tc>
          <w:tcPr>
            <w:tcW w:w="1353" w:type="pct"/>
            <w:tcBorders>
              <w:top w:val="nil"/>
              <w:bottom w:val="single" w:sz="4" w:space="0" w:color="auto"/>
            </w:tcBorders>
          </w:tcPr>
          <w:p w:rsidR="00FB48AA" w:rsidRPr="00DE3248" w:rsidRDefault="00FB48AA" w:rsidP="008162A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46.54 ± 0.17</w:t>
            </w:r>
          </w:p>
        </w:tc>
        <w:tc>
          <w:tcPr>
            <w:tcW w:w="1817" w:type="pct"/>
            <w:tcBorders>
              <w:top w:val="nil"/>
              <w:bottom w:val="single" w:sz="4" w:space="0" w:color="auto"/>
            </w:tcBorders>
            <w:noWrap/>
            <w:hideMark/>
          </w:tcPr>
          <w:p w:rsidR="00FB48AA" w:rsidRPr="00DE3248" w:rsidRDefault="00FB48AA" w:rsidP="006B512D">
            <w:pPr>
              <w:keepNext/>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DE3248">
              <w:rPr>
                <w:rFonts w:eastAsia="Times New Roman" w:cs="Times New Roman"/>
                <w:color w:val="000000" w:themeColor="text1"/>
                <w:sz w:val="20"/>
                <w:szCs w:val="20"/>
                <w:lang w:val="en-US"/>
              </w:rPr>
              <w:t>36.58 ± 0.03</w:t>
            </w:r>
          </w:p>
        </w:tc>
      </w:tr>
    </w:tbl>
    <w:p w:rsidR="00FB48AA" w:rsidRPr="00DE3248" w:rsidRDefault="00FB48AA" w:rsidP="00FB48AA">
      <w:pPr>
        <w:spacing w:before="240" w:line="480" w:lineRule="auto"/>
        <w:jc w:val="both"/>
        <w:rPr>
          <w:rFonts w:cs="Times New Roman"/>
          <w:color w:val="000000" w:themeColor="text1"/>
          <w:sz w:val="20"/>
          <w:szCs w:val="20"/>
        </w:rPr>
      </w:pPr>
      <w:r w:rsidRPr="00DE3248">
        <w:rPr>
          <w:rFonts w:cs="Times New Roman"/>
          <w:color w:val="000000" w:themeColor="text1"/>
          <w:sz w:val="20"/>
          <w:szCs w:val="20"/>
        </w:rPr>
        <w:t xml:space="preserve">*literature values of dispersive surface energy of MCC is </w:t>
      </w:r>
      <w:r w:rsidRPr="00DE3248">
        <w:rPr>
          <w:rFonts w:eastAsia="Times New Roman" w:cs="Times New Roman"/>
          <w:color w:val="000000" w:themeColor="text1"/>
          <w:sz w:val="20"/>
          <w:szCs w:val="20"/>
          <w:lang w:val="en-US"/>
        </w:rPr>
        <w:t xml:space="preserve">47.7*  </w:t>
      </w:r>
      <w:r w:rsidRPr="00DE3248">
        <w:rPr>
          <w:rFonts w:eastAsia="Times New Roman" w:cs="Times New Roman"/>
          <w:color w:val="000000" w:themeColor="text1"/>
          <w:sz w:val="20"/>
          <w:szCs w:val="20"/>
          <w:lang w:val="en-US"/>
        </w:rPr>
        <w:fldChar w:fldCharType="begin"/>
      </w:r>
      <w:r w:rsidRPr="00DE3248">
        <w:rPr>
          <w:rFonts w:eastAsia="Times New Roman" w:cs="Times New Roman"/>
          <w:color w:val="000000" w:themeColor="text1"/>
          <w:sz w:val="20"/>
          <w:szCs w:val="20"/>
          <w:lang w:val="en-US"/>
        </w:rPr>
        <w:instrText xml:space="preserve"> ADDIN EN.CITE &lt;EndNote&gt;&lt;Cite&gt;&lt;Author&gt;Vehovec&lt;/Author&gt;&lt;Year&gt;2012&lt;/Year&gt;&lt;RecNum&gt;46&lt;/RecNum&gt;&lt;DisplayText&gt;(Vehovec et al., 2012)&lt;/DisplayText&gt;&lt;record&gt;&lt;rec-number&gt;46&lt;/rec-number&gt;&lt;foreign-keys&gt;&lt;key app="EN" db-id="d5fs0wsvp0f05ser9abpxz97rwr0et952ape" timestamp="1491558975"&gt;46&lt;/key&gt;&lt;/foreign-keys&gt;&lt;ref-type name="Journal Article"&gt;17&lt;/ref-type&gt;&lt;contributors&gt;&lt;authors&gt;&lt;author&gt;Vehovec, Tanja&lt;/author&gt;&lt;author&gt;Gartner, Andrej&lt;/author&gt;&lt;author&gt;Planinšek, Odon&lt;/author&gt;&lt;author&gt;Obreza, Aleš&lt;/author&gt;&lt;/authors&gt;&lt;/contributors&gt;&lt;titles&gt;&lt;title&gt;Influence of different types of commercially available microcrystalline cellulose on degradation of perindopril erbumine and enalapril maleate in binary mixtures&lt;/title&gt;&lt;secondary-title&gt;Acta Pharm.&lt;/secondary-title&gt;&lt;/titles&gt;&lt;periodical&gt;&lt;full-title&gt;Acta Pharm.&lt;/full-title&gt;&lt;/periodical&gt;&lt;pages&gt;515-528&lt;/pages&gt;&lt;volume&gt;62&lt;/volume&gt;&lt;number&gt;4&lt;/number&gt;&lt;dates&gt;&lt;year&gt;2012&lt;/year&gt;&lt;/dates&gt;&lt;isbn&gt;1846-9558&lt;/isbn&gt;&lt;urls&gt;&lt;/urls&gt;&lt;/record&gt;&lt;/Cite&gt;&lt;/EndNote&gt;</w:instrText>
      </w:r>
      <w:r w:rsidRPr="00DE3248">
        <w:rPr>
          <w:rFonts w:eastAsia="Times New Roman" w:cs="Times New Roman"/>
          <w:color w:val="000000" w:themeColor="text1"/>
          <w:sz w:val="20"/>
          <w:szCs w:val="20"/>
          <w:lang w:val="en-US"/>
        </w:rPr>
        <w:fldChar w:fldCharType="separate"/>
      </w:r>
      <w:r w:rsidRPr="00DE3248">
        <w:rPr>
          <w:rFonts w:eastAsia="Times New Roman" w:cs="Times New Roman"/>
          <w:noProof/>
          <w:color w:val="000000" w:themeColor="text1"/>
          <w:sz w:val="20"/>
          <w:szCs w:val="20"/>
          <w:lang w:val="en-US"/>
        </w:rPr>
        <w:t>(</w:t>
      </w:r>
      <w:hyperlink w:anchor="_ENREF_45" w:tooltip="Vehovec, 2012 #46" w:history="1">
        <w:r w:rsidRPr="00DE3248">
          <w:rPr>
            <w:rFonts w:eastAsia="Times New Roman" w:cs="Times New Roman"/>
            <w:noProof/>
            <w:color w:val="000000" w:themeColor="text1"/>
            <w:sz w:val="20"/>
            <w:szCs w:val="20"/>
            <w:lang w:val="en-US"/>
          </w:rPr>
          <w:t>Vehovec et al., 2012</w:t>
        </w:r>
      </w:hyperlink>
      <w:r w:rsidRPr="00DE3248">
        <w:rPr>
          <w:rFonts w:eastAsia="Times New Roman" w:cs="Times New Roman"/>
          <w:noProof/>
          <w:color w:val="000000" w:themeColor="text1"/>
          <w:sz w:val="20"/>
          <w:szCs w:val="20"/>
          <w:lang w:val="en-US"/>
        </w:rPr>
        <w:t>)</w:t>
      </w:r>
      <w:r w:rsidRPr="00DE3248">
        <w:rPr>
          <w:rFonts w:eastAsia="Times New Roman" w:cs="Times New Roman"/>
          <w:color w:val="000000" w:themeColor="text1"/>
          <w:sz w:val="20"/>
          <w:szCs w:val="20"/>
          <w:lang w:val="en-US"/>
        </w:rPr>
        <w:fldChar w:fldCharType="end"/>
      </w:r>
    </w:p>
    <w:p w:rsidR="00A92CD7" w:rsidRPr="00DE3248" w:rsidRDefault="00A92CD7">
      <w:pPr>
        <w:rPr>
          <w:rFonts w:cs="Times New Roman"/>
          <w:b/>
          <w:szCs w:val="24"/>
        </w:rPr>
      </w:pPr>
      <w:r w:rsidRPr="00DE3248">
        <w:rPr>
          <w:rFonts w:cs="Times New Roman"/>
          <w:b/>
          <w:szCs w:val="24"/>
        </w:rPr>
        <w:br w:type="page"/>
      </w:r>
    </w:p>
    <w:p w:rsidR="0074330A" w:rsidRPr="00DE3248" w:rsidRDefault="00F51FE7" w:rsidP="000C255C">
      <w:pPr>
        <w:spacing w:before="240" w:after="120" w:line="480" w:lineRule="auto"/>
        <w:rPr>
          <w:rFonts w:cs="Times New Roman"/>
          <w:b/>
          <w:szCs w:val="24"/>
        </w:rPr>
      </w:pPr>
      <w:r w:rsidRPr="00DE3248">
        <w:rPr>
          <w:rFonts w:cs="Times New Roman"/>
          <w:b/>
          <w:szCs w:val="24"/>
        </w:rPr>
        <w:lastRenderedPageBreak/>
        <w:t>S</w:t>
      </w:r>
      <w:r w:rsidRPr="00DE3248">
        <w:rPr>
          <w:rFonts w:cs="Times New Roman"/>
          <w:b/>
          <w:szCs w:val="24"/>
          <w:vertAlign w:val="subscript"/>
        </w:rPr>
        <w:t>4</w:t>
      </w:r>
      <w:r w:rsidRPr="00DE3248">
        <w:rPr>
          <w:rFonts w:cs="Times New Roman"/>
          <w:b/>
          <w:szCs w:val="24"/>
        </w:rPr>
        <w:t>. Powder flow properties parameter and critical material properties for binary mixtures</w:t>
      </w:r>
    </w:p>
    <w:p w:rsidR="00733BA6" w:rsidRPr="00DE3248" w:rsidRDefault="00733BA6" w:rsidP="000C255C">
      <w:pPr>
        <w:pStyle w:val="Caption"/>
        <w:keepNext/>
        <w:spacing w:line="480" w:lineRule="auto"/>
        <w:rPr>
          <w:i w:val="0"/>
          <w:color w:val="auto"/>
        </w:rPr>
      </w:pPr>
      <w:r w:rsidRPr="00DE3248">
        <w:rPr>
          <w:b/>
          <w:i w:val="0"/>
          <w:color w:val="auto"/>
        </w:rPr>
        <w:t>Table S</w:t>
      </w:r>
      <w:r w:rsidRPr="00DE3248">
        <w:rPr>
          <w:b/>
          <w:i w:val="0"/>
          <w:color w:val="auto"/>
          <w:vertAlign w:val="subscript"/>
        </w:rPr>
        <w:t>4</w:t>
      </w:r>
      <w:r w:rsidRPr="00DE3248">
        <w:rPr>
          <w:b/>
          <w:i w:val="0"/>
          <w:color w:val="auto"/>
        </w:rPr>
        <w:t>-</w:t>
      </w:r>
      <w:r w:rsidR="00AC73F7" w:rsidRPr="00DE3248">
        <w:rPr>
          <w:b/>
          <w:i w:val="0"/>
          <w:color w:val="auto"/>
        </w:rPr>
        <w:fldChar w:fldCharType="begin"/>
      </w:r>
      <w:r w:rsidR="00AC73F7" w:rsidRPr="00DE3248">
        <w:rPr>
          <w:b/>
          <w:i w:val="0"/>
          <w:color w:val="auto"/>
        </w:rPr>
        <w:instrText xml:space="preserve"> SEQ Table_S4 \* ARABIC </w:instrText>
      </w:r>
      <w:r w:rsidR="00AC73F7" w:rsidRPr="00DE3248">
        <w:rPr>
          <w:b/>
          <w:i w:val="0"/>
          <w:color w:val="auto"/>
        </w:rPr>
        <w:fldChar w:fldCharType="separate"/>
      </w:r>
      <w:r w:rsidR="00AC73F7" w:rsidRPr="00DE3248">
        <w:rPr>
          <w:b/>
          <w:i w:val="0"/>
          <w:noProof/>
          <w:color w:val="auto"/>
        </w:rPr>
        <w:t>1</w:t>
      </w:r>
      <w:r w:rsidR="00AC73F7" w:rsidRPr="00DE3248">
        <w:rPr>
          <w:b/>
          <w:i w:val="0"/>
          <w:color w:val="auto"/>
        </w:rPr>
        <w:fldChar w:fldCharType="end"/>
      </w:r>
      <w:r w:rsidR="004C4C86" w:rsidRPr="00DE3248">
        <w:rPr>
          <w:i w:val="0"/>
          <w:color w:val="auto"/>
        </w:rPr>
        <w:t>. The slope and intercepts of three p</w:t>
      </w:r>
      <w:r w:rsidR="00082FF9" w:rsidRPr="00DE3248">
        <w:rPr>
          <w:i w:val="0"/>
          <w:color w:val="auto"/>
        </w:rPr>
        <w:t xml:space="preserve">hases of powder flow properties, cohesion, </w:t>
      </w:r>
      <w:r w:rsidR="004C4C86" w:rsidRPr="00DE3248">
        <w:rPr>
          <w:i w:val="0"/>
          <w:color w:val="auto"/>
        </w:rPr>
        <w:t>for binary mixture of IBU and MCC</w:t>
      </w:r>
    </w:p>
    <w:tbl>
      <w:tblPr>
        <w:tblW w:w="5000" w:type="pct"/>
        <w:tblLook w:val="04A0" w:firstRow="1" w:lastRow="0" w:firstColumn="1" w:lastColumn="0" w:noHBand="0" w:noVBand="1"/>
      </w:tblPr>
      <w:tblGrid>
        <w:gridCol w:w="1886"/>
        <w:gridCol w:w="1709"/>
        <w:gridCol w:w="928"/>
        <w:gridCol w:w="1107"/>
        <w:gridCol w:w="754"/>
        <w:gridCol w:w="1107"/>
        <w:gridCol w:w="754"/>
        <w:gridCol w:w="1105"/>
      </w:tblGrid>
      <w:tr w:rsidR="0074330A" w:rsidRPr="00DE3248" w:rsidTr="0074330A">
        <w:trPr>
          <w:trHeight w:val="170"/>
        </w:trPr>
        <w:tc>
          <w:tcPr>
            <w:tcW w:w="100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Batches (IBU-MCC)</w:t>
            </w:r>
          </w:p>
        </w:tc>
        <w:tc>
          <w:tcPr>
            <w:tcW w:w="91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d50 (µm) of IBU</w:t>
            </w:r>
          </w:p>
        </w:tc>
        <w:tc>
          <w:tcPr>
            <w:tcW w:w="496" w:type="pct"/>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Slope</w:t>
            </w:r>
          </w:p>
        </w:tc>
        <w:tc>
          <w:tcPr>
            <w:tcW w:w="592" w:type="pct"/>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Intercept</w:t>
            </w:r>
          </w:p>
        </w:tc>
        <w:tc>
          <w:tcPr>
            <w:tcW w:w="403" w:type="pct"/>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Slope</w:t>
            </w:r>
          </w:p>
        </w:tc>
        <w:tc>
          <w:tcPr>
            <w:tcW w:w="592" w:type="pct"/>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Intercept</w:t>
            </w:r>
          </w:p>
        </w:tc>
        <w:tc>
          <w:tcPr>
            <w:tcW w:w="403" w:type="pct"/>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Slope</w:t>
            </w:r>
          </w:p>
        </w:tc>
        <w:tc>
          <w:tcPr>
            <w:tcW w:w="591" w:type="pct"/>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Intercept</w:t>
            </w:r>
          </w:p>
        </w:tc>
      </w:tr>
      <w:tr w:rsidR="0074330A" w:rsidRPr="00DE3248" w:rsidTr="0074330A">
        <w:trPr>
          <w:trHeight w:val="125"/>
        </w:trPr>
        <w:tc>
          <w:tcPr>
            <w:tcW w:w="1009" w:type="pct"/>
            <w:vMerge/>
            <w:tcBorders>
              <w:top w:val="single" w:sz="4" w:space="0" w:color="auto"/>
              <w:left w:val="single" w:sz="4" w:space="0" w:color="auto"/>
              <w:bottom w:val="single" w:sz="4" w:space="0" w:color="auto"/>
              <w:right w:val="single" w:sz="4" w:space="0" w:color="auto"/>
            </w:tcBorders>
            <w:vAlign w:val="center"/>
            <w:hideMark/>
          </w:tcPr>
          <w:p w:rsidR="0074330A" w:rsidRPr="00DE3248" w:rsidRDefault="0074330A" w:rsidP="000C255C">
            <w:pPr>
              <w:spacing w:after="0" w:line="480" w:lineRule="auto"/>
              <w:rPr>
                <w:rFonts w:eastAsia="Times New Roman" w:cs="Times New Roman"/>
                <w:b/>
                <w:color w:val="000000"/>
                <w:sz w:val="18"/>
                <w:szCs w:val="18"/>
                <w:lang w:val="en-US"/>
              </w:rPr>
            </w:pP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74330A" w:rsidRPr="00DE3248" w:rsidRDefault="0074330A" w:rsidP="000C255C">
            <w:pPr>
              <w:spacing w:after="0" w:line="480" w:lineRule="auto"/>
              <w:rPr>
                <w:rFonts w:eastAsia="Times New Roman" w:cs="Times New Roman"/>
                <w:b/>
                <w:color w:val="000000"/>
                <w:sz w:val="18"/>
                <w:szCs w:val="18"/>
                <w:lang w:val="en-US"/>
              </w:rPr>
            </w:pPr>
          </w:p>
        </w:tc>
        <w:tc>
          <w:tcPr>
            <w:tcW w:w="1088" w:type="pct"/>
            <w:gridSpan w:val="2"/>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 xml:space="preserve">Phase 1 </w:t>
            </w:r>
          </w:p>
        </w:tc>
        <w:tc>
          <w:tcPr>
            <w:tcW w:w="995" w:type="pct"/>
            <w:gridSpan w:val="2"/>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Phase 2</w:t>
            </w:r>
          </w:p>
        </w:tc>
        <w:tc>
          <w:tcPr>
            <w:tcW w:w="994" w:type="pct"/>
            <w:gridSpan w:val="2"/>
            <w:tcBorders>
              <w:top w:val="single" w:sz="4" w:space="0" w:color="auto"/>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center"/>
              <w:rPr>
                <w:rFonts w:eastAsia="Times New Roman" w:cs="Times New Roman"/>
                <w:b/>
                <w:color w:val="000000"/>
                <w:sz w:val="18"/>
                <w:szCs w:val="18"/>
                <w:lang w:val="en-US"/>
              </w:rPr>
            </w:pPr>
            <w:r w:rsidRPr="00DE3248">
              <w:rPr>
                <w:rFonts w:eastAsia="Times New Roman" w:cs="Times New Roman"/>
                <w:b/>
                <w:color w:val="000000"/>
                <w:sz w:val="18"/>
                <w:szCs w:val="18"/>
                <w:lang w:val="en-US"/>
              </w:rPr>
              <w:t>Phase 3</w:t>
            </w:r>
          </w:p>
        </w:tc>
      </w:tr>
      <w:tr w:rsidR="0074330A" w:rsidRPr="00DE3248" w:rsidTr="0074330A">
        <w:trPr>
          <w:trHeight w:val="188"/>
        </w:trPr>
        <w:tc>
          <w:tcPr>
            <w:tcW w:w="1009" w:type="pct"/>
            <w:tcBorders>
              <w:top w:val="nil"/>
              <w:left w:val="single" w:sz="4" w:space="0" w:color="auto"/>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n5</w:t>
            </w:r>
          </w:p>
        </w:tc>
        <w:tc>
          <w:tcPr>
            <w:tcW w:w="914"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6.60 ± 0.13</w:t>
            </w:r>
          </w:p>
        </w:tc>
        <w:tc>
          <w:tcPr>
            <w:tcW w:w="496"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-0.87</w:t>
            </w:r>
          </w:p>
        </w:tc>
        <w:tc>
          <w:tcPr>
            <w:tcW w:w="592"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2.50</w:t>
            </w:r>
          </w:p>
        </w:tc>
        <w:tc>
          <w:tcPr>
            <w:tcW w:w="403"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-3.69</w:t>
            </w:r>
          </w:p>
        </w:tc>
        <w:tc>
          <w:tcPr>
            <w:tcW w:w="592"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3.30</w:t>
            </w:r>
          </w:p>
        </w:tc>
        <w:tc>
          <w:tcPr>
            <w:tcW w:w="403"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1.63</w:t>
            </w:r>
          </w:p>
        </w:tc>
        <w:tc>
          <w:tcPr>
            <w:tcW w:w="591"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-1.25</w:t>
            </w:r>
          </w:p>
        </w:tc>
      </w:tr>
      <w:tr w:rsidR="0074330A" w:rsidRPr="00DE3248" w:rsidTr="0074330A">
        <w:trPr>
          <w:trHeight w:val="143"/>
        </w:trPr>
        <w:tc>
          <w:tcPr>
            <w:tcW w:w="1009" w:type="pct"/>
            <w:tcBorders>
              <w:top w:val="nil"/>
              <w:left w:val="single" w:sz="4" w:space="0" w:color="auto"/>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n3</w:t>
            </w:r>
          </w:p>
        </w:tc>
        <w:tc>
          <w:tcPr>
            <w:tcW w:w="914"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23.86 ± 0.45</w:t>
            </w:r>
          </w:p>
        </w:tc>
        <w:tc>
          <w:tcPr>
            <w:tcW w:w="496"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-0.64</w:t>
            </w:r>
          </w:p>
        </w:tc>
        <w:tc>
          <w:tcPr>
            <w:tcW w:w="592"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1.06</w:t>
            </w:r>
          </w:p>
        </w:tc>
        <w:tc>
          <w:tcPr>
            <w:tcW w:w="403"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-0.77</w:t>
            </w:r>
          </w:p>
        </w:tc>
        <w:tc>
          <w:tcPr>
            <w:tcW w:w="592"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0.98</w:t>
            </w:r>
          </w:p>
        </w:tc>
        <w:tc>
          <w:tcPr>
            <w:tcW w:w="403"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0.50</w:t>
            </w:r>
          </w:p>
        </w:tc>
        <w:tc>
          <w:tcPr>
            <w:tcW w:w="591"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-0.12</w:t>
            </w:r>
          </w:p>
        </w:tc>
      </w:tr>
      <w:tr w:rsidR="0074330A" w:rsidRPr="00DE3248" w:rsidTr="0074330A">
        <w:trPr>
          <w:trHeight w:val="116"/>
        </w:trPr>
        <w:tc>
          <w:tcPr>
            <w:tcW w:w="1009" w:type="pct"/>
            <w:tcBorders>
              <w:top w:val="nil"/>
              <w:left w:val="single" w:sz="4" w:space="0" w:color="auto"/>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n4</w:t>
            </w:r>
          </w:p>
        </w:tc>
        <w:tc>
          <w:tcPr>
            <w:tcW w:w="914"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 xml:space="preserve">44.45 ± 1.71 </w:t>
            </w:r>
          </w:p>
        </w:tc>
        <w:tc>
          <w:tcPr>
            <w:tcW w:w="496"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1.93</w:t>
            </w:r>
          </w:p>
        </w:tc>
        <w:tc>
          <w:tcPr>
            <w:tcW w:w="592"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0.36</w:t>
            </w:r>
          </w:p>
        </w:tc>
        <w:tc>
          <w:tcPr>
            <w:tcW w:w="403"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-0.26</w:t>
            </w:r>
          </w:p>
        </w:tc>
        <w:tc>
          <w:tcPr>
            <w:tcW w:w="592"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0.51</w:t>
            </w:r>
          </w:p>
        </w:tc>
        <w:tc>
          <w:tcPr>
            <w:tcW w:w="403"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1.06</w:t>
            </w:r>
          </w:p>
        </w:tc>
        <w:tc>
          <w:tcPr>
            <w:tcW w:w="591" w:type="pct"/>
            <w:tcBorders>
              <w:top w:val="nil"/>
              <w:left w:val="nil"/>
              <w:bottom w:val="single" w:sz="4" w:space="0" w:color="auto"/>
              <w:right w:val="single" w:sz="4" w:space="0" w:color="auto"/>
            </w:tcBorders>
            <w:shd w:val="clear" w:color="auto" w:fill="auto"/>
            <w:noWrap/>
            <w:vAlign w:val="bottom"/>
            <w:hideMark/>
          </w:tcPr>
          <w:p w:rsidR="0074330A" w:rsidRPr="00DE3248" w:rsidRDefault="0074330A" w:rsidP="000C255C">
            <w:pPr>
              <w:keepNext/>
              <w:spacing w:after="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-0.69</w:t>
            </w:r>
          </w:p>
        </w:tc>
      </w:tr>
    </w:tbl>
    <w:p w:rsidR="0075797C" w:rsidRPr="00DE3248" w:rsidRDefault="00B5053A" w:rsidP="003C1549">
      <w:pPr>
        <w:keepNext/>
        <w:spacing w:before="240" w:after="120" w:line="480" w:lineRule="auto"/>
        <w:jc w:val="center"/>
      </w:pPr>
      <w:r w:rsidRPr="00DE3248">
        <w:rPr>
          <w:noProof/>
          <w:lang w:eastAsia="en-IE"/>
        </w:rPr>
        <w:drawing>
          <wp:inline distT="0" distB="0" distL="0" distR="0">
            <wp:extent cx="3242127" cy="2286000"/>
            <wp:effectExtent l="0" t="0" r="0" b="0"/>
            <wp:docPr id="17" name="Picture 17" descr="C:\Users\zelalem\Desktop\Manuscript MRA\Figures\FF Coh wall friction IBU and MCC\Final Figures IBU binary systems\Supplementary IBU-BN-B02 (n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elalem\Desktop\Manuscript MRA\Figures\FF Coh wall friction IBU and MCC\Final Figures IBU binary systems\Supplementary IBU-BN-B02 (n4).t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42127" cy="2286000"/>
                    </a:xfrm>
                    <a:prstGeom prst="rect">
                      <a:avLst/>
                    </a:prstGeom>
                    <a:noFill/>
                    <a:ln>
                      <a:noFill/>
                    </a:ln>
                  </pic:spPr>
                </pic:pic>
              </a:graphicData>
            </a:graphic>
          </wp:inline>
        </w:drawing>
      </w:r>
    </w:p>
    <w:p w:rsidR="0075797C" w:rsidRPr="00DE3248" w:rsidRDefault="0075797C" w:rsidP="000C255C">
      <w:pPr>
        <w:pStyle w:val="Caption"/>
        <w:spacing w:line="480" w:lineRule="auto"/>
        <w:rPr>
          <w:rFonts w:cs="Times New Roman"/>
          <w:i w:val="0"/>
          <w:color w:val="auto"/>
        </w:rPr>
      </w:pPr>
      <w:r w:rsidRPr="00DE3248">
        <w:rPr>
          <w:b/>
          <w:i w:val="0"/>
          <w:color w:val="auto"/>
        </w:rPr>
        <w:t>Figure S</w:t>
      </w:r>
      <w:r w:rsidRPr="00DE3248">
        <w:rPr>
          <w:b/>
          <w:i w:val="0"/>
          <w:color w:val="auto"/>
          <w:vertAlign w:val="subscript"/>
        </w:rPr>
        <w:t>4</w:t>
      </w:r>
      <w:r w:rsidRPr="00DE3248">
        <w:rPr>
          <w:b/>
          <w:i w:val="0"/>
          <w:color w:val="auto"/>
        </w:rPr>
        <w:t>-</w:t>
      </w:r>
      <w:r w:rsidRPr="00DE3248">
        <w:rPr>
          <w:b/>
          <w:i w:val="0"/>
          <w:color w:val="auto"/>
        </w:rPr>
        <w:fldChar w:fldCharType="begin"/>
      </w:r>
      <w:r w:rsidRPr="00DE3248">
        <w:rPr>
          <w:b/>
          <w:i w:val="0"/>
          <w:color w:val="auto"/>
        </w:rPr>
        <w:instrText xml:space="preserve"> SEQ Figure_S4 \* ARABIC </w:instrText>
      </w:r>
      <w:r w:rsidRPr="00DE3248">
        <w:rPr>
          <w:b/>
          <w:i w:val="0"/>
          <w:color w:val="auto"/>
        </w:rPr>
        <w:fldChar w:fldCharType="separate"/>
      </w:r>
      <w:r w:rsidR="00A53EF9" w:rsidRPr="00DE3248">
        <w:rPr>
          <w:b/>
          <w:i w:val="0"/>
          <w:noProof/>
          <w:color w:val="auto"/>
        </w:rPr>
        <w:t>1</w:t>
      </w:r>
      <w:r w:rsidRPr="00DE3248">
        <w:rPr>
          <w:b/>
          <w:i w:val="0"/>
          <w:color w:val="auto"/>
        </w:rPr>
        <w:fldChar w:fldCharType="end"/>
      </w:r>
      <w:r w:rsidRPr="00DE3248">
        <w:rPr>
          <w:i w:val="0"/>
          <w:color w:val="auto"/>
        </w:rPr>
        <w:t>.</w:t>
      </w:r>
      <w:r w:rsidR="00B5053A" w:rsidRPr="00DE3248">
        <w:rPr>
          <w:i w:val="0"/>
          <w:color w:val="auto"/>
        </w:rPr>
        <w:t xml:space="preserve"> Composition dependent powder flow properties, FF and cohesion, of the binary mixture of IBU and MCC for one of batch of IBU with d50 </w:t>
      </w:r>
      <w:r w:rsidR="008C4BA7" w:rsidRPr="00DE3248">
        <w:rPr>
          <w:rFonts w:cs="Times New Roman"/>
          <w:i w:val="0"/>
          <w:color w:val="auto"/>
        </w:rPr>
        <w:t>about</w:t>
      </w:r>
      <w:r w:rsidR="00B5053A" w:rsidRPr="00DE3248">
        <w:rPr>
          <w:rFonts w:cs="Times New Roman"/>
          <w:i w:val="0"/>
          <w:color w:val="auto"/>
        </w:rPr>
        <w:t xml:space="preserve"> </w:t>
      </w:r>
      <w:r w:rsidR="008C4BA7" w:rsidRPr="00DE3248">
        <w:rPr>
          <w:rFonts w:cs="Times New Roman"/>
          <w:i w:val="0"/>
          <w:color w:val="auto"/>
        </w:rPr>
        <w:t>44</w:t>
      </w:r>
      <w:r w:rsidR="00B5053A" w:rsidRPr="00DE3248">
        <w:rPr>
          <w:rFonts w:cs="Times New Roman"/>
          <w:i w:val="0"/>
          <w:color w:val="auto"/>
        </w:rPr>
        <w:t>.</w:t>
      </w:r>
      <w:r w:rsidR="008C4BA7" w:rsidRPr="00DE3248">
        <w:rPr>
          <w:rFonts w:cs="Times New Roman"/>
          <w:i w:val="0"/>
          <w:color w:val="auto"/>
        </w:rPr>
        <w:t>4</w:t>
      </w:r>
      <w:r w:rsidR="00B5053A" w:rsidRPr="00DE3248">
        <w:rPr>
          <w:rFonts w:cs="Times New Roman"/>
          <w:i w:val="0"/>
          <w:color w:val="auto"/>
        </w:rPr>
        <w:t xml:space="preserve">5 ± </w:t>
      </w:r>
      <w:r w:rsidR="008C4BA7" w:rsidRPr="00DE3248">
        <w:rPr>
          <w:rFonts w:cs="Times New Roman"/>
          <w:i w:val="0"/>
          <w:color w:val="auto"/>
        </w:rPr>
        <w:t>1</w:t>
      </w:r>
      <w:r w:rsidR="00B5053A" w:rsidRPr="00DE3248">
        <w:rPr>
          <w:rFonts w:cs="Times New Roman"/>
          <w:i w:val="0"/>
          <w:color w:val="auto"/>
        </w:rPr>
        <w:t>.</w:t>
      </w:r>
      <w:r w:rsidR="008C4BA7" w:rsidRPr="00DE3248">
        <w:rPr>
          <w:rFonts w:cs="Times New Roman"/>
          <w:i w:val="0"/>
          <w:color w:val="auto"/>
        </w:rPr>
        <w:t>71</w:t>
      </w:r>
      <w:r w:rsidR="00B5053A" w:rsidRPr="00DE3248">
        <w:rPr>
          <w:rFonts w:cs="Times New Roman"/>
          <w:i w:val="0"/>
          <w:color w:val="auto"/>
        </w:rPr>
        <w:t xml:space="preserve"> µm (n</w:t>
      </w:r>
      <w:r w:rsidR="008C4BA7" w:rsidRPr="00DE3248">
        <w:rPr>
          <w:rFonts w:cs="Times New Roman"/>
          <w:i w:val="0"/>
          <w:color w:val="auto"/>
        </w:rPr>
        <w:t>4)</w:t>
      </w:r>
    </w:p>
    <w:p w:rsidR="00A53EF9" w:rsidRPr="00DE3248" w:rsidRDefault="00A53EF9" w:rsidP="00A92CD7">
      <w:pPr>
        <w:keepNext/>
        <w:jc w:val="center"/>
      </w:pPr>
      <w:r w:rsidRPr="00DE3248">
        <w:rPr>
          <w:noProof/>
          <w:lang w:eastAsia="en-IE"/>
        </w:rPr>
        <w:drawing>
          <wp:inline distT="0" distB="0" distL="0" distR="0">
            <wp:extent cx="3812939" cy="2286000"/>
            <wp:effectExtent l="0" t="0" r="0" b="0"/>
            <wp:docPr id="7" name="Picture 7" descr="C:\Users\zelalem\Desktop\Manuscript MRA\Figures\FF Coh wall friction IBU and MCC\Final Figures IBU binary systems\Fig. Flow IBU and MgS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elalem\Desktop\Manuscript MRA\Figures\FF Coh wall friction IBU and MCC\Final Figures IBU binary systems\Fig. Flow IBU and MgSt.t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12939" cy="2286000"/>
                    </a:xfrm>
                    <a:prstGeom prst="rect">
                      <a:avLst/>
                    </a:prstGeom>
                    <a:noFill/>
                    <a:ln>
                      <a:noFill/>
                    </a:ln>
                  </pic:spPr>
                </pic:pic>
              </a:graphicData>
            </a:graphic>
          </wp:inline>
        </w:drawing>
      </w:r>
    </w:p>
    <w:p w:rsidR="00A53EF9" w:rsidRPr="00DE3248" w:rsidRDefault="00A53EF9" w:rsidP="00A53EF9">
      <w:pPr>
        <w:pStyle w:val="Caption"/>
        <w:rPr>
          <w:i w:val="0"/>
          <w:color w:val="auto"/>
        </w:rPr>
      </w:pPr>
      <w:r w:rsidRPr="00DE3248">
        <w:rPr>
          <w:b/>
          <w:i w:val="0"/>
          <w:color w:val="auto"/>
        </w:rPr>
        <w:t>Figure S</w:t>
      </w:r>
      <w:r w:rsidRPr="00DE3248">
        <w:rPr>
          <w:b/>
          <w:i w:val="0"/>
          <w:color w:val="auto"/>
          <w:vertAlign w:val="subscript"/>
        </w:rPr>
        <w:t>4</w:t>
      </w:r>
      <w:r w:rsidRPr="00DE3248">
        <w:rPr>
          <w:b/>
          <w:i w:val="0"/>
          <w:color w:val="auto"/>
        </w:rPr>
        <w:t>-</w:t>
      </w:r>
      <w:r w:rsidRPr="00DE3248">
        <w:rPr>
          <w:b/>
          <w:i w:val="0"/>
          <w:color w:val="auto"/>
        </w:rPr>
        <w:fldChar w:fldCharType="begin"/>
      </w:r>
      <w:r w:rsidRPr="00DE3248">
        <w:rPr>
          <w:b/>
          <w:i w:val="0"/>
          <w:color w:val="auto"/>
        </w:rPr>
        <w:instrText xml:space="preserve"> SEQ Figure_S4 \* ARABIC </w:instrText>
      </w:r>
      <w:r w:rsidRPr="00DE3248">
        <w:rPr>
          <w:b/>
          <w:i w:val="0"/>
          <w:color w:val="auto"/>
        </w:rPr>
        <w:fldChar w:fldCharType="separate"/>
      </w:r>
      <w:r w:rsidRPr="00DE3248">
        <w:rPr>
          <w:b/>
          <w:i w:val="0"/>
          <w:noProof/>
          <w:color w:val="auto"/>
        </w:rPr>
        <w:t>2</w:t>
      </w:r>
      <w:r w:rsidRPr="00DE3248">
        <w:rPr>
          <w:b/>
          <w:i w:val="0"/>
          <w:color w:val="auto"/>
        </w:rPr>
        <w:fldChar w:fldCharType="end"/>
      </w:r>
      <w:r w:rsidRPr="00DE3248">
        <w:rPr>
          <w:i w:val="0"/>
          <w:color w:val="auto"/>
        </w:rPr>
        <w:t xml:space="preserve">. The effect of magnesium stearate on the (a) FF, (b) cohesion and (c) WFA of IBU </w:t>
      </w:r>
    </w:p>
    <w:p w:rsidR="00A5729C" w:rsidRPr="00DE3248" w:rsidRDefault="00A5729C" w:rsidP="000C255C">
      <w:pPr>
        <w:spacing w:line="480" w:lineRule="auto"/>
        <w:rPr>
          <w:noProof/>
          <w:lang w:val="en-US"/>
        </w:rPr>
      </w:pPr>
      <w:r w:rsidRPr="00DE3248">
        <w:rPr>
          <w:noProof/>
          <w:lang w:eastAsia="en-IE"/>
        </w:rPr>
        <w:lastRenderedPageBreak/>
        <w:drawing>
          <wp:inline distT="0" distB="0" distL="0" distR="0" wp14:anchorId="69FC951B" wp14:editId="19F11A48">
            <wp:extent cx="2851274" cy="2103120"/>
            <wp:effectExtent l="0" t="0" r="635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1274" cy="2103120"/>
                    </a:xfrm>
                    <a:prstGeom prst="rect">
                      <a:avLst/>
                    </a:prstGeom>
                    <a:noFill/>
                    <a:extLst/>
                  </pic:spPr>
                </pic:pic>
              </a:graphicData>
            </a:graphic>
          </wp:inline>
        </w:drawing>
      </w:r>
      <w:r w:rsidR="00DD3D3D" w:rsidRPr="00DE3248">
        <w:rPr>
          <w:noProof/>
          <w:lang w:val="en-US"/>
        </w:rPr>
        <w:t xml:space="preserve"> </w:t>
      </w:r>
      <w:r w:rsidR="00DD3D3D" w:rsidRPr="00DE3248">
        <w:rPr>
          <w:noProof/>
          <w:lang w:eastAsia="en-IE"/>
        </w:rPr>
        <w:drawing>
          <wp:inline distT="0" distB="0" distL="0" distR="0" wp14:anchorId="3E8EC436" wp14:editId="060A1DAB">
            <wp:extent cx="2853875" cy="2103120"/>
            <wp:effectExtent l="0" t="0" r="381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3875" cy="2103120"/>
                    </a:xfrm>
                    <a:prstGeom prst="rect">
                      <a:avLst/>
                    </a:prstGeom>
                    <a:noFill/>
                    <a:extLst/>
                  </pic:spPr>
                </pic:pic>
              </a:graphicData>
            </a:graphic>
          </wp:inline>
        </w:drawing>
      </w:r>
      <w:r w:rsidR="00DD3D3D" w:rsidRPr="00DE3248">
        <w:rPr>
          <w:rFonts w:cs="Times New Roman"/>
          <w:b/>
          <w:noProof/>
          <w:szCs w:val="24"/>
          <w:lang w:eastAsia="en-IE"/>
        </w:rPr>
        <mc:AlternateContent>
          <mc:Choice Requires="wps">
            <w:drawing>
              <wp:anchor distT="45720" distB="45720" distL="114300" distR="114300" simplePos="0" relativeHeight="251669504" behindDoc="0" locked="0" layoutInCell="1" allowOverlap="1" wp14:anchorId="6611C9CC" wp14:editId="537777D8">
                <wp:simplePos x="0" y="0"/>
                <wp:positionH relativeFrom="column">
                  <wp:posOffset>0</wp:posOffset>
                </wp:positionH>
                <wp:positionV relativeFrom="paragraph">
                  <wp:posOffset>45720</wp:posOffset>
                </wp:positionV>
                <wp:extent cx="328773" cy="256854"/>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DD3D3D">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6611C9CC" id="_x0000_s1030" type="#_x0000_t202" style="position:absolute;margin-left:0;margin-top:3.6pt;width:25.9pt;height:20.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" filled="f" stroked="f">
                <v:textbox>
                  <w:txbxContent>
                    <w:p w:rsidR="008162A4" w:rsidRDefault="008162A4" w:rsidP="00DD3D3D">
                      <w:r>
                        <w:t>a.</w:t>
                      </w:r>
                    </w:p>
                  </w:txbxContent>
                </v:textbox>
              </v:shape>
            </w:pict>
          </mc:Fallback>
        </mc:AlternateContent>
      </w:r>
    </w:p>
    <w:p w:rsidR="00F51FE7" w:rsidRPr="00DE3248" w:rsidRDefault="00F51FE7" w:rsidP="000C255C">
      <w:pPr>
        <w:spacing w:line="480" w:lineRule="auto"/>
        <w:rPr>
          <w:noProof/>
          <w:lang w:val="en-US"/>
        </w:rPr>
      </w:pPr>
      <w:r w:rsidRPr="00DE3248">
        <w:rPr>
          <w:rFonts w:cs="Times New Roman"/>
          <w:b/>
          <w:noProof/>
          <w:szCs w:val="24"/>
          <w:lang w:eastAsia="en-IE"/>
        </w:rPr>
        <mc:AlternateContent>
          <mc:Choice Requires="wps">
            <w:drawing>
              <wp:anchor distT="45720" distB="45720" distL="114300" distR="114300" simplePos="0" relativeHeight="251667456" behindDoc="0" locked="0" layoutInCell="1" allowOverlap="1" wp14:anchorId="2853C71B" wp14:editId="310A2B1B">
                <wp:simplePos x="0" y="0"/>
                <wp:positionH relativeFrom="margin">
                  <wp:posOffset>0</wp:posOffset>
                </wp:positionH>
                <wp:positionV relativeFrom="paragraph">
                  <wp:posOffset>81394</wp:posOffset>
                </wp:positionV>
                <wp:extent cx="328773" cy="256854"/>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F51FE7">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2853C71B" id="_x0000_s1031" type="#_x0000_t202" style="position:absolute;margin-left:0;margin-top:6.4pt;width:25.9pt;height:20.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" filled="f" stroked="f">
                <v:textbox>
                  <w:txbxContent>
                    <w:p w:rsidR="008162A4" w:rsidRDefault="008162A4" w:rsidP="00F51FE7">
                      <w:r>
                        <w:t>b.</w:t>
                      </w:r>
                    </w:p>
                  </w:txbxContent>
                </v:textbox>
                <w10:wrap anchorx="margin"/>
              </v:shape>
            </w:pict>
          </mc:Fallback>
        </mc:AlternateContent>
      </w:r>
      <w:r w:rsidRPr="00DE3248">
        <w:rPr>
          <w:noProof/>
          <w:lang w:eastAsia="en-IE"/>
        </w:rPr>
        <w:drawing>
          <wp:inline distT="0" distB="0" distL="0" distR="0" wp14:anchorId="3BA4C713" wp14:editId="3B75F5A6">
            <wp:extent cx="2869860" cy="2103120"/>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69860" cy="2103120"/>
                    </a:xfrm>
                    <a:prstGeom prst="rect">
                      <a:avLst/>
                    </a:prstGeom>
                    <a:noFill/>
                    <a:extLst/>
                  </pic:spPr>
                </pic:pic>
              </a:graphicData>
            </a:graphic>
          </wp:inline>
        </w:drawing>
      </w:r>
      <w:r w:rsidRPr="00DE3248">
        <w:rPr>
          <w:noProof/>
          <w:lang w:val="en-US"/>
        </w:rPr>
        <w:t xml:space="preserve"> </w:t>
      </w:r>
      <w:r w:rsidR="00DD3D3D" w:rsidRPr="00DE3248">
        <w:rPr>
          <w:noProof/>
          <w:lang w:val="en-US"/>
        </w:rPr>
        <w:t xml:space="preserve"> </w:t>
      </w:r>
      <w:r w:rsidRPr="00DE3248">
        <w:rPr>
          <w:noProof/>
          <w:lang w:eastAsia="en-IE"/>
        </w:rPr>
        <w:drawing>
          <wp:inline distT="0" distB="0" distL="0" distR="0" wp14:anchorId="788BA90C" wp14:editId="20E12EA4">
            <wp:extent cx="2876806" cy="2103120"/>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76806" cy="2103120"/>
                    </a:xfrm>
                    <a:prstGeom prst="rect">
                      <a:avLst/>
                    </a:prstGeom>
                    <a:noFill/>
                    <a:extLst/>
                  </pic:spPr>
                </pic:pic>
              </a:graphicData>
            </a:graphic>
          </wp:inline>
        </w:drawing>
      </w:r>
    </w:p>
    <w:p w:rsidR="00EF2533" w:rsidRPr="00DE3248" w:rsidRDefault="00C93399" w:rsidP="000C255C">
      <w:pPr>
        <w:spacing w:line="480" w:lineRule="auto"/>
        <w:rPr>
          <w:rFonts w:cs="Times New Roman"/>
        </w:rPr>
      </w:pPr>
      <w:r w:rsidRPr="00DE3248">
        <w:rPr>
          <w:rFonts w:cs="Times New Roman"/>
          <w:b/>
          <w:noProof/>
          <w:szCs w:val="24"/>
          <w:lang w:eastAsia="en-IE"/>
        </w:rPr>
        <mc:AlternateContent>
          <mc:Choice Requires="wps">
            <w:drawing>
              <wp:anchor distT="45720" distB="45720" distL="114300" distR="114300" simplePos="0" relativeHeight="251671552" behindDoc="0" locked="0" layoutInCell="1" allowOverlap="1" wp14:anchorId="4B07E951" wp14:editId="098E9B73">
                <wp:simplePos x="0" y="0"/>
                <wp:positionH relativeFrom="margin">
                  <wp:posOffset>38100</wp:posOffset>
                </wp:positionH>
                <wp:positionV relativeFrom="paragraph">
                  <wp:posOffset>134620</wp:posOffset>
                </wp:positionV>
                <wp:extent cx="328773" cy="256854"/>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C93399">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4B07E951" id="_x0000_s1032" type="#_x0000_t202" style="position:absolute;margin-left:3pt;margin-top:10.6pt;width:25.9pt;height:20.2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" filled="f" stroked="f">
                <v:textbox>
                  <w:txbxContent>
                    <w:p w:rsidR="008162A4" w:rsidRDefault="008162A4" w:rsidP="00C93399">
                      <w:r>
                        <w:t>c.</w:t>
                      </w:r>
                    </w:p>
                  </w:txbxContent>
                </v:textbox>
                <w10:wrap anchorx="margin"/>
              </v:shape>
            </w:pict>
          </mc:Fallback>
        </mc:AlternateContent>
      </w:r>
      <w:r w:rsidR="00EF2533" w:rsidRPr="00DE3248">
        <w:rPr>
          <w:noProof/>
          <w:lang w:eastAsia="en-IE"/>
        </w:rPr>
        <w:drawing>
          <wp:inline distT="0" distB="0" distL="0" distR="0" wp14:anchorId="28D266BF" wp14:editId="2ABC8235">
            <wp:extent cx="2846711" cy="2103120"/>
            <wp:effectExtent l="0" t="0" r="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6711" cy="2103120"/>
                    </a:xfrm>
                    <a:prstGeom prst="rect">
                      <a:avLst/>
                    </a:prstGeom>
                    <a:noFill/>
                    <a:extLst/>
                  </pic:spPr>
                </pic:pic>
              </a:graphicData>
            </a:graphic>
          </wp:inline>
        </w:drawing>
      </w:r>
      <w:r w:rsidR="00EF2533" w:rsidRPr="00DE3248">
        <w:rPr>
          <w:rFonts w:cs="Times New Roman"/>
        </w:rPr>
        <w:t xml:space="preserve">   </w:t>
      </w:r>
      <w:r w:rsidR="00EF2533" w:rsidRPr="00DE3248">
        <w:rPr>
          <w:noProof/>
          <w:lang w:eastAsia="en-IE"/>
        </w:rPr>
        <w:drawing>
          <wp:inline distT="0" distB="0" distL="0" distR="0" wp14:anchorId="4BCD7889" wp14:editId="29D1D91F">
            <wp:extent cx="2847044" cy="2103120"/>
            <wp:effectExtent l="0" t="0" r="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47044" cy="2103120"/>
                    </a:xfrm>
                    <a:prstGeom prst="rect">
                      <a:avLst/>
                    </a:prstGeom>
                    <a:noFill/>
                    <a:extLst/>
                  </pic:spPr>
                </pic:pic>
              </a:graphicData>
            </a:graphic>
          </wp:inline>
        </w:drawing>
      </w:r>
    </w:p>
    <w:p w:rsidR="00C93399" w:rsidRPr="00DE3248" w:rsidRDefault="00C93399" w:rsidP="000C255C">
      <w:pPr>
        <w:keepNext/>
        <w:spacing w:line="480" w:lineRule="auto"/>
      </w:pPr>
      <w:r w:rsidRPr="00DE3248">
        <w:rPr>
          <w:noProof/>
          <w:lang w:eastAsia="en-IE"/>
        </w:rPr>
        <w:lastRenderedPageBreak/>
        <w:drawing>
          <wp:inline distT="0" distB="0" distL="0" distR="0" wp14:anchorId="0F3EE5AB" wp14:editId="7AFD8BC9">
            <wp:extent cx="2875886" cy="2103120"/>
            <wp:effectExtent l="0" t="0" r="127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75886" cy="2103120"/>
                    </a:xfrm>
                    <a:prstGeom prst="rect">
                      <a:avLst/>
                    </a:prstGeom>
                    <a:noFill/>
                    <a:extLst/>
                  </pic:spPr>
                </pic:pic>
              </a:graphicData>
            </a:graphic>
          </wp:inline>
        </w:drawing>
      </w:r>
      <w:r w:rsidRPr="00DE3248">
        <w:rPr>
          <w:rFonts w:cs="Times New Roman"/>
        </w:rPr>
        <w:t xml:space="preserve">   </w:t>
      </w:r>
      <w:r w:rsidRPr="00DE3248">
        <w:rPr>
          <w:noProof/>
          <w:lang w:eastAsia="en-IE"/>
        </w:rPr>
        <w:drawing>
          <wp:inline distT="0" distB="0" distL="0" distR="0" wp14:anchorId="6BE8A6D6" wp14:editId="575553A8">
            <wp:extent cx="2890261" cy="2103120"/>
            <wp:effectExtent l="0" t="0" r="5715" b="0"/>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0261" cy="2103120"/>
                    </a:xfrm>
                    <a:prstGeom prst="rect">
                      <a:avLst/>
                    </a:prstGeom>
                    <a:noFill/>
                    <a:extLst/>
                  </pic:spPr>
                </pic:pic>
              </a:graphicData>
            </a:graphic>
          </wp:inline>
        </w:drawing>
      </w:r>
      <w:r w:rsidRPr="00DE3248">
        <w:rPr>
          <w:rFonts w:cs="Times New Roman"/>
          <w:b/>
          <w:noProof/>
          <w:szCs w:val="24"/>
          <w:lang w:eastAsia="en-IE"/>
        </w:rPr>
        <mc:AlternateContent>
          <mc:Choice Requires="wps">
            <w:drawing>
              <wp:anchor distT="45720" distB="45720" distL="114300" distR="114300" simplePos="0" relativeHeight="251673600" behindDoc="0" locked="0" layoutInCell="1" allowOverlap="1" wp14:anchorId="7BA6341C" wp14:editId="322A18B3">
                <wp:simplePos x="0" y="0"/>
                <wp:positionH relativeFrom="margin">
                  <wp:posOffset>0</wp:posOffset>
                </wp:positionH>
                <wp:positionV relativeFrom="paragraph">
                  <wp:posOffset>45720</wp:posOffset>
                </wp:positionV>
                <wp:extent cx="328773" cy="256854"/>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73" cy="256854"/>
                        </a:xfrm>
                        <a:prstGeom prst="rect">
                          <a:avLst/>
                        </a:prstGeom>
                        <a:noFill/>
                        <a:ln w="9525">
                          <a:noFill/>
                          <a:miter lim="800000"/>
                          <a:headEnd/>
                          <a:tailEnd/>
                        </a:ln>
                      </wps:spPr>
                      <wps:txbx>
                        <w:txbxContent>
                          <w:p w:rsidR="008162A4" w:rsidRDefault="008162A4" w:rsidP="00C93399">
                            <w: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 w14:anchorId="7BA6341C" id="_x0000_s1033" type="#_x0000_t202" style="position:absolute;margin-left:0;margin-top:3.6pt;width:25.9pt;height:20.2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" filled="f" stroked="f">
                <v:textbox>
                  <w:txbxContent>
                    <w:p w:rsidR="008162A4" w:rsidRDefault="008162A4" w:rsidP="00C93399">
                      <w:r>
                        <w:t>d.</w:t>
                      </w:r>
                    </w:p>
                  </w:txbxContent>
                </v:textbox>
                <w10:wrap anchorx="margin"/>
              </v:shape>
            </w:pict>
          </mc:Fallback>
        </mc:AlternateContent>
      </w:r>
    </w:p>
    <w:p w:rsidR="00E75112" w:rsidRPr="00DE3248" w:rsidRDefault="00C93399" w:rsidP="00E75112">
      <w:pPr>
        <w:pStyle w:val="Caption"/>
        <w:spacing w:line="480" w:lineRule="auto"/>
        <w:jc w:val="both"/>
        <w:rPr>
          <w:rFonts w:cs="Times New Roman"/>
          <w:i w:val="0"/>
          <w:color w:val="auto"/>
        </w:rPr>
      </w:pPr>
      <w:r w:rsidRPr="00DE3248">
        <w:rPr>
          <w:b/>
          <w:i w:val="0"/>
          <w:color w:val="auto"/>
        </w:rPr>
        <w:t>Figure S</w:t>
      </w:r>
      <w:r w:rsidRPr="00DE3248">
        <w:rPr>
          <w:b/>
          <w:i w:val="0"/>
          <w:color w:val="auto"/>
          <w:vertAlign w:val="subscript"/>
        </w:rPr>
        <w:t>4</w:t>
      </w:r>
      <w:r w:rsidRPr="00DE3248">
        <w:rPr>
          <w:b/>
          <w:i w:val="0"/>
          <w:color w:val="auto"/>
        </w:rPr>
        <w:t>-</w:t>
      </w:r>
      <w:r w:rsidRPr="00DE3248">
        <w:rPr>
          <w:b/>
          <w:i w:val="0"/>
          <w:color w:val="auto"/>
        </w:rPr>
        <w:fldChar w:fldCharType="begin"/>
      </w:r>
      <w:r w:rsidRPr="00DE3248">
        <w:rPr>
          <w:b/>
          <w:i w:val="0"/>
          <w:color w:val="auto"/>
        </w:rPr>
        <w:instrText xml:space="preserve"> SEQ Figure_S4 \* ARABIC </w:instrText>
      </w:r>
      <w:r w:rsidRPr="00DE3248">
        <w:rPr>
          <w:b/>
          <w:i w:val="0"/>
          <w:color w:val="auto"/>
        </w:rPr>
        <w:fldChar w:fldCharType="separate"/>
      </w:r>
      <w:r w:rsidR="00A53EF9" w:rsidRPr="00DE3248">
        <w:rPr>
          <w:b/>
          <w:i w:val="0"/>
          <w:noProof/>
          <w:color w:val="auto"/>
        </w:rPr>
        <w:t>3</w:t>
      </w:r>
      <w:r w:rsidRPr="00DE3248">
        <w:rPr>
          <w:b/>
          <w:i w:val="0"/>
          <w:color w:val="auto"/>
        </w:rPr>
        <w:fldChar w:fldCharType="end"/>
      </w:r>
      <w:r w:rsidRPr="00DE3248">
        <w:rPr>
          <w:i w:val="0"/>
          <w:color w:val="auto"/>
        </w:rPr>
        <w:t xml:space="preserve">. </w:t>
      </w:r>
      <w:r w:rsidRPr="00DE3248">
        <w:rPr>
          <w:rFonts w:cs="Times New Roman"/>
          <w:i w:val="0"/>
          <w:color w:val="000000" w:themeColor="text1"/>
        </w:rPr>
        <w:t>Multiple scatter and regression c</w:t>
      </w:r>
      <w:r w:rsidR="009016B8" w:rsidRPr="00DE3248">
        <w:rPr>
          <w:rFonts w:cs="Times New Roman"/>
          <w:i w:val="0"/>
          <w:color w:val="000000" w:themeColor="text1"/>
        </w:rPr>
        <w:t>oefficient for correlation “static</w:t>
      </w:r>
      <w:r w:rsidR="009F791B" w:rsidRPr="00DE3248">
        <w:rPr>
          <w:rFonts w:cs="Times New Roman"/>
          <w:i w:val="0"/>
          <w:color w:val="000000" w:themeColor="text1"/>
        </w:rPr>
        <w:t xml:space="preserve">” powder flow parameters </w:t>
      </w:r>
      <w:r w:rsidRPr="00DE3248">
        <w:rPr>
          <w:rFonts w:cs="Times New Roman"/>
          <w:i w:val="0"/>
          <w:color w:val="000000" w:themeColor="text1"/>
        </w:rPr>
        <w:t>(a) FF, (b) cohesion, (c) WFA (</w:t>
      </w:r>
      <w:r w:rsidRPr="00DE3248">
        <w:rPr>
          <w:rFonts w:cs="Times New Roman"/>
          <w:i w:val="0"/>
          <w:color w:val="000000" w:themeColor="text1"/>
          <w:vertAlign w:val="superscript"/>
        </w:rPr>
        <w:t>o</w:t>
      </w:r>
      <w:r w:rsidRPr="00DE3248">
        <w:rPr>
          <w:rFonts w:cs="Times New Roman"/>
          <w:i w:val="0"/>
          <w:color w:val="000000" w:themeColor="text1"/>
        </w:rPr>
        <w:t>) and (d) WFA (O) (</w:t>
      </w:r>
      <w:r w:rsidRPr="00DE3248">
        <w:rPr>
          <w:rFonts w:cs="Times New Roman"/>
          <w:i w:val="0"/>
          <w:color w:val="000000" w:themeColor="text1"/>
          <w:vertAlign w:val="superscript"/>
        </w:rPr>
        <w:t>o</w:t>
      </w:r>
      <w:r w:rsidRPr="00DE3248">
        <w:rPr>
          <w:rFonts w:cs="Times New Roman"/>
          <w:i w:val="0"/>
          <w:color w:val="000000" w:themeColor="text1"/>
        </w:rPr>
        <w:t xml:space="preserve">) </w:t>
      </w:r>
      <w:r w:rsidR="009F791B" w:rsidRPr="00DE3248">
        <w:rPr>
          <w:rFonts w:cs="Times New Roman"/>
          <w:i w:val="0"/>
          <w:color w:val="000000" w:themeColor="text1"/>
        </w:rPr>
        <w:t>with</w:t>
      </w:r>
      <w:r w:rsidRPr="00DE3248">
        <w:rPr>
          <w:rFonts w:cs="Times New Roman"/>
          <w:i w:val="0"/>
          <w:color w:val="000000" w:themeColor="text1"/>
        </w:rPr>
        <w:t xml:space="preserve"> particle size distribution descriptors (d50, D [3,2], D [4,3], SSA, d90-d10 and Span) of </w:t>
      </w:r>
      <w:r w:rsidRPr="00DE3248">
        <w:rPr>
          <w:rFonts w:cs="Times New Roman"/>
          <w:i w:val="0"/>
          <w:color w:val="auto"/>
        </w:rPr>
        <w:t>IBU and MCC binary mixtures</w:t>
      </w:r>
    </w:p>
    <w:p w:rsidR="00AC73F7" w:rsidRPr="00DE3248" w:rsidRDefault="00AC73F7" w:rsidP="00AC73F7">
      <w:pPr>
        <w:pStyle w:val="Caption"/>
        <w:keepNext/>
        <w:sectPr w:rsidR="00AC73F7" w:rsidRPr="00DE3248" w:rsidSect="000214F8">
          <w:footerReference w:type="first" r:id="rId28"/>
          <w:pgSz w:w="12240" w:h="15840"/>
          <w:pgMar w:top="1440" w:right="1440" w:bottom="1440" w:left="1440" w:header="720" w:footer="720" w:gutter="0"/>
          <w:pgNumType w:start="1"/>
          <w:cols w:space="720"/>
          <w:titlePg/>
          <w:docGrid w:linePitch="360"/>
        </w:sectPr>
      </w:pPr>
    </w:p>
    <w:p w:rsidR="00AC73F7" w:rsidRPr="00DE3248" w:rsidRDefault="00AC73F7" w:rsidP="00E81AD4">
      <w:pPr>
        <w:pStyle w:val="Caption"/>
        <w:keepNext/>
        <w:spacing w:line="480" w:lineRule="auto"/>
        <w:rPr>
          <w:i w:val="0"/>
          <w:color w:val="auto"/>
        </w:rPr>
      </w:pPr>
      <w:r w:rsidRPr="00DE3248">
        <w:rPr>
          <w:b/>
          <w:i w:val="0"/>
          <w:color w:val="auto"/>
        </w:rPr>
        <w:lastRenderedPageBreak/>
        <w:t>Table S</w:t>
      </w:r>
      <w:r w:rsidRPr="00DE3248">
        <w:rPr>
          <w:b/>
          <w:i w:val="0"/>
          <w:color w:val="auto"/>
          <w:vertAlign w:val="subscript"/>
        </w:rPr>
        <w:t>4</w:t>
      </w:r>
      <w:r w:rsidRPr="00DE3248">
        <w:rPr>
          <w:b/>
          <w:i w:val="0"/>
          <w:color w:val="auto"/>
        </w:rPr>
        <w:t>-</w:t>
      </w:r>
      <w:r w:rsidRPr="00DE3248">
        <w:rPr>
          <w:b/>
          <w:i w:val="0"/>
          <w:color w:val="auto"/>
        </w:rPr>
        <w:fldChar w:fldCharType="begin"/>
      </w:r>
      <w:r w:rsidRPr="00DE3248">
        <w:rPr>
          <w:b/>
          <w:i w:val="0"/>
          <w:color w:val="auto"/>
        </w:rPr>
        <w:instrText xml:space="preserve"> SEQ Table_S4 \* ARABIC </w:instrText>
      </w:r>
      <w:r w:rsidRPr="00DE3248">
        <w:rPr>
          <w:b/>
          <w:i w:val="0"/>
          <w:color w:val="auto"/>
        </w:rPr>
        <w:fldChar w:fldCharType="separate"/>
      </w:r>
      <w:r w:rsidRPr="00DE3248">
        <w:rPr>
          <w:b/>
          <w:i w:val="0"/>
          <w:noProof/>
          <w:color w:val="auto"/>
        </w:rPr>
        <w:t>2</w:t>
      </w:r>
      <w:r w:rsidRPr="00DE3248">
        <w:rPr>
          <w:b/>
          <w:i w:val="0"/>
          <w:color w:val="auto"/>
        </w:rPr>
        <w:fldChar w:fldCharType="end"/>
      </w:r>
      <w:r w:rsidRPr="00DE3248">
        <w:rPr>
          <w:i w:val="0"/>
          <w:color w:val="auto"/>
        </w:rPr>
        <w:t xml:space="preserve">. </w:t>
      </w:r>
      <w:r w:rsidR="00387502" w:rsidRPr="00DE3248">
        <w:rPr>
          <w:i w:val="0"/>
          <w:color w:val="auto"/>
        </w:rPr>
        <w:t xml:space="preserve">ANOVA table for </w:t>
      </w:r>
      <w:r w:rsidR="00E81AD4" w:rsidRPr="00DE3248">
        <w:rPr>
          <w:i w:val="0"/>
          <w:color w:val="auto"/>
        </w:rPr>
        <w:t>MLR models for binary mixture of ibuprofe</w:t>
      </w:r>
      <w:r w:rsidR="009016B8" w:rsidRPr="00DE3248">
        <w:rPr>
          <w:i w:val="0"/>
          <w:color w:val="auto"/>
        </w:rPr>
        <w:t>n and MCC for predicting static</w:t>
      </w:r>
      <w:r w:rsidR="00E81AD4" w:rsidRPr="00DE3248">
        <w:rPr>
          <w:i w:val="0"/>
          <w:color w:val="auto"/>
        </w:rPr>
        <w:t xml:space="preserve"> powder flow parameters, WFA(O) (o), WFA (o), cohesion (kPa) and FF from particle size distribution data (d50 (µm), D [3,2] (µm), D [4,3] (µm) and SSA (m</w:t>
      </w:r>
      <w:r w:rsidR="00E81AD4" w:rsidRPr="00DE3248">
        <w:rPr>
          <w:i w:val="0"/>
          <w:color w:val="auto"/>
          <w:vertAlign w:val="superscript"/>
        </w:rPr>
        <w:t>2</w:t>
      </w:r>
      <w:r w:rsidR="00E81AD4" w:rsidRPr="00DE3248">
        <w:rPr>
          <w:i w:val="0"/>
          <w:color w:val="auto"/>
        </w:rPr>
        <w:t>/g)).</w:t>
      </w:r>
    </w:p>
    <w:tbl>
      <w:tblPr>
        <w:tblW w:w="5000" w:type="pct"/>
        <w:tblLook w:val="04A0" w:firstRow="1" w:lastRow="0" w:firstColumn="1" w:lastColumn="0" w:noHBand="0" w:noVBand="1"/>
      </w:tblPr>
      <w:tblGrid>
        <w:gridCol w:w="1511"/>
        <w:gridCol w:w="1135"/>
        <w:gridCol w:w="402"/>
        <w:gridCol w:w="1547"/>
        <w:gridCol w:w="949"/>
        <w:gridCol w:w="329"/>
        <w:gridCol w:w="1287"/>
        <w:gridCol w:w="1026"/>
        <w:gridCol w:w="363"/>
        <w:gridCol w:w="1394"/>
        <w:gridCol w:w="990"/>
        <w:gridCol w:w="513"/>
        <w:gridCol w:w="1504"/>
      </w:tblGrid>
      <w:tr w:rsidR="00B979F4" w:rsidRPr="00DE3248" w:rsidTr="00887DD3">
        <w:trPr>
          <w:trHeight w:val="485"/>
        </w:trPr>
        <w:tc>
          <w:tcPr>
            <w:tcW w:w="563"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Summary Model</w:t>
            </w:r>
          </w:p>
        </w:tc>
        <w:tc>
          <w:tcPr>
            <w:tcW w:w="441" w:type="pct"/>
            <w:tcBorders>
              <w:top w:val="single" w:sz="4" w:space="0" w:color="auto"/>
              <w:left w:val="nil"/>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p value</w:t>
            </w:r>
          </w:p>
        </w:tc>
        <w:tc>
          <w:tcPr>
            <w:tcW w:w="75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B-coefficients</w:t>
            </w:r>
          </w:p>
        </w:tc>
        <w:tc>
          <w:tcPr>
            <w:tcW w:w="36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p value</w:t>
            </w:r>
          </w:p>
        </w:tc>
        <w:tc>
          <w:tcPr>
            <w:tcW w:w="62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B-coefficients</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p value</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B-coefficients</w:t>
            </w:r>
          </w:p>
        </w:tc>
        <w:tc>
          <w:tcPr>
            <w:tcW w:w="3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p value</w:t>
            </w:r>
          </w:p>
        </w:tc>
        <w:tc>
          <w:tcPr>
            <w:tcW w:w="779"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B-coefficients</w:t>
            </w:r>
          </w:p>
        </w:tc>
      </w:tr>
      <w:tr w:rsidR="00D65E41" w:rsidRPr="00DE3248" w:rsidTr="00AC73F7">
        <w:trPr>
          <w:trHeight w:val="300"/>
        </w:trPr>
        <w:tc>
          <w:tcPr>
            <w:tcW w:w="563" w:type="pct"/>
            <w:vMerge/>
            <w:tcBorders>
              <w:top w:val="single" w:sz="4" w:space="0" w:color="auto"/>
              <w:left w:val="single" w:sz="4" w:space="0" w:color="auto"/>
              <w:bottom w:val="single" w:sz="4" w:space="0" w:color="000000"/>
              <w:right w:val="single" w:sz="4" w:space="0" w:color="auto"/>
            </w:tcBorders>
            <w:vAlign w:val="center"/>
            <w:hideMark/>
          </w:tcPr>
          <w:p w:rsidR="00831251" w:rsidRPr="00DE3248" w:rsidRDefault="00831251" w:rsidP="00B979F4">
            <w:pPr>
              <w:spacing w:before="120" w:after="120" w:line="480" w:lineRule="auto"/>
              <w:rPr>
                <w:rFonts w:eastAsia="Times New Roman" w:cs="Times New Roman"/>
                <w:b/>
                <w:bCs/>
                <w:color w:val="000000"/>
                <w:sz w:val="18"/>
                <w:szCs w:val="18"/>
                <w:lang w:val="en-US"/>
              </w:rPr>
            </w:pPr>
          </w:p>
        </w:tc>
        <w:tc>
          <w:tcPr>
            <w:tcW w:w="1199" w:type="pct"/>
            <w:gridSpan w:val="3"/>
            <w:tcBorders>
              <w:top w:val="single" w:sz="4" w:space="0" w:color="auto"/>
              <w:left w:val="nil"/>
              <w:bottom w:val="nil"/>
              <w:right w:val="single" w:sz="4" w:space="0" w:color="000000"/>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xml:space="preserve">Cohesion </w:t>
            </w:r>
            <w:r w:rsidRPr="00DE3248">
              <w:rPr>
                <w:rFonts w:eastAsia="Times New Roman" w:cs="Times New Roman"/>
                <w:bCs/>
                <w:color w:val="000000"/>
                <w:sz w:val="18"/>
                <w:szCs w:val="18"/>
                <w:lang w:val="en-US"/>
              </w:rPr>
              <w:t>(Multiple Correlation= 0.99)</w:t>
            </w:r>
          </w:p>
        </w:tc>
        <w:tc>
          <w:tcPr>
            <w:tcW w:w="997" w:type="pct"/>
            <w:gridSpan w:val="3"/>
            <w:tcBorders>
              <w:top w:val="single" w:sz="4" w:space="0" w:color="auto"/>
              <w:left w:val="nil"/>
              <w:bottom w:val="nil"/>
              <w:right w:val="single" w:sz="4" w:space="0" w:color="000000"/>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xml:space="preserve">FF </w:t>
            </w:r>
            <w:r w:rsidRPr="00DE3248">
              <w:rPr>
                <w:rFonts w:eastAsia="Times New Roman" w:cs="Times New Roman"/>
                <w:bCs/>
                <w:color w:val="000000"/>
                <w:sz w:val="18"/>
                <w:szCs w:val="18"/>
                <w:lang w:val="en-US"/>
              </w:rPr>
              <w:t>(Multiple Correlation= 0.86)</w:t>
            </w:r>
          </w:p>
        </w:tc>
        <w:tc>
          <w:tcPr>
            <w:tcW w:w="1080" w:type="pct"/>
            <w:gridSpan w:val="3"/>
            <w:tcBorders>
              <w:top w:val="single" w:sz="4" w:space="0" w:color="auto"/>
              <w:left w:val="nil"/>
              <w:bottom w:val="nil"/>
              <w:right w:val="single" w:sz="4" w:space="0" w:color="000000"/>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xml:space="preserve">WFA </w:t>
            </w:r>
            <w:r w:rsidRPr="00DE3248">
              <w:rPr>
                <w:rFonts w:eastAsia="Times New Roman" w:cs="Times New Roman"/>
                <w:bCs/>
                <w:color w:val="000000"/>
                <w:sz w:val="18"/>
                <w:szCs w:val="18"/>
                <w:lang w:val="en-US"/>
              </w:rPr>
              <w:t>(Multiple Correlation= 0.99)</w:t>
            </w:r>
          </w:p>
        </w:tc>
        <w:tc>
          <w:tcPr>
            <w:tcW w:w="1161" w:type="pct"/>
            <w:gridSpan w:val="3"/>
            <w:tcBorders>
              <w:top w:val="single" w:sz="4" w:space="0" w:color="auto"/>
              <w:left w:val="nil"/>
              <w:bottom w:val="nil"/>
              <w:right w:val="single" w:sz="4" w:space="0" w:color="000000"/>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 xml:space="preserve">WFA(O) </w:t>
            </w:r>
            <w:r w:rsidRPr="00DE3248">
              <w:rPr>
                <w:rFonts w:eastAsia="Times New Roman" w:cs="Times New Roman"/>
                <w:bCs/>
                <w:color w:val="000000"/>
                <w:sz w:val="18"/>
                <w:szCs w:val="18"/>
                <w:lang w:val="en-US"/>
              </w:rPr>
              <w:t>(Multiple Correlation= 0.99)</w:t>
            </w:r>
          </w:p>
        </w:tc>
      </w:tr>
      <w:tr w:rsidR="00AC73F7" w:rsidRPr="00DE3248" w:rsidTr="00AC73F7">
        <w:trPr>
          <w:trHeight w:val="269"/>
        </w:trPr>
        <w:tc>
          <w:tcPr>
            <w:tcW w:w="563" w:type="pct"/>
            <w:vMerge/>
            <w:tcBorders>
              <w:top w:val="single" w:sz="4" w:space="0" w:color="auto"/>
              <w:left w:val="single" w:sz="4" w:space="0" w:color="auto"/>
              <w:bottom w:val="single" w:sz="4" w:space="0" w:color="000000"/>
              <w:right w:val="single" w:sz="4" w:space="0" w:color="auto"/>
            </w:tcBorders>
            <w:vAlign w:val="center"/>
            <w:hideMark/>
          </w:tcPr>
          <w:p w:rsidR="00AC73F7" w:rsidRPr="00DE3248" w:rsidRDefault="00AC73F7" w:rsidP="00B979F4">
            <w:pPr>
              <w:spacing w:before="120" w:after="120" w:line="480" w:lineRule="auto"/>
              <w:rPr>
                <w:rFonts w:eastAsia="Times New Roman" w:cs="Times New Roman"/>
                <w:b/>
                <w:bCs/>
                <w:color w:val="000000"/>
                <w:sz w:val="18"/>
                <w:szCs w:val="18"/>
                <w:lang w:val="en-US"/>
              </w:rPr>
            </w:pPr>
          </w:p>
        </w:tc>
        <w:tc>
          <w:tcPr>
            <w:tcW w:w="599" w:type="pct"/>
            <w:gridSpan w:val="2"/>
            <w:tcBorders>
              <w:top w:val="single" w:sz="4" w:space="0" w:color="auto"/>
              <w:left w:val="nil"/>
              <w:bottom w:val="single" w:sz="4" w:space="0" w:color="auto"/>
              <w:right w:val="single" w:sz="4" w:space="0" w:color="auto"/>
            </w:tcBorders>
            <w:shd w:val="clear" w:color="auto" w:fill="auto"/>
            <w:noWrap/>
            <w:vAlign w:val="bottom"/>
            <w:hideMark/>
          </w:tcPr>
          <w:p w:rsidR="00AC73F7" w:rsidRPr="00DE3248" w:rsidRDefault="00AC73F7" w:rsidP="00B979F4">
            <w:pPr>
              <w:spacing w:before="120" w:after="12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9.07E-08</w:t>
            </w:r>
          </w:p>
        </w:tc>
        <w:tc>
          <w:tcPr>
            <w:tcW w:w="600" w:type="pct"/>
            <w:tcBorders>
              <w:top w:val="single" w:sz="4" w:space="0" w:color="auto"/>
              <w:left w:val="nil"/>
              <w:bottom w:val="single" w:sz="4" w:space="0" w:color="auto"/>
              <w:right w:val="single" w:sz="4" w:space="0" w:color="auto"/>
            </w:tcBorders>
            <w:shd w:val="clear" w:color="auto" w:fill="auto"/>
            <w:vAlign w:val="bottom"/>
          </w:tcPr>
          <w:p w:rsidR="00AC73F7" w:rsidRPr="00DE3248" w:rsidRDefault="00AC73F7" w:rsidP="00B979F4">
            <w:pPr>
              <w:spacing w:before="120" w:after="120" w:line="480" w:lineRule="auto"/>
              <w:rPr>
                <w:rFonts w:eastAsia="Times New Roman" w:cs="Times New Roman"/>
                <w:color w:val="000000"/>
                <w:sz w:val="18"/>
                <w:szCs w:val="18"/>
                <w:lang w:val="en-US"/>
              </w:rPr>
            </w:pPr>
          </w:p>
        </w:tc>
        <w:tc>
          <w:tcPr>
            <w:tcW w:w="498" w:type="pct"/>
            <w:gridSpan w:val="2"/>
            <w:tcBorders>
              <w:top w:val="single" w:sz="4" w:space="0" w:color="auto"/>
              <w:left w:val="nil"/>
              <w:bottom w:val="single" w:sz="4" w:space="0" w:color="auto"/>
              <w:right w:val="single" w:sz="4" w:space="0" w:color="auto"/>
            </w:tcBorders>
            <w:shd w:val="clear" w:color="auto" w:fill="auto"/>
            <w:noWrap/>
            <w:vAlign w:val="bottom"/>
            <w:hideMark/>
          </w:tcPr>
          <w:p w:rsidR="00AC73F7" w:rsidRPr="00DE3248" w:rsidRDefault="00AC73F7" w:rsidP="00B979F4">
            <w:pPr>
              <w:spacing w:before="120" w:after="12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0.005</w:t>
            </w:r>
          </w:p>
        </w:tc>
        <w:tc>
          <w:tcPr>
            <w:tcW w:w="499" w:type="pct"/>
            <w:tcBorders>
              <w:top w:val="single" w:sz="4" w:space="0" w:color="auto"/>
              <w:left w:val="nil"/>
              <w:bottom w:val="single" w:sz="4" w:space="0" w:color="auto"/>
              <w:right w:val="single" w:sz="4" w:space="0" w:color="auto"/>
            </w:tcBorders>
            <w:shd w:val="clear" w:color="auto" w:fill="auto"/>
            <w:vAlign w:val="bottom"/>
          </w:tcPr>
          <w:p w:rsidR="00AC73F7" w:rsidRPr="00DE3248" w:rsidRDefault="00AC73F7" w:rsidP="00B979F4">
            <w:pPr>
              <w:spacing w:before="120" w:after="120" w:line="480" w:lineRule="auto"/>
              <w:rPr>
                <w:rFonts w:eastAsia="Times New Roman" w:cs="Times New Roman"/>
                <w:color w:val="000000"/>
                <w:sz w:val="18"/>
                <w:szCs w:val="18"/>
                <w:lang w:val="en-US"/>
              </w:rPr>
            </w:pPr>
          </w:p>
        </w:tc>
        <w:tc>
          <w:tcPr>
            <w:tcW w:w="540" w:type="pct"/>
            <w:gridSpan w:val="2"/>
            <w:tcBorders>
              <w:top w:val="single" w:sz="4" w:space="0" w:color="auto"/>
              <w:left w:val="nil"/>
              <w:bottom w:val="single" w:sz="4" w:space="0" w:color="auto"/>
              <w:right w:val="single" w:sz="4" w:space="0" w:color="auto"/>
            </w:tcBorders>
            <w:shd w:val="clear" w:color="auto" w:fill="auto"/>
            <w:noWrap/>
            <w:vAlign w:val="bottom"/>
            <w:hideMark/>
          </w:tcPr>
          <w:p w:rsidR="00AC73F7" w:rsidRPr="00DE3248" w:rsidRDefault="00AC73F7" w:rsidP="00B979F4">
            <w:pPr>
              <w:spacing w:before="120" w:after="12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8.2E-09</w:t>
            </w:r>
          </w:p>
        </w:tc>
        <w:tc>
          <w:tcPr>
            <w:tcW w:w="540" w:type="pct"/>
            <w:tcBorders>
              <w:top w:val="single" w:sz="4" w:space="0" w:color="auto"/>
              <w:left w:val="nil"/>
              <w:bottom w:val="single" w:sz="4" w:space="0" w:color="auto"/>
              <w:right w:val="single" w:sz="4" w:space="0" w:color="auto"/>
            </w:tcBorders>
            <w:shd w:val="clear" w:color="auto" w:fill="auto"/>
            <w:vAlign w:val="bottom"/>
          </w:tcPr>
          <w:p w:rsidR="00AC73F7" w:rsidRPr="00DE3248" w:rsidRDefault="00AC73F7" w:rsidP="00B979F4">
            <w:pPr>
              <w:spacing w:before="120" w:after="120" w:line="480" w:lineRule="auto"/>
              <w:rPr>
                <w:rFonts w:eastAsia="Times New Roman" w:cs="Times New Roman"/>
                <w:color w:val="000000"/>
                <w:sz w:val="18"/>
                <w:szCs w:val="18"/>
                <w:lang w:val="en-US"/>
              </w:rPr>
            </w:pPr>
          </w:p>
        </w:tc>
        <w:tc>
          <w:tcPr>
            <w:tcW w:w="580" w:type="pct"/>
            <w:gridSpan w:val="2"/>
            <w:tcBorders>
              <w:top w:val="single" w:sz="4" w:space="0" w:color="auto"/>
              <w:left w:val="nil"/>
              <w:bottom w:val="single" w:sz="4" w:space="0" w:color="auto"/>
              <w:right w:val="single" w:sz="4" w:space="0" w:color="auto"/>
            </w:tcBorders>
            <w:shd w:val="clear" w:color="auto" w:fill="auto"/>
            <w:noWrap/>
            <w:vAlign w:val="bottom"/>
            <w:hideMark/>
          </w:tcPr>
          <w:p w:rsidR="00AC73F7" w:rsidRPr="00DE3248" w:rsidRDefault="00AC73F7" w:rsidP="00B979F4">
            <w:pPr>
              <w:spacing w:before="120" w:after="120" w:line="480" w:lineRule="auto"/>
              <w:rPr>
                <w:rFonts w:eastAsia="Times New Roman" w:cs="Times New Roman"/>
                <w:color w:val="000000"/>
                <w:sz w:val="18"/>
                <w:szCs w:val="18"/>
                <w:lang w:val="en-US"/>
              </w:rPr>
            </w:pPr>
            <w:r w:rsidRPr="00DE3248">
              <w:rPr>
                <w:rFonts w:eastAsia="Times New Roman" w:cs="Times New Roman"/>
                <w:color w:val="000000"/>
                <w:sz w:val="18"/>
                <w:szCs w:val="18"/>
                <w:lang w:val="en-US"/>
              </w:rPr>
              <w:t>4.83E-08</w:t>
            </w:r>
          </w:p>
        </w:tc>
        <w:tc>
          <w:tcPr>
            <w:tcW w:w="581" w:type="pct"/>
            <w:tcBorders>
              <w:top w:val="single" w:sz="4" w:space="0" w:color="auto"/>
              <w:left w:val="nil"/>
              <w:bottom w:val="single" w:sz="4" w:space="0" w:color="auto"/>
              <w:right w:val="single" w:sz="4" w:space="0" w:color="auto"/>
            </w:tcBorders>
            <w:shd w:val="clear" w:color="auto" w:fill="auto"/>
            <w:vAlign w:val="bottom"/>
          </w:tcPr>
          <w:p w:rsidR="00AC73F7" w:rsidRPr="00DE3248" w:rsidRDefault="00AC73F7" w:rsidP="00B979F4">
            <w:pPr>
              <w:spacing w:before="120" w:after="120" w:line="480" w:lineRule="auto"/>
              <w:rPr>
                <w:rFonts w:eastAsia="Times New Roman" w:cs="Times New Roman"/>
                <w:color w:val="000000"/>
                <w:sz w:val="18"/>
                <w:szCs w:val="18"/>
                <w:lang w:val="en-US"/>
              </w:rPr>
            </w:pPr>
          </w:p>
        </w:tc>
      </w:tr>
      <w:tr w:rsidR="00831251" w:rsidRPr="00DE3248" w:rsidTr="00AC73F7">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000000" w:fill="EEECE1"/>
            <w:noWrap/>
            <w:vAlign w:val="bottom"/>
            <w:hideMark/>
          </w:tcPr>
          <w:p w:rsidR="00831251" w:rsidRPr="00DE3248" w:rsidRDefault="00831251" w:rsidP="00B979F4">
            <w:pPr>
              <w:spacing w:before="120" w:after="120" w:line="480" w:lineRule="auto"/>
              <w:jc w:val="center"/>
              <w:rPr>
                <w:rFonts w:eastAsia="Times New Roman" w:cs="Times New Roman"/>
                <w:b/>
                <w:bCs/>
                <w:color w:val="000000"/>
                <w:sz w:val="18"/>
                <w:szCs w:val="18"/>
                <w:lang w:val="en-US"/>
              </w:rPr>
            </w:pPr>
            <w:r w:rsidRPr="00DE3248">
              <w:rPr>
                <w:rFonts w:eastAsia="Times New Roman" w:cs="Times New Roman"/>
                <w:b/>
                <w:bCs/>
                <w:color w:val="000000"/>
                <w:sz w:val="18"/>
                <w:szCs w:val="18"/>
                <w:lang w:val="en-US"/>
              </w:rPr>
              <w:t>Variables</w:t>
            </w:r>
          </w:p>
        </w:tc>
      </w:tr>
      <w:tr w:rsidR="00B979F4" w:rsidRPr="00DE3248" w:rsidTr="00AC73F7">
        <w:trPr>
          <w:trHeight w:val="300"/>
        </w:trPr>
        <w:tc>
          <w:tcPr>
            <w:tcW w:w="563" w:type="pct"/>
            <w:tcBorders>
              <w:top w:val="nil"/>
              <w:left w:val="single" w:sz="4" w:space="0" w:color="auto"/>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Cs/>
                <w:color w:val="000000"/>
                <w:sz w:val="18"/>
                <w:szCs w:val="18"/>
                <w:lang w:val="en-US"/>
              </w:rPr>
            </w:pPr>
            <w:r w:rsidRPr="00DE3248">
              <w:rPr>
                <w:rFonts w:eastAsia="Times New Roman" w:cs="Times New Roman"/>
                <w:bCs/>
                <w:color w:val="000000"/>
                <w:sz w:val="18"/>
                <w:szCs w:val="18"/>
                <w:lang w:val="en-US"/>
              </w:rPr>
              <w:t>Intercept</w:t>
            </w:r>
          </w:p>
        </w:tc>
        <w:tc>
          <w:tcPr>
            <w:tcW w:w="441"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0.002</w:t>
            </w:r>
          </w:p>
        </w:tc>
        <w:tc>
          <w:tcPr>
            <w:tcW w:w="75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-1.490</w:t>
            </w:r>
          </w:p>
        </w:tc>
        <w:tc>
          <w:tcPr>
            <w:tcW w:w="369"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0.080</w:t>
            </w:r>
          </w:p>
        </w:tc>
        <w:tc>
          <w:tcPr>
            <w:tcW w:w="62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16.189</w:t>
            </w:r>
          </w:p>
        </w:tc>
        <w:tc>
          <w:tcPr>
            <w:tcW w:w="398"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0.431</w:t>
            </w:r>
          </w:p>
        </w:tc>
        <w:tc>
          <w:tcPr>
            <w:tcW w:w="682"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2.050</w:t>
            </w:r>
          </w:p>
        </w:tc>
        <w:tc>
          <w:tcPr>
            <w:tcW w:w="382"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0.047</w:t>
            </w:r>
          </w:p>
        </w:tc>
        <w:tc>
          <w:tcPr>
            <w:tcW w:w="779"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7.276</w:t>
            </w:r>
          </w:p>
        </w:tc>
      </w:tr>
      <w:tr w:rsidR="00B979F4" w:rsidRPr="00DE3248" w:rsidTr="00B979F4">
        <w:trPr>
          <w:trHeight w:val="360"/>
        </w:trPr>
        <w:tc>
          <w:tcPr>
            <w:tcW w:w="563" w:type="pct"/>
            <w:tcBorders>
              <w:top w:val="nil"/>
              <w:left w:val="single" w:sz="4" w:space="0" w:color="auto"/>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Cs/>
                <w:color w:val="000000"/>
                <w:sz w:val="18"/>
                <w:szCs w:val="18"/>
                <w:lang w:val="en-US"/>
              </w:rPr>
            </w:pPr>
            <w:r w:rsidRPr="00DE3248">
              <w:rPr>
                <w:rFonts w:eastAsia="Times New Roman" w:cs="Times New Roman"/>
                <w:bCs/>
                <w:color w:val="000000"/>
                <w:sz w:val="18"/>
                <w:szCs w:val="18"/>
                <w:lang w:val="en-US"/>
              </w:rPr>
              <w:t>d50 (µm)</w:t>
            </w:r>
          </w:p>
        </w:tc>
        <w:tc>
          <w:tcPr>
            <w:tcW w:w="441"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0.061</w:t>
            </w:r>
          </w:p>
        </w:tc>
        <w:tc>
          <w:tcPr>
            <w:tcW w:w="75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-0.009</w:t>
            </w:r>
          </w:p>
        </w:tc>
        <w:tc>
          <w:tcPr>
            <w:tcW w:w="369"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0.167</w:t>
            </w:r>
          </w:p>
        </w:tc>
        <w:tc>
          <w:tcPr>
            <w:tcW w:w="62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0.141</w:t>
            </w:r>
          </w:p>
        </w:tc>
        <w:tc>
          <w:tcPr>
            <w:tcW w:w="398"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0.031</w:t>
            </w:r>
          </w:p>
        </w:tc>
        <w:tc>
          <w:tcPr>
            <w:tcW w:w="682"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0.072</w:t>
            </w:r>
          </w:p>
        </w:tc>
        <w:tc>
          <w:tcPr>
            <w:tcW w:w="382"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0.549</w:t>
            </w:r>
          </w:p>
        </w:tc>
        <w:tc>
          <w:tcPr>
            <w:tcW w:w="779"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-0.023</w:t>
            </w:r>
          </w:p>
        </w:tc>
      </w:tr>
      <w:tr w:rsidR="00B979F4" w:rsidRPr="00DE3248" w:rsidTr="00AC73F7">
        <w:trPr>
          <w:trHeight w:val="300"/>
        </w:trPr>
        <w:tc>
          <w:tcPr>
            <w:tcW w:w="563" w:type="pct"/>
            <w:tcBorders>
              <w:top w:val="nil"/>
              <w:left w:val="single" w:sz="4" w:space="0" w:color="auto"/>
              <w:bottom w:val="nil"/>
              <w:right w:val="single" w:sz="4" w:space="0" w:color="auto"/>
            </w:tcBorders>
            <w:shd w:val="clear" w:color="auto" w:fill="auto"/>
            <w:noWrap/>
            <w:vAlign w:val="bottom"/>
            <w:hideMark/>
          </w:tcPr>
          <w:p w:rsidR="00831251" w:rsidRPr="00DE3248" w:rsidRDefault="00AC73F7" w:rsidP="00B979F4">
            <w:pPr>
              <w:spacing w:before="120" w:after="120" w:line="480" w:lineRule="auto"/>
              <w:rPr>
                <w:rFonts w:eastAsia="Times New Roman" w:cs="Times New Roman"/>
                <w:bCs/>
                <w:color w:val="000000"/>
                <w:sz w:val="18"/>
                <w:szCs w:val="18"/>
                <w:lang w:val="en-US"/>
              </w:rPr>
            </w:pPr>
            <w:r w:rsidRPr="00DE3248">
              <w:rPr>
                <w:rFonts w:eastAsia="Times New Roman" w:cs="Times New Roman"/>
                <w:bCs/>
                <w:color w:val="000000"/>
                <w:sz w:val="18"/>
                <w:szCs w:val="18"/>
                <w:lang w:val="en-US"/>
              </w:rPr>
              <w:t>D [</w:t>
            </w:r>
            <w:r w:rsidR="00831251" w:rsidRPr="00DE3248">
              <w:rPr>
                <w:rFonts w:eastAsia="Times New Roman" w:cs="Times New Roman"/>
                <w:bCs/>
                <w:color w:val="000000"/>
                <w:sz w:val="18"/>
                <w:szCs w:val="18"/>
                <w:lang w:val="en-US"/>
              </w:rPr>
              <w:t>3,2] (µm)</w:t>
            </w:r>
          </w:p>
        </w:tc>
        <w:tc>
          <w:tcPr>
            <w:tcW w:w="441"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0.795</w:t>
            </w:r>
          </w:p>
        </w:tc>
        <w:tc>
          <w:tcPr>
            <w:tcW w:w="75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-0.001</w:t>
            </w:r>
          </w:p>
        </w:tc>
        <w:tc>
          <w:tcPr>
            <w:tcW w:w="369"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0.321</w:t>
            </w:r>
          </w:p>
        </w:tc>
        <w:tc>
          <w:tcPr>
            <w:tcW w:w="62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0.085</w:t>
            </w:r>
          </w:p>
        </w:tc>
        <w:tc>
          <w:tcPr>
            <w:tcW w:w="398"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0.445</w:t>
            </w:r>
          </w:p>
        </w:tc>
        <w:tc>
          <w:tcPr>
            <w:tcW w:w="682"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0.020</w:t>
            </w:r>
          </w:p>
        </w:tc>
        <w:tc>
          <w:tcPr>
            <w:tcW w:w="382"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0.087</w:t>
            </w:r>
          </w:p>
        </w:tc>
        <w:tc>
          <w:tcPr>
            <w:tcW w:w="779"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-0.060</w:t>
            </w:r>
          </w:p>
        </w:tc>
      </w:tr>
      <w:tr w:rsidR="00B979F4" w:rsidRPr="00DE3248" w:rsidTr="00B979F4">
        <w:trPr>
          <w:trHeight w:val="252"/>
        </w:trPr>
        <w:tc>
          <w:tcPr>
            <w:tcW w:w="563" w:type="pct"/>
            <w:tcBorders>
              <w:top w:val="nil"/>
              <w:left w:val="single" w:sz="4" w:space="0" w:color="auto"/>
              <w:bottom w:val="nil"/>
              <w:right w:val="single" w:sz="4" w:space="0" w:color="auto"/>
            </w:tcBorders>
            <w:shd w:val="clear" w:color="auto" w:fill="auto"/>
            <w:noWrap/>
            <w:vAlign w:val="bottom"/>
            <w:hideMark/>
          </w:tcPr>
          <w:p w:rsidR="00831251" w:rsidRPr="00DE3248" w:rsidRDefault="00AC73F7" w:rsidP="00B979F4">
            <w:pPr>
              <w:spacing w:before="120" w:after="120" w:line="480" w:lineRule="auto"/>
              <w:rPr>
                <w:rFonts w:eastAsia="Times New Roman" w:cs="Times New Roman"/>
                <w:bCs/>
                <w:color w:val="000000"/>
                <w:sz w:val="18"/>
                <w:szCs w:val="18"/>
                <w:lang w:val="en-US"/>
              </w:rPr>
            </w:pPr>
            <w:r w:rsidRPr="00DE3248">
              <w:rPr>
                <w:rFonts w:eastAsia="Times New Roman" w:cs="Times New Roman"/>
                <w:bCs/>
                <w:color w:val="000000"/>
                <w:sz w:val="18"/>
                <w:szCs w:val="18"/>
                <w:lang w:val="en-US"/>
              </w:rPr>
              <w:t>D [</w:t>
            </w:r>
            <w:r w:rsidR="00831251" w:rsidRPr="00DE3248">
              <w:rPr>
                <w:rFonts w:eastAsia="Times New Roman" w:cs="Times New Roman"/>
                <w:bCs/>
                <w:color w:val="000000"/>
                <w:sz w:val="18"/>
                <w:szCs w:val="18"/>
                <w:lang w:val="en-US"/>
              </w:rPr>
              <w:t>4,3] (µm)</w:t>
            </w:r>
          </w:p>
        </w:tc>
        <w:tc>
          <w:tcPr>
            <w:tcW w:w="441"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0.003</w:t>
            </w:r>
          </w:p>
        </w:tc>
        <w:tc>
          <w:tcPr>
            <w:tcW w:w="75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0.019</w:t>
            </w:r>
          </w:p>
        </w:tc>
        <w:tc>
          <w:tcPr>
            <w:tcW w:w="369"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0.190</w:t>
            </w:r>
          </w:p>
        </w:tc>
        <w:tc>
          <w:tcPr>
            <w:tcW w:w="628"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-0.156</w:t>
            </w:r>
          </w:p>
        </w:tc>
        <w:tc>
          <w:tcPr>
            <w:tcW w:w="398"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0.068</w:t>
            </w:r>
          </w:p>
        </w:tc>
        <w:tc>
          <w:tcPr>
            <w:tcW w:w="682"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-0.068</w:t>
            </w:r>
          </w:p>
        </w:tc>
        <w:tc>
          <w:tcPr>
            <w:tcW w:w="382" w:type="pct"/>
            <w:tcBorders>
              <w:top w:val="nil"/>
              <w:left w:val="nil"/>
              <w:bottom w:val="nil"/>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0.655</w:t>
            </w:r>
          </w:p>
        </w:tc>
        <w:tc>
          <w:tcPr>
            <w:tcW w:w="779" w:type="pct"/>
            <w:gridSpan w:val="2"/>
            <w:tcBorders>
              <w:top w:val="nil"/>
              <w:left w:val="nil"/>
              <w:bottom w:val="nil"/>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0.020</w:t>
            </w:r>
          </w:p>
        </w:tc>
      </w:tr>
      <w:tr w:rsidR="00B979F4" w:rsidRPr="00DE3248" w:rsidTr="00AC73F7">
        <w:trPr>
          <w:trHeight w:val="279"/>
        </w:trPr>
        <w:tc>
          <w:tcPr>
            <w:tcW w:w="563" w:type="pct"/>
            <w:tcBorders>
              <w:top w:val="nil"/>
              <w:left w:val="single" w:sz="4" w:space="0" w:color="auto"/>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rPr>
                <w:rFonts w:eastAsia="Times New Roman" w:cs="Times New Roman"/>
                <w:bCs/>
                <w:color w:val="000000"/>
                <w:sz w:val="18"/>
                <w:szCs w:val="18"/>
                <w:lang w:val="en-US"/>
              </w:rPr>
            </w:pPr>
            <w:r w:rsidRPr="00DE3248">
              <w:rPr>
                <w:rFonts w:eastAsia="Times New Roman" w:cs="Times New Roman"/>
                <w:bCs/>
                <w:color w:val="000000"/>
                <w:sz w:val="18"/>
                <w:szCs w:val="18"/>
                <w:lang w:val="en-US"/>
              </w:rPr>
              <w:t>SSA (m</w:t>
            </w:r>
            <w:r w:rsidRPr="00DE3248">
              <w:rPr>
                <w:rFonts w:eastAsia="Times New Roman" w:cs="Times New Roman"/>
                <w:bCs/>
                <w:color w:val="000000"/>
                <w:sz w:val="18"/>
                <w:szCs w:val="18"/>
                <w:vertAlign w:val="superscript"/>
                <w:lang w:val="en-US"/>
              </w:rPr>
              <w:t>2</w:t>
            </w:r>
            <w:r w:rsidRPr="00DE3248">
              <w:rPr>
                <w:rFonts w:eastAsia="Times New Roman" w:cs="Times New Roman"/>
                <w:bCs/>
                <w:color w:val="000000"/>
                <w:sz w:val="18"/>
                <w:szCs w:val="18"/>
                <w:lang w:val="en-US"/>
              </w:rPr>
              <w:t>/g)</w:t>
            </w:r>
          </w:p>
        </w:tc>
        <w:tc>
          <w:tcPr>
            <w:tcW w:w="441" w:type="pct"/>
            <w:tcBorders>
              <w:top w:val="nil"/>
              <w:left w:val="nil"/>
              <w:bottom w:val="single" w:sz="4" w:space="0" w:color="auto"/>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0.000</w:t>
            </w:r>
          </w:p>
        </w:tc>
        <w:tc>
          <w:tcPr>
            <w:tcW w:w="758" w:type="pct"/>
            <w:gridSpan w:val="2"/>
            <w:tcBorders>
              <w:top w:val="nil"/>
              <w:left w:val="nil"/>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2.728</w:t>
            </w:r>
          </w:p>
        </w:tc>
        <w:tc>
          <w:tcPr>
            <w:tcW w:w="369" w:type="pct"/>
            <w:tcBorders>
              <w:top w:val="nil"/>
              <w:left w:val="nil"/>
              <w:bottom w:val="single" w:sz="4" w:space="0" w:color="auto"/>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0.111</w:t>
            </w:r>
          </w:p>
        </w:tc>
        <w:tc>
          <w:tcPr>
            <w:tcW w:w="628" w:type="pct"/>
            <w:gridSpan w:val="2"/>
            <w:tcBorders>
              <w:top w:val="nil"/>
              <w:left w:val="nil"/>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-10.366</w:t>
            </w:r>
          </w:p>
        </w:tc>
        <w:tc>
          <w:tcPr>
            <w:tcW w:w="398" w:type="pct"/>
            <w:tcBorders>
              <w:top w:val="nil"/>
              <w:left w:val="nil"/>
              <w:bottom w:val="single" w:sz="4" w:space="0" w:color="auto"/>
              <w:right w:val="nil"/>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0.000</w:t>
            </w:r>
          </w:p>
        </w:tc>
        <w:tc>
          <w:tcPr>
            <w:tcW w:w="682" w:type="pct"/>
            <w:gridSpan w:val="2"/>
            <w:tcBorders>
              <w:top w:val="nil"/>
              <w:left w:val="nil"/>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right"/>
              <w:rPr>
                <w:rFonts w:eastAsia="Times New Roman" w:cs="Times New Roman"/>
                <w:color w:val="000000"/>
                <w:sz w:val="18"/>
                <w:szCs w:val="18"/>
                <w:lang w:val="en-US"/>
              </w:rPr>
            </w:pPr>
            <w:r w:rsidRPr="00DE3248">
              <w:rPr>
                <w:rFonts w:eastAsia="Times New Roman" w:cs="Times New Roman"/>
                <w:color w:val="000000"/>
                <w:sz w:val="18"/>
                <w:szCs w:val="18"/>
                <w:lang w:val="en-US"/>
              </w:rPr>
              <w:t>15.738</w:t>
            </w:r>
          </w:p>
        </w:tc>
        <w:tc>
          <w:tcPr>
            <w:tcW w:w="382" w:type="pct"/>
            <w:tcBorders>
              <w:top w:val="nil"/>
              <w:left w:val="nil"/>
              <w:bottom w:val="single" w:sz="4" w:space="0" w:color="auto"/>
              <w:right w:val="nil"/>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0.000</w:t>
            </w:r>
          </w:p>
        </w:tc>
        <w:tc>
          <w:tcPr>
            <w:tcW w:w="779" w:type="pct"/>
            <w:gridSpan w:val="2"/>
            <w:tcBorders>
              <w:top w:val="nil"/>
              <w:left w:val="nil"/>
              <w:bottom w:val="single" w:sz="4" w:space="0" w:color="auto"/>
              <w:right w:val="single" w:sz="4" w:space="0" w:color="auto"/>
            </w:tcBorders>
            <w:shd w:val="clear" w:color="auto" w:fill="auto"/>
            <w:noWrap/>
            <w:vAlign w:val="bottom"/>
            <w:hideMark/>
          </w:tcPr>
          <w:p w:rsidR="00831251" w:rsidRPr="00DE3248" w:rsidRDefault="00831251" w:rsidP="00B979F4">
            <w:pPr>
              <w:spacing w:before="120" w:after="120" w:line="480" w:lineRule="auto"/>
              <w:jc w:val="center"/>
              <w:rPr>
                <w:rFonts w:eastAsia="Times New Roman" w:cs="Times New Roman"/>
                <w:color w:val="000000"/>
                <w:sz w:val="18"/>
                <w:szCs w:val="18"/>
                <w:lang w:val="en-US"/>
              </w:rPr>
            </w:pPr>
            <w:r w:rsidRPr="00DE3248">
              <w:rPr>
                <w:rFonts w:eastAsia="Times New Roman" w:cs="Times New Roman"/>
                <w:color w:val="000000"/>
                <w:sz w:val="18"/>
                <w:szCs w:val="18"/>
                <w:lang w:val="en-US"/>
              </w:rPr>
              <w:t>14.520</w:t>
            </w:r>
          </w:p>
        </w:tc>
      </w:tr>
    </w:tbl>
    <w:p w:rsidR="00E75112" w:rsidRPr="00DE3248" w:rsidRDefault="00E75112" w:rsidP="00E75112">
      <w:pPr>
        <w:keepNext/>
        <w:spacing w:before="120" w:line="480" w:lineRule="auto"/>
        <w:rPr>
          <w:rFonts w:cs="Times New Roman"/>
          <w:b/>
          <w:szCs w:val="24"/>
        </w:rPr>
      </w:pPr>
    </w:p>
    <w:p w:rsidR="00E75112" w:rsidRPr="00DE3248" w:rsidRDefault="00E75112" w:rsidP="00E75112">
      <w:pPr>
        <w:keepNext/>
        <w:spacing w:before="120" w:line="480" w:lineRule="auto"/>
        <w:rPr>
          <w:rFonts w:cs="Times New Roman"/>
          <w:b/>
          <w:szCs w:val="24"/>
        </w:rPr>
      </w:pPr>
    </w:p>
    <w:p w:rsidR="00E75112" w:rsidRPr="00DE3248" w:rsidRDefault="00E75112" w:rsidP="00E75112">
      <w:pPr>
        <w:keepNext/>
        <w:spacing w:before="120" w:line="480" w:lineRule="auto"/>
        <w:rPr>
          <w:rFonts w:cs="Times New Roman"/>
          <w:b/>
          <w:szCs w:val="24"/>
        </w:rPr>
      </w:pPr>
    </w:p>
    <w:p w:rsidR="00AC73F7" w:rsidRPr="00DE3248" w:rsidRDefault="00AC73F7" w:rsidP="00AC73F7">
      <w:pPr>
        <w:rPr>
          <w:rFonts w:cs="Times New Roman"/>
          <w:b/>
          <w:szCs w:val="24"/>
        </w:rPr>
        <w:sectPr w:rsidR="00AC73F7" w:rsidRPr="00DE3248" w:rsidSect="00AC73F7">
          <w:pgSz w:w="15840" w:h="12240" w:orient="landscape"/>
          <w:pgMar w:top="1440" w:right="1440" w:bottom="1440" w:left="1440" w:header="720" w:footer="720" w:gutter="0"/>
          <w:cols w:space="720"/>
          <w:docGrid w:linePitch="360"/>
        </w:sectPr>
      </w:pPr>
    </w:p>
    <w:p w:rsidR="00E75112" w:rsidRPr="00DE3248" w:rsidRDefault="00E75112" w:rsidP="00AC73F7">
      <w:pPr>
        <w:rPr>
          <w:rFonts w:cs="Times New Roman"/>
          <w:b/>
          <w:szCs w:val="24"/>
        </w:rPr>
      </w:pPr>
      <w:r w:rsidRPr="00DE3248">
        <w:rPr>
          <w:rFonts w:cs="Times New Roman"/>
          <w:b/>
          <w:szCs w:val="24"/>
        </w:rPr>
        <w:lastRenderedPageBreak/>
        <w:t>S</w:t>
      </w:r>
      <w:r w:rsidRPr="00DE3248">
        <w:rPr>
          <w:rFonts w:cs="Times New Roman"/>
          <w:b/>
          <w:szCs w:val="24"/>
          <w:vertAlign w:val="subscript"/>
        </w:rPr>
        <w:t>5</w:t>
      </w:r>
      <w:r w:rsidRPr="00DE3248">
        <w:rPr>
          <w:rFonts w:cs="Times New Roman"/>
          <w:b/>
          <w:szCs w:val="24"/>
        </w:rPr>
        <w:t>. Compactability of IBU Powders and</w:t>
      </w:r>
      <w:r w:rsidR="00470D70" w:rsidRPr="00DE3248">
        <w:rPr>
          <w:rFonts w:cs="Times New Roman"/>
          <w:b/>
          <w:szCs w:val="24"/>
        </w:rPr>
        <w:t xml:space="preserve"> Tensile Strength of</w:t>
      </w:r>
      <w:r w:rsidRPr="00DE3248">
        <w:rPr>
          <w:rFonts w:cs="Times New Roman"/>
          <w:b/>
          <w:szCs w:val="24"/>
        </w:rPr>
        <w:t xml:space="preserve"> Tablet </w:t>
      </w:r>
    </w:p>
    <w:p w:rsidR="00627A96" w:rsidRPr="00DE3248" w:rsidRDefault="00E75112" w:rsidP="00627A96">
      <w:pPr>
        <w:keepNext/>
        <w:spacing w:before="120" w:after="120" w:line="480" w:lineRule="auto"/>
      </w:pPr>
      <w:r w:rsidRPr="00DE3248">
        <w:rPr>
          <w:rFonts w:cs="Times New Roman"/>
          <w:b/>
          <w:noProof/>
          <w:szCs w:val="24"/>
          <w:lang w:eastAsia="en-IE"/>
        </w:rPr>
        <w:drawing>
          <wp:inline distT="0" distB="0" distL="0" distR="0">
            <wp:extent cx="5486400" cy="2190750"/>
            <wp:effectExtent l="0" t="0" r="0" b="0"/>
            <wp:docPr id="21" name="Picture 21" descr="C:\Users\zelalem\Desktop\Manuscript MRA\Figures\FF Coh wall friction IBU and MCC\Final Figures IBU binary systems\Fig. compiled Heckel plot and Py with d5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elalem\Desktop\Manuscript MRA\Figures\FF Coh wall friction IBU and MCC\Final Figures IBU binary systems\Fig. compiled Heckel plot and Py with d50.tif"/>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86400" cy="2190750"/>
                    </a:xfrm>
                    <a:prstGeom prst="rect">
                      <a:avLst/>
                    </a:prstGeom>
                    <a:noFill/>
                    <a:ln>
                      <a:noFill/>
                    </a:ln>
                  </pic:spPr>
                </pic:pic>
              </a:graphicData>
            </a:graphic>
          </wp:inline>
        </w:drawing>
      </w:r>
    </w:p>
    <w:p w:rsidR="00E75112" w:rsidRPr="00DE3248" w:rsidRDefault="00627A96" w:rsidP="00392DDA">
      <w:pPr>
        <w:pStyle w:val="Caption"/>
        <w:spacing w:line="480" w:lineRule="auto"/>
        <w:rPr>
          <w:rFonts w:cs="Times New Roman"/>
          <w:i w:val="0"/>
          <w:color w:val="auto"/>
        </w:rPr>
      </w:pPr>
      <w:r w:rsidRPr="00DE3248">
        <w:rPr>
          <w:b/>
          <w:i w:val="0"/>
          <w:color w:val="auto"/>
        </w:rPr>
        <w:t>Figure S</w:t>
      </w:r>
      <w:r w:rsidRPr="00DE3248">
        <w:rPr>
          <w:b/>
          <w:i w:val="0"/>
          <w:color w:val="auto"/>
          <w:vertAlign w:val="subscript"/>
        </w:rPr>
        <w:t>5</w:t>
      </w:r>
      <w:r w:rsidRPr="00DE3248">
        <w:rPr>
          <w:b/>
          <w:i w:val="0"/>
          <w:color w:val="auto"/>
        </w:rPr>
        <w:t>-</w:t>
      </w:r>
      <w:r w:rsidRPr="00DE3248">
        <w:rPr>
          <w:b/>
          <w:i w:val="0"/>
          <w:color w:val="auto"/>
        </w:rPr>
        <w:fldChar w:fldCharType="begin"/>
      </w:r>
      <w:r w:rsidRPr="00DE3248">
        <w:rPr>
          <w:b/>
          <w:i w:val="0"/>
          <w:color w:val="auto"/>
        </w:rPr>
        <w:instrText xml:space="preserve"> SEQ Figure_S5 \* ARABIC </w:instrText>
      </w:r>
      <w:r w:rsidRPr="00DE3248">
        <w:rPr>
          <w:b/>
          <w:i w:val="0"/>
          <w:color w:val="auto"/>
        </w:rPr>
        <w:fldChar w:fldCharType="separate"/>
      </w:r>
      <w:r w:rsidR="006A624E" w:rsidRPr="00DE3248">
        <w:rPr>
          <w:b/>
          <w:i w:val="0"/>
          <w:noProof/>
          <w:color w:val="auto"/>
        </w:rPr>
        <w:t>1</w:t>
      </w:r>
      <w:r w:rsidRPr="00DE3248">
        <w:rPr>
          <w:b/>
          <w:i w:val="0"/>
          <w:color w:val="auto"/>
        </w:rPr>
        <w:fldChar w:fldCharType="end"/>
      </w:r>
      <w:r w:rsidRPr="00DE3248">
        <w:rPr>
          <w:i w:val="0"/>
          <w:color w:val="auto"/>
        </w:rPr>
        <w:t xml:space="preserve">. </w:t>
      </w:r>
      <w:r w:rsidR="00416250" w:rsidRPr="00DE3248">
        <w:rPr>
          <w:i w:val="0"/>
          <w:color w:val="auto"/>
        </w:rPr>
        <w:t>(a) z</w:t>
      </w:r>
      <w:r w:rsidR="00416250" w:rsidRPr="00DE3248">
        <w:rPr>
          <w:rFonts w:cs="Times New Roman"/>
          <w:i w:val="0"/>
          <w:color w:val="auto"/>
        </w:rPr>
        <w:t>ero pressure or “out-of-die” Heckle plot for ibuprofen with diverse morphology and particle size</w:t>
      </w:r>
      <w:r w:rsidR="00B20901" w:rsidRPr="00DE3248">
        <w:rPr>
          <w:rFonts w:cs="Times New Roman"/>
          <w:i w:val="0"/>
          <w:color w:val="auto"/>
        </w:rPr>
        <w:t xml:space="preserve"> (average of n=3)</w:t>
      </w:r>
      <w:r w:rsidR="00C758F8" w:rsidRPr="00DE3248">
        <w:rPr>
          <w:rFonts w:cs="Times New Roman"/>
          <w:i w:val="0"/>
          <w:color w:val="auto"/>
        </w:rPr>
        <w:t xml:space="preserve"> (R</w:t>
      </w:r>
      <w:r w:rsidR="00C758F8" w:rsidRPr="00DE3248">
        <w:rPr>
          <w:rFonts w:cs="Times New Roman"/>
          <w:i w:val="0"/>
          <w:color w:val="auto"/>
          <w:vertAlign w:val="superscript"/>
        </w:rPr>
        <w:t>2</w:t>
      </w:r>
      <w:r w:rsidR="00C758F8" w:rsidRPr="00DE3248">
        <w:rPr>
          <w:rFonts w:cs="Times New Roman"/>
          <w:i w:val="0"/>
          <w:color w:val="auto"/>
        </w:rPr>
        <w:t>=</w:t>
      </w:r>
      <w:r w:rsidR="00392DDA" w:rsidRPr="00DE3248">
        <w:rPr>
          <w:rFonts w:cs="Times New Roman"/>
          <w:i w:val="0"/>
          <w:color w:val="auto"/>
        </w:rPr>
        <w:t>0.9858</w:t>
      </w:r>
      <w:r w:rsidR="00C758F8" w:rsidRPr="00DE3248">
        <w:rPr>
          <w:rFonts w:cs="Times New Roman"/>
          <w:i w:val="0"/>
          <w:color w:val="auto"/>
        </w:rPr>
        <w:t xml:space="preserve"> (p1), </w:t>
      </w:r>
      <w:r w:rsidR="008A07DD" w:rsidRPr="00DE3248">
        <w:rPr>
          <w:rFonts w:cs="Times New Roman"/>
          <w:i w:val="0"/>
          <w:color w:val="auto"/>
        </w:rPr>
        <w:t>0.9977</w:t>
      </w:r>
      <w:r w:rsidR="00392DDA" w:rsidRPr="00DE3248">
        <w:rPr>
          <w:rFonts w:cs="Times New Roman"/>
          <w:i w:val="0"/>
          <w:color w:val="auto"/>
        </w:rPr>
        <w:t xml:space="preserve"> </w:t>
      </w:r>
      <w:r w:rsidR="00C758F8" w:rsidRPr="00DE3248">
        <w:rPr>
          <w:rFonts w:cs="Times New Roman"/>
          <w:i w:val="0"/>
          <w:color w:val="auto"/>
        </w:rPr>
        <w:t>(p2),</w:t>
      </w:r>
      <w:r w:rsidR="00392DDA" w:rsidRPr="00DE3248">
        <w:t xml:space="preserve"> </w:t>
      </w:r>
      <w:r w:rsidR="00392DDA" w:rsidRPr="00DE3248">
        <w:rPr>
          <w:rFonts w:cs="Times New Roman"/>
          <w:i w:val="0"/>
          <w:color w:val="auto"/>
        </w:rPr>
        <w:t>0.998</w:t>
      </w:r>
      <w:r w:rsidR="008A07DD" w:rsidRPr="00DE3248">
        <w:rPr>
          <w:rFonts w:cs="Times New Roman"/>
          <w:i w:val="0"/>
          <w:color w:val="auto"/>
        </w:rPr>
        <w:t>4</w:t>
      </w:r>
      <w:r w:rsidR="00C758F8" w:rsidRPr="00DE3248">
        <w:rPr>
          <w:rFonts w:cs="Times New Roman"/>
          <w:i w:val="0"/>
          <w:color w:val="auto"/>
        </w:rPr>
        <w:t xml:space="preserve"> (p3), </w:t>
      </w:r>
      <w:r w:rsidR="008A07DD" w:rsidRPr="00DE3248">
        <w:rPr>
          <w:rFonts w:cs="Times New Roman"/>
          <w:i w:val="0"/>
          <w:color w:val="auto"/>
        </w:rPr>
        <w:t>0.975</w:t>
      </w:r>
      <w:r w:rsidR="00392DDA" w:rsidRPr="00DE3248">
        <w:rPr>
          <w:rFonts w:cs="Times New Roman"/>
          <w:i w:val="0"/>
          <w:color w:val="auto"/>
        </w:rPr>
        <w:t xml:space="preserve">5 </w:t>
      </w:r>
      <w:r w:rsidR="00C758F8" w:rsidRPr="00DE3248">
        <w:rPr>
          <w:rFonts w:cs="Times New Roman"/>
          <w:i w:val="0"/>
          <w:color w:val="auto"/>
        </w:rPr>
        <w:t xml:space="preserve">(p4), </w:t>
      </w:r>
      <w:r w:rsidR="00392DDA" w:rsidRPr="00DE3248">
        <w:rPr>
          <w:rFonts w:cs="Times New Roman"/>
          <w:i w:val="0"/>
          <w:color w:val="auto"/>
        </w:rPr>
        <w:t xml:space="preserve">0.9902 </w:t>
      </w:r>
      <w:r w:rsidR="00C758F8" w:rsidRPr="00DE3248">
        <w:rPr>
          <w:rFonts w:cs="Times New Roman"/>
          <w:i w:val="0"/>
          <w:color w:val="auto"/>
        </w:rPr>
        <w:t>(n1),</w:t>
      </w:r>
      <w:r w:rsidR="00392DDA" w:rsidRPr="00DE3248">
        <w:t xml:space="preserve"> </w:t>
      </w:r>
      <w:r w:rsidR="00392DDA" w:rsidRPr="00DE3248">
        <w:rPr>
          <w:rFonts w:cs="Times New Roman"/>
          <w:i w:val="0"/>
          <w:color w:val="auto"/>
        </w:rPr>
        <w:t>0.9890</w:t>
      </w:r>
      <w:r w:rsidR="00C758F8" w:rsidRPr="00DE3248">
        <w:rPr>
          <w:rFonts w:cs="Times New Roman"/>
          <w:i w:val="0"/>
          <w:color w:val="auto"/>
        </w:rPr>
        <w:t xml:space="preserve"> (n2)</w:t>
      </w:r>
      <w:r w:rsidR="008A07DD" w:rsidRPr="00DE3248">
        <w:rPr>
          <w:rFonts w:cs="Times New Roman"/>
          <w:i w:val="0"/>
          <w:color w:val="auto"/>
        </w:rPr>
        <w:t>)</w:t>
      </w:r>
      <w:r w:rsidR="00C758F8" w:rsidRPr="00DE3248">
        <w:rPr>
          <w:rFonts w:cs="Times New Roman"/>
          <w:i w:val="0"/>
          <w:color w:val="auto"/>
        </w:rPr>
        <w:t xml:space="preserve"> </w:t>
      </w:r>
      <w:r w:rsidR="002832EF" w:rsidRPr="00DE3248">
        <w:rPr>
          <w:rFonts w:cs="Times New Roman"/>
          <w:i w:val="0"/>
          <w:color w:val="auto"/>
        </w:rPr>
        <w:t xml:space="preserve">and (b) the effect of particle size on </w:t>
      </w:r>
      <w:r w:rsidR="002832EF" w:rsidRPr="00DE3248">
        <w:rPr>
          <w:rFonts w:cs="Times New Roman"/>
          <w:color w:val="auto"/>
        </w:rPr>
        <w:t>P</w:t>
      </w:r>
      <w:r w:rsidR="002832EF" w:rsidRPr="00DE3248">
        <w:rPr>
          <w:rFonts w:cs="Times New Roman"/>
          <w:color w:val="auto"/>
          <w:vertAlign w:val="subscript"/>
        </w:rPr>
        <w:t>y</w:t>
      </w:r>
      <w:r w:rsidR="00B20901" w:rsidRPr="00DE3248">
        <w:rPr>
          <w:rFonts w:cs="Times New Roman"/>
          <w:i w:val="0"/>
          <w:color w:val="auto"/>
        </w:rPr>
        <w:t xml:space="preserve"> </w:t>
      </w:r>
    </w:p>
    <w:p w:rsidR="006A624E" w:rsidRPr="00DE3248" w:rsidRDefault="006A624E" w:rsidP="006A624E">
      <w:pPr>
        <w:keepNext/>
      </w:pPr>
      <w:r w:rsidRPr="00DE3248">
        <w:rPr>
          <w:noProof/>
          <w:lang w:eastAsia="en-IE"/>
        </w:rPr>
        <w:drawing>
          <wp:inline distT="0" distB="0" distL="0" distR="0">
            <wp:extent cx="5486400" cy="2190750"/>
            <wp:effectExtent l="0" t="0" r="0" b="0"/>
            <wp:docPr id="28" name="Picture 28" descr="C:\Users\zelalem\Desktop\Manuscript MRA\Figures\FF Coh wall friction IBU and MCC\Final Figures IBU binary systems\Graph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elalem\Desktop\Manuscript MRA\Figures\FF Coh wall friction IBU and MCC\Final Figures IBU binary systems\Graph9.tif"/>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86400" cy="2190750"/>
                    </a:xfrm>
                    <a:prstGeom prst="rect">
                      <a:avLst/>
                    </a:prstGeom>
                    <a:noFill/>
                    <a:ln>
                      <a:noFill/>
                    </a:ln>
                  </pic:spPr>
                </pic:pic>
              </a:graphicData>
            </a:graphic>
          </wp:inline>
        </w:drawing>
      </w:r>
    </w:p>
    <w:p w:rsidR="003513F5" w:rsidRPr="00DE3248" w:rsidRDefault="006A624E" w:rsidP="00887DD3">
      <w:pPr>
        <w:pStyle w:val="Caption"/>
        <w:spacing w:line="480" w:lineRule="auto"/>
        <w:rPr>
          <w:rFonts w:cs="Times New Roman"/>
          <w:i w:val="0"/>
          <w:color w:val="auto"/>
        </w:rPr>
      </w:pPr>
      <w:r w:rsidRPr="00DE3248">
        <w:rPr>
          <w:b/>
          <w:i w:val="0"/>
          <w:color w:val="auto"/>
        </w:rPr>
        <w:t>Figure S</w:t>
      </w:r>
      <w:r w:rsidRPr="00DE3248">
        <w:rPr>
          <w:b/>
          <w:i w:val="0"/>
          <w:color w:val="auto"/>
          <w:vertAlign w:val="subscript"/>
        </w:rPr>
        <w:t>5</w:t>
      </w:r>
      <w:r w:rsidRPr="00DE3248">
        <w:rPr>
          <w:b/>
          <w:i w:val="0"/>
          <w:color w:val="auto"/>
        </w:rPr>
        <w:t>-</w:t>
      </w:r>
      <w:r w:rsidRPr="00DE3248">
        <w:rPr>
          <w:b/>
          <w:i w:val="0"/>
          <w:color w:val="auto"/>
        </w:rPr>
        <w:fldChar w:fldCharType="begin"/>
      </w:r>
      <w:r w:rsidRPr="00DE3248">
        <w:rPr>
          <w:b/>
          <w:i w:val="0"/>
          <w:color w:val="auto"/>
        </w:rPr>
        <w:instrText xml:space="preserve"> SEQ Figure_S5 \* ARABIC </w:instrText>
      </w:r>
      <w:r w:rsidRPr="00DE3248">
        <w:rPr>
          <w:b/>
          <w:i w:val="0"/>
          <w:color w:val="auto"/>
        </w:rPr>
        <w:fldChar w:fldCharType="separate"/>
      </w:r>
      <w:r w:rsidRPr="00DE3248">
        <w:rPr>
          <w:b/>
          <w:i w:val="0"/>
          <w:noProof/>
          <w:color w:val="auto"/>
        </w:rPr>
        <w:t>2</w:t>
      </w:r>
      <w:r w:rsidRPr="00DE3248">
        <w:rPr>
          <w:b/>
          <w:i w:val="0"/>
          <w:color w:val="auto"/>
        </w:rPr>
        <w:fldChar w:fldCharType="end"/>
      </w:r>
      <w:r w:rsidRPr="00DE3248">
        <w:rPr>
          <w:b/>
          <w:i w:val="0"/>
          <w:color w:val="auto"/>
        </w:rPr>
        <w:t>.</w:t>
      </w:r>
      <w:r w:rsidRPr="00DE3248">
        <w:rPr>
          <w:i w:val="0"/>
          <w:iCs w:val="0"/>
          <w:color w:val="auto"/>
        </w:rPr>
        <w:t xml:space="preserve"> (a) pressure dependent </w:t>
      </w:r>
      <w:r w:rsidR="00EE37C9" w:rsidRPr="00DE3248">
        <w:rPr>
          <w:rFonts w:cs="Times New Roman"/>
          <w:i w:val="0"/>
          <w:color w:val="auto"/>
        </w:rPr>
        <w:t>tensile strength of</w:t>
      </w:r>
      <w:r w:rsidRPr="00DE3248">
        <w:rPr>
          <w:rFonts w:cs="Times New Roman"/>
          <w:i w:val="0"/>
          <w:color w:val="auto"/>
        </w:rPr>
        <w:t xml:space="preserve"> IBU tablets </w:t>
      </w:r>
      <w:r w:rsidR="00EE37C9" w:rsidRPr="00DE3248">
        <w:rPr>
          <w:rFonts w:cs="Times New Roman"/>
          <w:i w:val="0"/>
          <w:color w:val="auto"/>
        </w:rPr>
        <w:t xml:space="preserve">and (b) Fej (N) required to remove the tablet from die cavity at compaction pressures, </w:t>
      </w:r>
      <w:r w:rsidRPr="00DE3248">
        <w:rPr>
          <w:rFonts w:cs="Times New Roman"/>
          <w:i w:val="0"/>
          <w:color w:val="auto"/>
        </w:rPr>
        <w:t>20 to 100 MPa</w:t>
      </w:r>
      <w:r w:rsidR="00EE37C9" w:rsidRPr="00DE3248">
        <w:rPr>
          <w:rFonts w:cs="Times New Roman"/>
          <w:i w:val="0"/>
          <w:color w:val="auto"/>
        </w:rPr>
        <w:t xml:space="preserve"> </w:t>
      </w:r>
    </w:p>
    <w:p w:rsidR="00887DD3" w:rsidRPr="00DE3248" w:rsidRDefault="00887DD3" w:rsidP="00887DD3"/>
    <w:p w:rsidR="00887DD3" w:rsidRPr="00DE3248" w:rsidRDefault="00887DD3" w:rsidP="00887DD3"/>
    <w:p w:rsidR="00887DD3" w:rsidRPr="00DE3248" w:rsidRDefault="00887DD3" w:rsidP="00887DD3"/>
    <w:p w:rsidR="00887DD3" w:rsidRPr="00DE3248" w:rsidRDefault="00887DD3" w:rsidP="00887DD3"/>
    <w:p w:rsidR="003513F5" w:rsidRPr="00DE3248" w:rsidRDefault="003513F5" w:rsidP="00887DD3">
      <w:pPr>
        <w:pStyle w:val="Caption"/>
        <w:keepNext/>
        <w:spacing w:line="360" w:lineRule="auto"/>
        <w:rPr>
          <w:b/>
          <w:i w:val="0"/>
          <w:color w:val="auto"/>
        </w:rPr>
      </w:pPr>
      <w:r w:rsidRPr="00DE3248">
        <w:rPr>
          <w:b/>
          <w:i w:val="0"/>
          <w:color w:val="auto"/>
        </w:rPr>
        <w:lastRenderedPageBreak/>
        <w:t>Table S</w:t>
      </w:r>
      <w:r w:rsidRPr="00DE3248">
        <w:rPr>
          <w:b/>
          <w:i w:val="0"/>
          <w:color w:val="auto"/>
          <w:vertAlign w:val="subscript"/>
        </w:rPr>
        <w:t>5</w:t>
      </w:r>
      <w:r w:rsidR="004617BF" w:rsidRPr="00DE3248">
        <w:rPr>
          <w:b/>
          <w:i w:val="0"/>
          <w:color w:val="auto"/>
        </w:rPr>
        <w:t>-</w:t>
      </w:r>
      <w:r w:rsidRPr="00DE3248">
        <w:rPr>
          <w:b/>
          <w:i w:val="0"/>
          <w:color w:val="auto"/>
        </w:rPr>
        <w:fldChar w:fldCharType="begin"/>
      </w:r>
      <w:r w:rsidRPr="00DE3248">
        <w:rPr>
          <w:b/>
          <w:i w:val="0"/>
          <w:color w:val="auto"/>
        </w:rPr>
        <w:instrText xml:space="preserve"> SEQ Table_S5 \* ARABIC </w:instrText>
      </w:r>
      <w:r w:rsidRPr="00DE3248">
        <w:rPr>
          <w:b/>
          <w:i w:val="0"/>
          <w:color w:val="auto"/>
        </w:rPr>
        <w:fldChar w:fldCharType="separate"/>
      </w:r>
      <w:r w:rsidRPr="00DE3248">
        <w:rPr>
          <w:b/>
          <w:i w:val="0"/>
          <w:noProof/>
          <w:color w:val="auto"/>
        </w:rPr>
        <w:t>1</w:t>
      </w:r>
      <w:r w:rsidRPr="00DE3248">
        <w:rPr>
          <w:b/>
          <w:i w:val="0"/>
          <w:color w:val="auto"/>
        </w:rPr>
        <w:fldChar w:fldCharType="end"/>
      </w:r>
      <w:r w:rsidRPr="00DE3248">
        <w:rPr>
          <w:b/>
          <w:i w:val="0"/>
          <w:color w:val="auto"/>
        </w:rPr>
        <w:t xml:space="preserve">. </w:t>
      </w:r>
      <w:r w:rsidR="00887DD3" w:rsidRPr="00DE3248">
        <w:rPr>
          <w:i w:val="0"/>
          <w:color w:val="auto"/>
        </w:rPr>
        <w:t xml:space="preserve">ANOVA table for MLR models for </w:t>
      </w:r>
      <w:r w:rsidR="009C49C0" w:rsidRPr="00DE3248">
        <w:rPr>
          <w:i w:val="0"/>
          <w:color w:val="auto"/>
        </w:rPr>
        <w:t xml:space="preserve">tensile strength of IBU tablets </w:t>
      </w:r>
      <w:r w:rsidR="00887DD3" w:rsidRPr="00DE3248">
        <w:rPr>
          <w:i w:val="0"/>
          <w:color w:val="auto"/>
        </w:rPr>
        <w:t xml:space="preserve">from </w:t>
      </w:r>
      <w:r w:rsidR="009C49C0" w:rsidRPr="00DE3248">
        <w:rPr>
          <w:i w:val="0"/>
          <w:color w:val="auto"/>
        </w:rPr>
        <w:t>P</w:t>
      </w:r>
      <w:r w:rsidR="009C49C0" w:rsidRPr="00DE3248">
        <w:rPr>
          <w:i w:val="0"/>
          <w:color w:val="auto"/>
          <w:vertAlign w:val="subscript"/>
        </w:rPr>
        <w:t>y</w:t>
      </w:r>
      <w:r w:rsidR="009C49C0" w:rsidRPr="00DE3248">
        <w:rPr>
          <w:i w:val="0"/>
          <w:color w:val="auto"/>
        </w:rPr>
        <w:t xml:space="preserve"> (MPa), </w:t>
      </w:r>
      <w:r w:rsidR="00887DD3" w:rsidRPr="00DE3248">
        <w:rPr>
          <w:i w:val="0"/>
          <w:color w:val="auto"/>
        </w:rPr>
        <w:t xml:space="preserve">d50 (µm), </w:t>
      </w:r>
      <w:r w:rsidR="009C49C0" w:rsidRPr="00DE3248">
        <w:rPr>
          <w:i w:val="0"/>
          <w:color w:val="auto"/>
        </w:rPr>
        <w:t>SSA (m</w:t>
      </w:r>
      <w:r w:rsidR="009C49C0" w:rsidRPr="00DE3248">
        <w:rPr>
          <w:i w:val="0"/>
          <w:color w:val="auto"/>
          <w:vertAlign w:val="superscript"/>
        </w:rPr>
        <w:t>2</w:t>
      </w:r>
      <w:r w:rsidR="009C49C0" w:rsidRPr="00DE3248">
        <w:rPr>
          <w:i w:val="0"/>
          <w:color w:val="auto"/>
        </w:rPr>
        <w:t>/g) and applied compaction pressure (MPa)</w:t>
      </w:r>
      <w:r w:rsidR="00887DD3" w:rsidRPr="00DE3248">
        <w:rPr>
          <w:i w:val="0"/>
          <w:color w:val="auto"/>
        </w:rPr>
        <w:t>.</w:t>
      </w:r>
    </w:p>
    <w:tbl>
      <w:tblPr>
        <w:tblW w:w="5000" w:type="pct"/>
        <w:tblLook w:val="04A0" w:firstRow="1" w:lastRow="0" w:firstColumn="1" w:lastColumn="0" w:noHBand="0" w:noVBand="1"/>
      </w:tblPr>
      <w:tblGrid>
        <w:gridCol w:w="2717"/>
        <w:gridCol w:w="2824"/>
        <w:gridCol w:w="3809"/>
      </w:tblGrid>
      <w:tr w:rsidR="003513F5" w:rsidRPr="00DE3248" w:rsidTr="00887DD3">
        <w:trPr>
          <w:trHeight w:val="300"/>
        </w:trPr>
        <w:tc>
          <w:tcPr>
            <w:tcW w:w="14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13F5" w:rsidRPr="00DE3248" w:rsidRDefault="003513F5" w:rsidP="00887DD3">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Summary Model</w:t>
            </w:r>
          </w:p>
        </w:tc>
        <w:tc>
          <w:tcPr>
            <w:tcW w:w="1510" w:type="pct"/>
            <w:tcBorders>
              <w:top w:val="single" w:sz="4" w:space="0" w:color="auto"/>
              <w:left w:val="nil"/>
              <w:bottom w:val="single" w:sz="4" w:space="0" w:color="auto"/>
              <w:right w:val="single" w:sz="4" w:space="0" w:color="auto"/>
            </w:tcBorders>
            <w:shd w:val="clear" w:color="auto" w:fill="auto"/>
            <w:noWrap/>
            <w:vAlign w:val="center"/>
            <w:hideMark/>
          </w:tcPr>
          <w:p w:rsidR="003513F5" w:rsidRPr="00DE3248" w:rsidRDefault="003513F5" w:rsidP="00887DD3">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p value</w:t>
            </w:r>
          </w:p>
        </w:tc>
        <w:tc>
          <w:tcPr>
            <w:tcW w:w="2037" w:type="pct"/>
            <w:tcBorders>
              <w:top w:val="single" w:sz="4" w:space="0" w:color="auto"/>
              <w:left w:val="nil"/>
              <w:bottom w:val="single" w:sz="4" w:space="0" w:color="auto"/>
              <w:right w:val="single" w:sz="4" w:space="0" w:color="auto"/>
            </w:tcBorders>
            <w:shd w:val="clear" w:color="auto" w:fill="auto"/>
            <w:noWrap/>
            <w:vAlign w:val="center"/>
            <w:hideMark/>
          </w:tcPr>
          <w:p w:rsidR="003513F5" w:rsidRPr="00DE3248" w:rsidRDefault="003513F5" w:rsidP="00887DD3">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B-coefficients</w:t>
            </w:r>
          </w:p>
        </w:tc>
      </w:tr>
      <w:tr w:rsidR="003513F5" w:rsidRPr="00DE3248" w:rsidTr="00887DD3">
        <w:trPr>
          <w:trHeight w:val="300"/>
        </w:trPr>
        <w:tc>
          <w:tcPr>
            <w:tcW w:w="1453" w:type="pct"/>
            <w:vMerge/>
            <w:tcBorders>
              <w:top w:val="single" w:sz="4" w:space="0" w:color="auto"/>
              <w:left w:val="single" w:sz="4" w:space="0" w:color="auto"/>
              <w:bottom w:val="single" w:sz="4" w:space="0" w:color="auto"/>
              <w:right w:val="single" w:sz="4" w:space="0" w:color="auto"/>
            </w:tcBorders>
            <w:vAlign w:val="center"/>
            <w:hideMark/>
          </w:tcPr>
          <w:p w:rsidR="003513F5" w:rsidRPr="00DE3248" w:rsidRDefault="003513F5" w:rsidP="00887DD3">
            <w:pPr>
              <w:spacing w:after="0" w:line="480" w:lineRule="auto"/>
              <w:rPr>
                <w:rFonts w:eastAsia="Times New Roman" w:cs="Times New Roman"/>
                <w:b/>
                <w:bCs/>
                <w:sz w:val="18"/>
                <w:szCs w:val="18"/>
                <w:lang w:val="en-US"/>
              </w:rPr>
            </w:pPr>
          </w:p>
        </w:tc>
        <w:tc>
          <w:tcPr>
            <w:tcW w:w="3547" w:type="pct"/>
            <w:gridSpan w:val="2"/>
            <w:tcBorders>
              <w:top w:val="single" w:sz="4" w:space="0" w:color="auto"/>
              <w:left w:val="nil"/>
              <w:bottom w:val="single" w:sz="4" w:space="0" w:color="auto"/>
              <w:right w:val="single" w:sz="4" w:space="0" w:color="auto"/>
            </w:tcBorders>
            <w:shd w:val="clear" w:color="auto" w:fill="auto"/>
            <w:noWrap/>
            <w:vAlign w:val="center"/>
            <w:hideMark/>
          </w:tcPr>
          <w:p w:rsidR="003513F5" w:rsidRPr="00DE3248" w:rsidRDefault="003513F5" w:rsidP="00887DD3">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Multiple Correlation (cal)= 0.94 (cal), 0.91 (val)</w:t>
            </w:r>
          </w:p>
        </w:tc>
      </w:tr>
      <w:tr w:rsidR="003513F5" w:rsidRPr="00DE3248" w:rsidTr="00887DD3">
        <w:trPr>
          <w:trHeight w:val="300"/>
        </w:trPr>
        <w:tc>
          <w:tcPr>
            <w:tcW w:w="1453" w:type="pct"/>
            <w:vMerge/>
            <w:tcBorders>
              <w:top w:val="single" w:sz="4" w:space="0" w:color="auto"/>
              <w:left w:val="single" w:sz="4" w:space="0" w:color="auto"/>
              <w:bottom w:val="single" w:sz="4" w:space="0" w:color="auto"/>
              <w:right w:val="single" w:sz="4" w:space="0" w:color="auto"/>
            </w:tcBorders>
            <w:vAlign w:val="center"/>
            <w:hideMark/>
          </w:tcPr>
          <w:p w:rsidR="003513F5" w:rsidRPr="00DE3248" w:rsidRDefault="003513F5" w:rsidP="00887DD3">
            <w:pPr>
              <w:spacing w:after="0" w:line="480" w:lineRule="auto"/>
              <w:rPr>
                <w:rFonts w:eastAsia="Times New Roman" w:cs="Times New Roman"/>
                <w:b/>
                <w:bCs/>
                <w:sz w:val="18"/>
                <w:szCs w:val="18"/>
                <w:lang w:val="en-US"/>
              </w:rPr>
            </w:pPr>
          </w:p>
        </w:tc>
        <w:tc>
          <w:tcPr>
            <w:tcW w:w="1510"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3.3E-09</w:t>
            </w:r>
          </w:p>
        </w:tc>
        <w:tc>
          <w:tcPr>
            <w:tcW w:w="2037" w:type="pct"/>
            <w:tcBorders>
              <w:top w:val="nil"/>
              <w:left w:val="nil"/>
              <w:bottom w:val="single" w:sz="4" w:space="0" w:color="auto"/>
              <w:right w:val="single" w:sz="4" w:space="0" w:color="auto"/>
            </w:tcBorders>
            <w:shd w:val="clear" w:color="auto" w:fill="auto"/>
            <w:noWrap/>
            <w:vAlign w:val="center"/>
            <w:hideMark/>
          </w:tcPr>
          <w:p w:rsidR="003513F5" w:rsidRPr="00DE3248" w:rsidRDefault="003513F5" w:rsidP="00887DD3">
            <w:pPr>
              <w:spacing w:after="0" w:line="480" w:lineRule="auto"/>
              <w:jc w:val="center"/>
              <w:rPr>
                <w:rFonts w:eastAsia="Times New Roman" w:cs="Times New Roman"/>
                <w:b/>
                <w:bCs/>
                <w:sz w:val="18"/>
                <w:szCs w:val="18"/>
                <w:lang w:val="en-US"/>
              </w:rPr>
            </w:pPr>
            <w:r w:rsidRPr="00DE3248">
              <w:rPr>
                <w:rFonts w:eastAsia="Times New Roman" w:cs="Times New Roman"/>
                <w:b/>
                <w:bCs/>
                <w:sz w:val="18"/>
                <w:szCs w:val="18"/>
                <w:lang w:val="en-US"/>
              </w:rPr>
              <w:t> </w:t>
            </w:r>
          </w:p>
        </w:tc>
      </w:tr>
      <w:tr w:rsidR="003513F5" w:rsidRPr="00DE3248" w:rsidTr="00887DD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3513F5" w:rsidRPr="00DE3248" w:rsidRDefault="003513F5" w:rsidP="00887DD3">
            <w:pPr>
              <w:spacing w:after="0" w:line="480" w:lineRule="auto"/>
              <w:jc w:val="center"/>
              <w:rPr>
                <w:rFonts w:eastAsia="Times New Roman" w:cs="Times New Roman"/>
                <w:sz w:val="18"/>
                <w:szCs w:val="18"/>
                <w:lang w:val="en-US"/>
              </w:rPr>
            </w:pPr>
            <w:r w:rsidRPr="00DE3248">
              <w:rPr>
                <w:rFonts w:eastAsia="Times New Roman" w:cs="Times New Roman"/>
                <w:sz w:val="18"/>
                <w:szCs w:val="18"/>
                <w:lang w:val="en-US"/>
              </w:rPr>
              <w:t>Variables</w:t>
            </w:r>
          </w:p>
        </w:tc>
      </w:tr>
      <w:tr w:rsidR="003513F5" w:rsidRPr="00DE3248" w:rsidTr="00887DD3">
        <w:trPr>
          <w:trHeight w:val="300"/>
        </w:trPr>
        <w:tc>
          <w:tcPr>
            <w:tcW w:w="1453" w:type="pct"/>
            <w:tcBorders>
              <w:top w:val="nil"/>
              <w:left w:val="single" w:sz="4" w:space="0" w:color="auto"/>
              <w:bottom w:val="single" w:sz="4" w:space="0" w:color="auto"/>
              <w:right w:val="single" w:sz="4" w:space="0" w:color="auto"/>
            </w:tcBorders>
            <w:shd w:val="clear" w:color="auto" w:fill="auto"/>
            <w:noWrap/>
            <w:vAlign w:val="center"/>
            <w:hideMark/>
          </w:tcPr>
          <w:p w:rsidR="003513F5" w:rsidRPr="00DE3248" w:rsidRDefault="003513F5" w:rsidP="00887DD3">
            <w:pPr>
              <w:spacing w:after="0" w:line="480" w:lineRule="auto"/>
              <w:rPr>
                <w:rFonts w:eastAsia="Times New Roman" w:cs="Times New Roman"/>
                <w:sz w:val="18"/>
                <w:szCs w:val="18"/>
                <w:lang w:val="en-US"/>
              </w:rPr>
            </w:pPr>
            <w:r w:rsidRPr="00DE3248">
              <w:rPr>
                <w:rFonts w:eastAsia="Times New Roman" w:cs="Times New Roman"/>
                <w:sz w:val="18"/>
                <w:szCs w:val="18"/>
                <w:lang w:val="en-US"/>
              </w:rPr>
              <w:t>Intercept</w:t>
            </w:r>
          </w:p>
        </w:tc>
        <w:tc>
          <w:tcPr>
            <w:tcW w:w="1510"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0.0535</w:t>
            </w:r>
          </w:p>
        </w:tc>
        <w:tc>
          <w:tcPr>
            <w:tcW w:w="2037"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-0.6362</w:t>
            </w:r>
          </w:p>
        </w:tc>
      </w:tr>
      <w:tr w:rsidR="003513F5" w:rsidRPr="00DE3248" w:rsidTr="00887DD3">
        <w:trPr>
          <w:trHeight w:val="300"/>
        </w:trPr>
        <w:tc>
          <w:tcPr>
            <w:tcW w:w="1453" w:type="pct"/>
            <w:tcBorders>
              <w:top w:val="nil"/>
              <w:left w:val="single" w:sz="4" w:space="0" w:color="auto"/>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rPr>
                <w:rFonts w:eastAsia="Times New Roman" w:cs="Times New Roman"/>
                <w:sz w:val="18"/>
                <w:szCs w:val="18"/>
                <w:lang w:val="en-US"/>
              </w:rPr>
            </w:pPr>
            <w:r w:rsidRPr="00DE3248">
              <w:rPr>
                <w:rFonts w:eastAsia="Times New Roman" w:cs="Times New Roman"/>
                <w:sz w:val="18"/>
                <w:szCs w:val="18"/>
                <w:lang w:val="en-US"/>
              </w:rPr>
              <w:t>P</w:t>
            </w:r>
            <w:r w:rsidRPr="00DE3248">
              <w:rPr>
                <w:rFonts w:eastAsia="Times New Roman" w:cs="Times New Roman"/>
                <w:sz w:val="18"/>
                <w:szCs w:val="18"/>
                <w:vertAlign w:val="subscript"/>
                <w:lang w:val="en-US"/>
              </w:rPr>
              <w:t>y</w:t>
            </w:r>
            <w:r w:rsidRPr="00DE3248">
              <w:rPr>
                <w:rFonts w:eastAsia="Times New Roman" w:cs="Times New Roman"/>
                <w:sz w:val="18"/>
                <w:szCs w:val="18"/>
                <w:lang w:val="en-US"/>
              </w:rPr>
              <w:t xml:space="preserve"> (MPa)</w:t>
            </w:r>
          </w:p>
        </w:tc>
        <w:tc>
          <w:tcPr>
            <w:tcW w:w="1510"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0.0418</w:t>
            </w:r>
          </w:p>
        </w:tc>
        <w:tc>
          <w:tcPr>
            <w:tcW w:w="2037"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0.0073</w:t>
            </w:r>
          </w:p>
        </w:tc>
      </w:tr>
      <w:tr w:rsidR="003513F5" w:rsidRPr="00DE3248" w:rsidTr="00887DD3">
        <w:trPr>
          <w:trHeight w:val="300"/>
        </w:trPr>
        <w:tc>
          <w:tcPr>
            <w:tcW w:w="1453" w:type="pct"/>
            <w:tcBorders>
              <w:top w:val="nil"/>
              <w:left w:val="single" w:sz="4" w:space="0" w:color="auto"/>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rPr>
                <w:rFonts w:eastAsia="Times New Roman" w:cs="Times New Roman"/>
                <w:sz w:val="18"/>
                <w:szCs w:val="18"/>
                <w:lang w:val="en-US"/>
              </w:rPr>
            </w:pPr>
            <w:r w:rsidRPr="00DE3248">
              <w:rPr>
                <w:rFonts w:eastAsia="Times New Roman" w:cs="Times New Roman"/>
                <w:sz w:val="18"/>
                <w:szCs w:val="18"/>
                <w:lang w:val="en-US"/>
              </w:rPr>
              <w:t>d50 (µm)</w:t>
            </w:r>
          </w:p>
        </w:tc>
        <w:tc>
          <w:tcPr>
            <w:tcW w:w="1510"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0.2301</w:t>
            </w:r>
          </w:p>
        </w:tc>
        <w:tc>
          <w:tcPr>
            <w:tcW w:w="2037"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-0.0022</w:t>
            </w:r>
          </w:p>
        </w:tc>
      </w:tr>
      <w:tr w:rsidR="003513F5" w:rsidRPr="00DE3248" w:rsidTr="00887DD3">
        <w:trPr>
          <w:trHeight w:val="300"/>
        </w:trPr>
        <w:tc>
          <w:tcPr>
            <w:tcW w:w="1453" w:type="pct"/>
            <w:tcBorders>
              <w:top w:val="nil"/>
              <w:left w:val="single" w:sz="4" w:space="0" w:color="auto"/>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rPr>
                <w:rFonts w:eastAsia="Times New Roman" w:cs="Times New Roman"/>
                <w:sz w:val="18"/>
                <w:szCs w:val="18"/>
                <w:lang w:val="en-US"/>
              </w:rPr>
            </w:pPr>
            <w:r w:rsidRPr="00DE3248">
              <w:rPr>
                <w:rFonts w:eastAsia="Times New Roman" w:cs="Times New Roman"/>
                <w:sz w:val="18"/>
                <w:szCs w:val="18"/>
                <w:lang w:val="en-US"/>
              </w:rPr>
              <w:t>SSA (m2/g)</w:t>
            </w:r>
          </w:p>
        </w:tc>
        <w:tc>
          <w:tcPr>
            <w:tcW w:w="1510"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0.0001</w:t>
            </w:r>
          </w:p>
        </w:tc>
        <w:tc>
          <w:tcPr>
            <w:tcW w:w="2037"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0.5592</w:t>
            </w:r>
          </w:p>
        </w:tc>
      </w:tr>
      <w:tr w:rsidR="003513F5" w:rsidRPr="00DE3248" w:rsidTr="00887DD3">
        <w:trPr>
          <w:trHeight w:val="300"/>
        </w:trPr>
        <w:tc>
          <w:tcPr>
            <w:tcW w:w="1453" w:type="pct"/>
            <w:tcBorders>
              <w:top w:val="nil"/>
              <w:left w:val="single" w:sz="4" w:space="0" w:color="auto"/>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rPr>
                <w:rFonts w:eastAsia="Times New Roman" w:cs="Times New Roman"/>
                <w:sz w:val="18"/>
                <w:szCs w:val="18"/>
                <w:lang w:val="en-US"/>
              </w:rPr>
            </w:pPr>
            <w:r w:rsidRPr="00DE3248">
              <w:rPr>
                <w:rFonts w:eastAsia="Times New Roman" w:cs="Times New Roman"/>
                <w:sz w:val="18"/>
                <w:szCs w:val="18"/>
                <w:lang w:val="en-US"/>
              </w:rPr>
              <w:t>Pressure (MPa)</w:t>
            </w:r>
          </w:p>
        </w:tc>
        <w:tc>
          <w:tcPr>
            <w:tcW w:w="1510"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0.0000</w:t>
            </w:r>
          </w:p>
        </w:tc>
        <w:tc>
          <w:tcPr>
            <w:tcW w:w="2037" w:type="pct"/>
            <w:tcBorders>
              <w:top w:val="nil"/>
              <w:left w:val="nil"/>
              <w:bottom w:val="single" w:sz="4" w:space="0" w:color="auto"/>
              <w:right w:val="single" w:sz="4" w:space="0" w:color="auto"/>
            </w:tcBorders>
            <w:shd w:val="clear" w:color="auto" w:fill="auto"/>
            <w:noWrap/>
            <w:vAlign w:val="bottom"/>
            <w:hideMark/>
          </w:tcPr>
          <w:p w:rsidR="003513F5" w:rsidRPr="00DE3248" w:rsidRDefault="003513F5" w:rsidP="00887DD3">
            <w:pPr>
              <w:spacing w:after="0" w:line="480" w:lineRule="auto"/>
              <w:jc w:val="right"/>
              <w:rPr>
                <w:rFonts w:eastAsia="Times New Roman" w:cs="Times New Roman"/>
                <w:sz w:val="18"/>
                <w:szCs w:val="18"/>
                <w:lang w:val="en-US"/>
              </w:rPr>
            </w:pPr>
            <w:r w:rsidRPr="00DE3248">
              <w:rPr>
                <w:rFonts w:eastAsia="Times New Roman" w:cs="Times New Roman"/>
                <w:sz w:val="18"/>
                <w:szCs w:val="18"/>
                <w:lang w:val="en-US"/>
              </w:rPr>
              <w:t>0.0098</w:t>
            </w:r>
          </w:p>
        </w:tc>
      </w:tr>
    </w:tbl>
    <w:p w:rsidR="006A624E" w:rsidRPr="00DE3248" w:rsidRDefault="006A624E" w:rsidP="006A624E">
      <w:pPr>
        <w:pStyle w:val="Caption"/>
        <w:rPr>
          <w:i w:val="0"/>
          <w:iCs w:val="0"/>
          <w:color w:val="auto"/>
          <w:sz w:val="24"/>
          <w:szCs w:val="22"/>
        </w:rPr>
      </w:pPr>
    </w:p>
    <w:p w:rsidR="006A624E" w:rsidRPr="00DE3248" w:rsidRDefault="006A624E" w:rsidP="006A624E"/>
    <w:p w:rsidR="00B40884" w:rsidRPr="00DE3248" w:rsidRDefault="00B40884">
      <w:pPr>
        <w:rPr>
          <w:rFonts w:cs="Times New Roman"/>
          <w:b/>
          <w:szCs w:val="24"/>
          <w:lang w:val="en-US"/>
        </w:rPr>
      </w:pPr>
      <w:r w:rsidRPr="00DE3248">
        <w:rPr>
          <w:rFonts w:cs="Times New Roman"/>
          <w:b/>
          <w:szCs w:val="24"/>
          <w:lang w:val="en-US"/>
        </w:rPr>
        <w:br w:type="page"/>
      </w:r>
    </w:p>
    <w:p w:rsidR="00E75112" w:rsidRPr="00DE3248" w:rsidRDefault="008E2A2B" w:rsidP="00E75112">
      <w:pPr>
        <w:spacing w:before="240" w:after="120" w:line="480" w:lineRule="auto"/>
        <w:rPr>
          <w:rFonts w:cs="Times New Roman"/>
          <w:b/>
          <w:szCs w:val="24"/>
          <w:lang w:val="fr-BE"/>
        </w:rPr>
      </w:pPr>
      <w:r w:rsidRPr="00DE3248">
        <w:rPr>
          <w:rFonts w:cs="Times New Roman"/>
          <w:b/>
          <w:szCs w:val="24"/>
          <w:lang w:val="en-US"/>
        </w:rPr>
        <w:lastRenderedPageBreak/>
        <w:t>References</w:t>
      </w:r>
    </w:p>
    <w:p w:rsidR="0092652B" w:rsidRPr="00DE3248" w:rsidRDefault="0092652B" w:rsidP="008E2A2B">
      <w:pPr>
        <w:pStyle w:val="EndNoteBibliography"/>
        <w:spacing w:after="0"/>
      </w:pPr>
      <w:bookmarkStart w:id="0" w:name="_ENREF_4"/>
      <w:bookmarkStart w:id="1" w:name="_ENREF_6"/>
      <w:r w:rsidRPr="00DE3248">
        <w:t>Buckton, G., Gill, H., 2007. The importance of surface energetics of powders for drug delivery and the establishment of inverse gas chromatography. Adv. Drug Deliv. Rev. 59, 1474-1479.</w:t>
      </w:r>
      <w:bookmarkEnd w:id="0"/>
    </w:p>
    <w:p w:rsidR="00853A45" w:rsidRPr="00DE3248" w:rsidRDefault="00853A45" w:rsidP="008E2A2B">
      <w:pPr>
        <w:pStyle w:val="EndNoteBibliography"/>
        <w:spacing w:after="0"/>
      </w:pPr>
      <w:r w:rsidRPr="00DE3248">
        <w:t>Dudognon, E., Danède, F., Descamps, M., Correia, N.T., 2008. Evidence for a new crystalline phase of racemic ibuprofen. Pharm. Res. 25, 2853-2858.</w:t>
      </w:r>
    </w:p>
    <w:p w:rsidR="008E2A2B" w:rsidRPr="00DE3248" w:rsidRDefault="008E2A2B" w:rsidP="008E2A2B">
      <w:pPr>
        <w:pStyle w:val="EndNoteBibliography"/>
        <w:spacing w:after="0"/>
      </w:pPr>
      <w:r w:rsidRPr="00DE3248">
        <w:t>Dudognon, E., Correia, N.T., Danède, F., Descamps, M., 2013. Solid-Solid Transformation in Racemic Ibuprofen. Pharm. Res. 30, 81-89.</w:t>
      </w:r>
      <w:bookmarkEnd w:id="1"/>
    </w:p>
    <w:p w:rsidR="0034604C" w:rsidRPr="00DE3248" w:rsidRDefault="0034604C" w:rsidP="008E2A2B">
      <w:pPr>
        <w:pStyle w:val="EndNoteBibliography"/>
        <w:spacing w:after="0"/>
      </w:pPr>
      <w:bookmarkStart w:id="2" w:name="_ENREF_5"/>
      <w:r w:rsidRPr="00DE3248">
        <w:t>Dumarey, M., Wikström, H., Fransson, M., Sparén, A., Tajarobi, P., Josefson, M., Trygg, J., 2011. Combining experimental design and orthogonal projections to latent structures to study the influence of microcrystalline cellulose properties on roll compaction. Int. J. Pharm. 416, 110-119.</w:t>
      </w:r>
      <w:bookmarkEnd w:id="2"/>
    </w:p>
    <w:p w:rsidR="0034604C" w:rsidRPr="00DE3248" w:rsidRDefault="0034604C" w:rsidP="008E2A2B">
      <w:pPr>
        <w:pStyle w:val="EndNoteBibliography"/>
        <w:spacing w:after="0"/>
      </w:pPr>
      <w:bookmarkStart w:id="3" w:name="_ENREF_18"/>
      <w:r w:rsidRPr="00DE3248">
        <w:t>Khomane, K.S., Bansal, A.K., 2013. Yield strength of microcrystalline cellulose: Experimental evidence by dielectric spectroscopy. Int. J. Pharm. 455, 1-4.</w:t>
      </w:r>
      <w:bookmarkEnd w:id="3"/>
    </w:p>
    <w:p w:rsidR="0092652B" w:rsidRPr="00DE3248" w:rsidRDefault="0092652B" w:rsidP="0092652B">
      <w:pPr>
        <w:pStyle w:val="EndNoteBibliography"/>
        <w:spacing w:after="0"/>
      </w:pPr>
      <w:bookmarkStart w:id="4" w:name="_ENREF_23"/>
      <w:r w:rsidRPr="00DE3248">
        <w:t>Kumar, D., Shastri, N.R., 2013. Designed isomorphism of nifedipine: a joint experimental and molecular simulation study with screened solvents and antisolvents. Cryst. Growth Des. 14, 326-338.</w:t>
      </w:r>
      <w:bookmarkEnd w:id="4"/>
    </w:p>
    <w:p w:rsidR="008976B4" w:rsidRPr="00DE3248" w:rsidRDefault="008976B4" w:rsidP="0092652B">
      <w:pPr>
        <w:pStyle w:val="EndNoteBibliography"/>
        <w:spacing w:after="0"/>
      </w:pPr>
      <w:r w:rsidRPr="00DE3248">
        <w:t>Larsson, I., Kristensen, H., 2000. Comminution of a brittle/ductile material in a Micros Ring Mill. Powder Technol. 107, 175-178.</w:t>
      </w:r>
    </w:p>
    <w:p w:rsidR="0092652B" w:rsidRPr="00DE3248" w:rsidRDefault="0092652B" w:rsidP="0092652B">
      <w:pPr>
        <w:pStyle w:val="EndNoteBibliography"/>
        <w:spacing w:after="0"/>
      </w:pPr>
      <w:bookmarkStart w:id="5" w:name="_ENREF_29"/>
      <w:r w:rsidRPr="00DE3248">
        <w:t>Newell, H.E., Buckton, G., Butler, D.A., Thielmann, F., Williams, D.R., 2001. The use of inverse phase gas chromatography to measure the surface energy of crystalline, amorphous, and recently milled lactose. Pharm. Res. 18, 662-666.</w:t>
      </w:r>
      <w:bookmarkEnd w:id="5"/>
    </w:p>
    <w:p w:rsidR="0034604C" w:rsidRPr="00DE3248" w:rsidRDefault="0034604C" w:rsidP="0092652B">
      <w:pPr>
        <w:pStyle w:val="EndNoteBibliography"/>
        <w:spacing w:after="0"/>
      </w:pPr>
      <w:bookmarkStart w:id="6" w:name="_ENREF_26"/>
      <w:r w:rsidRPr="00DE3248">
        <w:t>Osorio, J.G., Muzzio, F.J., 2013. Effects of powder flow properties on capsule filling weight uniformity. Drug Dev. Ind. Pharm. 39, 1464-1475.</w:t>
      </w:r>
      <w:bookmarkEnd w:id="6"/>
    </w:p>
    <w:p w:rsidR="00B72499" w:rsidRPr="00DE3248" w:rsidRDefault="00B72499" w:rsidP="0092652B">
      <w:pPr>
        <w:pStyle w:val="EndNoteBibliography"/>
        <w:spacing w:after="0"/>
      </w:pPr>
      <w:r w:rsidRPr="00DE3248">
        <w:lastRenderedPageBreak/>
        <w:t>Patel, S., Kaushal, A.M., Bansal, A.K., 2010. Mechanistic investigation on pressure dependency of Heckel parameter. Int. J. Pharm. 389, 66-73.</w:t>
      </w:r>
    </w:p>
    <w:p w:rsidR="00A37FBE" w:rsidRPr="00DE3248" w:rsidRDefault="00A37FBE" w:rsidP="0092652B">
      <w:pPr>
        <w:pStyle w:val="EndNoteBibliography"/>
        <w:spacing w:after="0"/>
      </w:pPr>
      <w:bookmarkStart w:id="7" w:name="_ENREF_34"/>
      <w:bookmarkStart w:id="8" w:name="_ENREF_41"/>
      <w:r w:rsidRPr="00DE3248">
        <w:t>Rowe, R.C., Roberts, R.J., 1995. 1 The mechanical properties of powders, in: David Ganderton, T.J., James, M. (Eds.), Advances in Pharmaceutical Sciences. Academic Press, pp. 1-65.</w:t>
      </w:r>
      <w:bookmarkEnd w:id="7"/>
    </w:p>
    <w:p w:rsidR="0092652B" w:rsidRPr="00DE3248" w:rsidRDefault="0092652B" w:rsidP="0092652B">
      <w:pPr>
        <w:pStyle w:val="EndNoteBibliography"/>
        <w:spacing w:after="0"/>
      </w:pPr>
      <w:r w:rsidRPr="00DE3248">
        <w:t>Schmidt, C., Ulrich, J., 2012. Predicting crystal morphology grown from solution. Chem. Eng. Technol. 35, 1009-1012.</w:t>
      </w:r>
      <w:bookmarkEnd w:id="8"/>
    </w:p>
    <w:p w:rsidR="003F07CB" w:rsidRPr="00DE3248" w:rsidRDefault="003F07CB" w:rsidP="0092652B">
      <w:pPr>
        <w:pStyle w:val="EndNoteBibliography"/>
        <w:spacing w:after="0"/>
      </w:pPr>
      <w:r w:rsidRPr="00DE3248">
        <w:t>Shariare, M.H., Blagden, N., Matas, M.d., Leusen, F.J., York, P., 2012. Influence of solvent on the morphology and subsequent comminution of ibuprofen crystals by air jet milling. ‎J. Pharm. Sci. 101, 1108-1119.</w:t>
      </w:r>
    </w:p>
    <w:p w:rsidR="00461EE3" w:rsidRPr="00C8040D" w:rsidRDefault="00461EE3" w:rsidP="00461EE3">
      <w:pPr>
        <w:pStyle w:val="EndNoteBibliography"/>
        <w:spacing w:after="0"/>
      </w:pPr>
      <w:bookmarkStart w:id="9" w:name="_ENREF_50"/>
      <w:r w:rsidRPr="00DE3248">
        <w:t>Tewes, F., Gobbo, O.L., Amaro, M.I., Tajber, L., Corrigan, O.I., Ehrhardt, C., Healy, A.M., 2011. Evaluation of HPβCD–PEG Microparticles for Salmon Calcitonin Administration via Pulmonary Delivery. Mol. Pharm. 8, 1887-1898.</w:t>
      </w:r>
      <w:bookmarkStart w:id="10" w:name="_GoBack"/>
      <w:bookmarkEnd w:id="9"/>
      <w:bookmarkEnd w:id="10"/>
    </w:p>
    <w:p w:rsidR="0092652B" w:rsidRPr="00C8040D" w:rsidRDefault="0092652B" w:rsidP="0092652B">
      <w:pPr>
        <w:pStyle w:val="EndNoteBibliography"/>
        <w:spacing w:after="0"/>
      </w:pPr>
    </w:p>
    <w:p w:rsidR="0092652B" w:rsidRDefault="0092652B" w:rsidP="008E2A2B">
      <w:pPr>
        <w:pStyle w:val="EndNoteBibliography"/>
        <w:spacing w:after="0"/>
      </w:pPr>
    </w:p>
    <w:p w:rsidR="00737250" w:rsidRPr="00BA5684" w:rsidRDefault="00737250" w:rsidP="008E2A2B">
      <w:pPr>
        <w:pStyle w:val="EndNoteBibliography"/>
        <w:spacing w:after="0"/>
      </w:pPr>
    </w:p>
    <w:p w:rsidR="008E2A2B" w:rsidRPr="00E75112" w:rsidRDefault="008E2A2B" w:rsidP="00E75112">
      <w:pPr>
        <w:spacing w:before="240" w:after="120" w:line="480" w:lineRule="auto"/>
        <w:rPr>
          <w:rFonts w:cs="Times New Roman"/>
          <w:b/>
          <w:szCs w:val="24"/>
        </w:rPr>
      </w:pPr>
    </w:p>
    <w:p w:rsidR="00EF2533" w:rsidRPr="00EB5077" w:rsidRDefault="00EF2533" w:rsidP="000C255C">
      <w:pPr>
        <w:pStyle w:val="Caption"/>
        <w:spacing w:line="480" w:lineRule="auto"/>
        <w:rPr>
          <w:rFonts w:cs="Times New Roman"/>
        </w:rPr>
      </w:pPr>
    </w:p>
    <w:sectPr w:rsidR="00EF2533" w:rsidRPr="00EB5077" w:rsidSect="00AC73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38F" w:rsidRDefault="00E4138F" w:rsidP="00C3036A">
      <w:pPr>
        <w:spacing w:after="0" w:line="240" w:lineRule="auto"/>
      </w:pPr>
      <w:r>
        <w:separator/>
      </w:r>
    </w:p>
  </w:endnote>
  <w:endnote w:type="continuationSeparator" w:id="0">
    <w:p w:rsidR="00E4138F" w:rsidRDefault="00E4138F" w:rsidP="00C30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1482482"/>
      <w:docPartObj>
        <w:docPartGallery w:val="Page Numbers (Bottom of Page)"/>
        <w:docPartUnique/>
      </w:docPartObj>
    </w:sdtPr>
    <w:sdtEndPr>
      <w:rPr>
        <w:noProof/>
      </w:rPr>
    </w:sdtEndPr>
    <w:sdtContent>
      <w:p w:rsidR="008162A4" w:rsidRDefault="008162A4">
        <w:pPr>
          <w:pStyle w:val="Footer"/>
          <w:jc w:val="center"/>
        </w:pPr>
        <w:r>
          <w:fldChar w:fldCharType="begin"/>
        </w:r>
        <w:r>
          <w:instrText xml:space="preserve"> PAGE   \* MERGEFORMAT </w:instrText>
        </w:r>
        <w:r>
          <w:fldChar w:fldCharType="separate"/>
        </w:r>
        <w:r w:rsidR="00DE3248">
          <w:rPr>
            <w:noProof/>
          </w:rPr>
          <w:t>24</w:t>
        </w:r>
        <w:r>
          <w:rPr>
            <w:noProof/>
          </w:rPr>
          <w:fldChar w:fldCharType="end"/>
        </w:r>
      </w:p>
    </w:sdtContent>
  </w:sdt>
  <w:p w:rsidR="008162A4" w:rsidRDefault="008162A4" w:rsidP="000214F8">
    <w:pPr>
      <w:pStyle w:val="Footer"/>
      <w:tabs>
        <w:tab w:val="clear" w:pos="4680"/>
        <w:tab w:val="clear" w:pos="9360"/>
        <w:tab w:val="left" w:pos="6975"/>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430789"/>
      <w:docPartObj>
        <w:docPartGallery w:val="Page Numbers (Bottom of Page)"/>
        <w:docPartUnique/>
      </w:docPartObj>
    </w:sdtPr>
    <w:sdtEndPr>
      <w:rPr>
        <w:noProof/>
      </w:rPr>
    </w:sdtEndPr>
    <w:sdtContent>
      <w:p w:rsidR="008162A4" w:rsidRDefault="008162A4">
        <w:pPr>
          <w:pStyle w:val="Footer"/>
          <w:jc w:val="center"/>
        </w:pPr>
        <w:r>
          <w:fldChar w:fldCharType="begin"/>
        </w:r>
        <w:r>
          <w:instrText xml:space="preserve"> PAGE   \* MERGEFORMAT </w:instrText>
        </w:r>
        <w:r>
          <w:fldChar w:fldCharType="separate"/>
        </w:r>
        <w:r w:rsidR="00DE3248">
          <w:rPr>
            <w:noProof/>
          </w:rPr>
          <w:t>1</w:t>
        </w:r>
        <w:r>
          <w:rPr>
            <w:noProof/>
          </w:rPr>
          <w:fldChar w:fldCharType="end"/>
        </w:r>
      </w:p>
    </w:sdtContent>
  </w:sdt>
  <w:p w:rsidR="008162A4" w:rsidRDefault="00816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38F" w:rsidRDefault="00E4138F" w:rsidP="00C3036A">
      <w:pPr>
        <w:spacing w:after="0" w:line="240" w:lineRule="auto"/>
      </w:pPr>
      <w:r>
        <w:separator/>
      </w:r>
    </w:p>
  </w:footnote>
  <w:footnote w:type="continuationSeparator" w:id="0">
    <w:p w:rsidR="00E4138F" w:rsidRDefault="00E4138F" w:rsidP="00C30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E23BA"/>
    <w:multiLevelType w:val="multilevel"/>
    <w:tmpl w:val="9CA035E0"/>
    <w:lvl w:ilvl="0">
      <w:start w:val="2"/>
      <w:numFmt w:val="decimal"/>
      <w:lvlText w:val="%1."/>
      <w:lvlJc w:val="left"/>
      <w:pPr>
        <w:ind w:left="360" w:hanging="360"/>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CB3F78"/>
    <w:multiLevelType w:val="multilevel"/>
    <w:tmpl w:val="BD34EA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AA6F46"/>
    <w:multiLevelType w:val="hybridMultilevel"/>
    <w:tmpl w:val="3E328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131078" w:nlCheck="1" w:checkStyle="0"/>
  <w:activeWritingStyle w:appName="MSWord" w:lang="en-US" w:vendorID="64" w:dllVersion="131078" w:nlCheck="1" w:checkStyle="1"/>
  <w:activeWritingStyle w:appName="MSWord" w:lang="en-IE"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KzNAICYwMDc3MLQyUdpeDU4uLM/DyQAkOTWgDxtDTMLQAAAA=="/>
  </w:docVars>
  <w:rsids>
    <w:rsidRoot w:val="0077566F"/>
    <w:rsid w:val="000214F8"/>
    <w:rsid w:val="000215FC"/>
    <w:rsid w:val="000340E3"/>
    <w:rsid w:val="00036811"/>
    <w:rsid w:val="00055C50"/>
    <w:rsid w:val="000564F9"/>
    <w:rsid w:val="00063BC9"/>
    <w:rsid w:val="00082FF9"/>
    <w:rsid w:val="00097D65"/>
    <w:rsid w:val="000C255C"/>
    <w:rsid w:val="000F0A1F"/>
    <w:rsid w:val="001004C4"/>
    <w:rsid w:val="00101C80"/>
    <w:rsid w:val="00121276"/>
    <w:rsid w:val="00146FC3"/>
    <w:rsid w:val="00150BFD"/>
    <w:rsid w:val="001510F5"/>
    <w:rsid w:val="001C65F5"/>
    <w:rsid w:val="001D01C1"/>
    <w:rsid w:val="001D5E8C"/>
    <w:rsid w:val="001D66A9"/>
    <w:rsid w:val="001F3999"/>
    <w:rsid w:val="001F731C"/>
    <w:rsid w:val="00210AEC"/>
    <w:rsid w:val="0023546F"/>
    <w:rsid w:val="00254688"/>
    <w:rsid w:val="0026655F"/>
    <w:rsid w:val="00273CCC"/>
    <w:rsid w:val="002832EF"/>
    <w:rsid w:val="002A7994"/>
    <w:rsid w:val="002D077E"/>
    <w:rsid w:val="002E1F23"/>
    <w:rsid w:val="002E5F85"/>
    <w:rsid w:val="003052D1"/>
    <w:rsid w:val="00326A69"/>
    <w:rsid w:val="00335AA4"/>
    <w:rsid w:val="00345EC7"/>
    <w:rsid w:val="0034604C"/>
    <w:rsid w:val="00347072"/>
    <w:rsid w:val="003513F5"/>
    <w:rsid w:val="003566C1"/>
    <w:rsid w:val="00361069"/>
    <w:rsid w:val="0037152B"/>
    <w:rsid w:val="00374667"/>
    <w:rsid w:val="00387502"/>
    <w:rsid w:val="0039027D"/>
    <w:rsid w:val="00392DDA"/>
    <w:rsid w:val="003A020D"/>
    <w:rsid w:val="003B4276"/>
    <w:rsid w:val="003B5A0B"/>
    <w:rsid w:val="003C1549"/>
    <w:rsid w:val="003D7925"/>
    <w:rsid w:val="003E1AB5"/>
    <w:rsid w:val="003F07CB"/>
    <w:rsid w:val="003F182D"/>
    <w:rsid w:val="00404134"/>
    <w:rsid w:val="00416250"/>
    <w:rsid w:val="0043567F"/>
    <w:rsid w:val="0044106F"/>
    <w:rsid w:val="004617BF"/>
    <w:rsid w:val="00461EE3"/>
    <w:rsid w:val="00470D70"/>
    <w:rsid w:val="00472B86"/>
    <w:rsid w:val="00497583"/>
    <w:rsid w:val="004C4C86"/>
    <w:rsid w:val="004E48A0"/>
    <w:rsid w:val="005064A1"/>
    <w:rsid w:val="00507335"/>
    <w:rsid w:val="00530D71"/>
    <w:rsid w:val="00532AE2"/>
    <w:rsid w:val="00547535"/>
    <w:rsid w:val="00570193"/>
    <w:rsid w:val="005A4A25"/>
    <w:rsid w:val="005B1051"/>
    <w:rsid w:val="005C2D08"/>
    <w:rsid w:val="005D2A2F"/>
    <w:rsid w:val="005D4031"/>
    <w:rsid w:val="005E2D67"/>
    <w:rsid w:val="005E64F1"/>
    <w:rsid w:val="005E7603"/>
    <w:rsid w:val="0060655A"/>
    <w:rsid w:val="00627A96"/>
    <w:rsid w:val="006459D7"/>
    <w:rsid w:val="00651216"/>
    <w:rsid w:val="0066616E"/>
    <w:rsid w:val="00681518"/>
    <w:rsid w:val="006851E4"/>
    <w:rsid w:val="006A624E"/>
    <w:rsid w:val="006B0827"/>
    <w:rsid w:val="006B403D"/>
    <w:rsid w:val="006B4C2D"/>
    <w:rsid w:val="006B512D"/>
    <w:rsid w:val="006B5436"/>
    <w:rsid w:val="00705156"/>
    <w:rsid w:val="00707503"/>
    <w:rsid w:val="00712A27"/>
    <w:rsid w:val="00733BA6"/>
    <w:rsid w:val="00737250"/>
    <w:rsid w:val="0074330A"/>
    <w:rsid w:val="00747BA9"/>
    <w:rsid w:val="00754F95"/>
    <w:rsid w:val="0075797C"/>
    <w:rsid w:val="00763947"/>
    <w:rsid w:val="0077566F"/>
    <w:rsid w:val="0078276B"/>
    <w:rsid w:val="007879E4"/>
    <w:rsid w:val="007C141F"/>
    <w:rsid w:val="007D66F3"/>
    <w:rsid w:val="007E097F"/>
    <w:rsid w:val="007E356E"/>
    <w:rsid w:val="007E45B8"/>
    <w:rsid w:val="007F575B"/>
    <w:rsid w:val="007F7C30"/>
    <w:rsid w:val="008062C8"/>
    <w:rsid w:val="008118B7"/>
    <w:rsid w:val="008162A4"/>
    <w:rsid w:val="00820157"/>
    <w:rsid w:val="00830C4B"/>
    <w:rsid w:val="00831251"/>
    <w:rsid w:val="00835875"/>
    <w:rsid w:val="00853A45"/>
    <w:rsid w:val="0086400E"/>
    <w:rsid w:val="0086449A"/>
    <w:rsid w:val="00864A6C"/>
    <w:rsid w:val="00867412"/>
    <w:rsid w:val="00887A0B"/>
    <w:rsid w:val="00887DD3"/>
    <w:rsid w:val="008976B4"/>
    <w:rsid w:val="008A07DD"/>
    <w:rsid w:val="008A5B15"/>
    <w:rsid w:val="008C4BA7"/>
    <w:rsid w:val="008D799F"/>
    <w:rsid w:val="008D7BA6"/>
    <w:rsid w:val="008E2A2B"/>
    <w:rsid w:val="009016B8"/>
    <w:rsid w:val="00902788"/>
    <w:rsid w:val="009040C8"/>
    <w:rsid w:val="009232B0"/>
    <w:rsid w:val="00923923"/>
    <w:rsid w:val="0092652B"/>
    <w:rsid w:val="00951F57"/>
    <w:rsid w:val="00957EA7"/>
    <w:rsid w:val="009643FA"/>
    <w:rsid w:val="00974CCA"/>
    <w:rsid w:val="00981C98"/>
    <w:rsid w:val="009A123A"/>
    <w:rsid w:val="009C49C0"/>
    <w:rsid w:val="009D073C"/>
    <w:rsid w:val="009F791B"/>
    <w:rsid w:val="00A37FBE"/>
    <w:rsid w:val="00A53EF9"/>
    <w:rsid w:val="00A5729C"/>
    <w:rsid w:val="00A71D36"/>
    <w:rsid w:val="00A873AC"/>
    <w:rsid w:val="00A928A4"/>
    <w:rsid w:val="00A92CD7"/>
    <w:rsid w:val="00AB1714"/>
    <w:rsid w:val="00AC319D"/>
    <w:rsid w:val="00AC4353"/>
    <w:rsid w:val="00AC73F7"/>
    <w:rsid w:val="00AD21EE"/>
    <w:rsid w:val="00AD295E"/>
    <w:rsid w:val="00AF10B6"/>
    <w:rsid w:val="00AF43DF"/>
    <w:rsid w:val="00B153DF"/>
    <w:rsid w:val="00B20901"/>
    <w:rsid w:val="00B40884"/>
    <w:rsid w:val="00B5053A"/>
    <w:rsid w:val="00B63D6D"/>
    <w:rsid w:val="00B647A5"/>
    <w:rsid w:val="00B72499"/>
    <w:rsid w:val="00B75DBA"/>
    <w:rsid w:val="00B8305E"/>
    <w:rsid w:val="00B845F8"/>
    <w:rsid w:val="00B87879"/>
    <w:rsid w:val="00B93B45"/>
    <w:rsid w:val="00B979F4"/>
    <w:rsid w:val="00BD6420"/>
    <w:rsid w:val="00BF0B37"/>
    <w:rsid w:val="00C07994"/>
    <w:rsid w:val="00C11536"/>
    <w:rsid w:val="00C25D07"/>
    <w:rsid w:val="00C3036A"/>
    <w:rsid w:val="00C46AD4"/>
    <w:rsid w:val="00C53149"/>
    <w:rsid w:val="00C66A52"/>
    <w:rsid w:val="00C758F8"/>
    <w:rsid w:val="00C93399"/>
    <w:rsid w:val="00CA679A"/>
    <w:rsid w:val="00CD2B87"/>
    <w:rsid w:val="00CE78D0"/>
    <w:rsid w:val="00D124D0"/>
    <w:rsid w:val="00D64A39"/>
    <w:rsid w:val="00D65E41"/>
    <w:rsid w:val="00D9005F"/>
    <w:rsid w:val="00DA0A09"/>
    <w:rsid w:val="00DC2280"/>
    <w:rsid w:val="00DD3D3D"/>
    <w:rsid w:val="00DE3248"/>
    <w:rsid w:val="00E0549B"/>
    <w:rsid w:val="00E06E5B"/>
    <w:rsid w:val="00E21322"/>
    <w:rsid w:val="00E31CBA"/>
    <w:rsid w:val="00E36CA8"/>
    <w:rsid w:val="00E4138F"/>
    <w:rsid w:val="00E448B1"/>
    <w:rsid w:val="00E465B8"/>
    <w:rsid w:val="00E573A3"/>
    <w:rsid w:val="00E70B1D"/>
    <w:rsid w:val="00E71AE9"/>
    <w:rsid w:val="00E75112"/>
    <w:rsid w:val="00E81AD4"/>
    <w:rsid w:val="00E90BDE"/>
    <w:rsid w:val="00EA368B"/>
    <w:rsid w:val="00EA3B17"/>
    <w:rsid w:val="00EB5077"/>
    <w:rsid w:val="00EC42EE"/>
    <w:rsid w:val="00ED2B62"/>
    <w:rsid w:val="00EE37C9"/>
    <w:rsid w:val="00EF2533"/>
    <w:rsid w:val="00F10481"/>
    <w:rsid w:val="00F210CF"/>
    <w:rsid w:val="00F305F4"/>
    <w:rsid w:val="00F51FE7"/>
    <w:rsid w:val="00F70315"/>
    <w:rsid w:val="00F70F5A"/>
    <w:rsid w:val="00FA1332"/>
    <w:rsid w:val="00FA3DC0"/>
    <w:rsid w:val="00FB48AA"/>
    <w:rsid w:val="00FC5701"/>
    <w:rsid w:val="00FF3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A5408-BAEB-485E-82B0-FA2FE415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CCA"/>
    <w:rPr>
      <w:rFonts w:ascii="Times New Roman" w:hAnsi="Times New Roman"/>
      <w:sz w:val="24"/>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7566F"/>
  </w:style>
  <w:style w:type="character" w:customStyle="1" w:styleId="institution">
    <w:name w:val="institution"/>
    <w:basedOn w:val="DefaultParagraphFont"/>
    <w:rsid w:val="0077566F"/>
  </w:style>
  <w:style w:type="character" w:customStyle="1" w:styleId="country">
    <w:name w:val="country"/>
    <w:basedOn w:val="DefaultParagraphFont"/>
    <w:rsid w:val="0077566F"/>
  </w:style>
  <w:style w:type="paragraph" w:styleId="Caption">
    <w:name w:val="caption"/>
    <w:basedOn w:val="Normal"/>
    <w:next w:val="Normal"/>
    <w:unhideWhenUsed/>
    <w:qFormat/>
    <w:rsid w:val="008D799F"/>
    <w:pPr>
      <w:spacing w:after="200" w:line="240" w:lineRule="auto"/>
    </w:pPr>
    <w:rPr>
      <w:i/>
      <w:iCs/>
      <w:color w:val="44546A" w:themeColor="text2"/>
      <w:sz w:val="18"/>
      <w:szCs w:val="18"/>
    </w:rPr>
  </w:style>
  <w:style w:type="paragraph" w:styleId="ListParagraph">
    <w:name w:val="List Paragraph"/>
    <w:basedOn w:val="Normal"/>
    <w:uiPriority w:val="34"/>
    <w:qFormat/>
    <w:rsid w:val="008D799F"/>
    <w:pPr>
      <w:ind w:left="720"/>
      <w:contextualSpacing/>
    </w:pPr>
  </w:style>
  <w:style w:type="table" w:styleId="TableGrid">
    <w:name w:val="Table Grid"/>
    <w:basedOn w:val="TableNormal"/>
    <w:uiPriority w:val="39"/>
    <w:rsid w:val="005B1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0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036A"/>
    <w:rPr>
      <w:rFonts w:ascii="Times New Roman" w:hAnsi="Times New Roman"/>
      <w:sz w:val="24"/>
      <w:lang w:val="en-IE"/>
    </w:rPr>
  </w:style>
  <w:style w:type="paragraph" w:styleId="Footer">
    <w:name w:val="footer"/>
    <w:basedOn w:val="Normal"/>
    <w:link w:val="FooterChar"/>
    <w:uiPriority w:val="99"/>
    <w:unhideWhenUsed/>
    <w:rsid w:val="00C303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036A"/>
    <w:rPr>
      <w:rFonts w:ascii="Times New Roman" w:hAnsi="Times New Roman"/>
      <w:sz w:val="24"/>
      <w:lang w:val="en-IE"/>
    </w:rPr>
  </w:style>
  <w:style w:type="character" w:customStyle="1" w:styleId="hlfld-contribauthor">
    <w:name w:val="hlfld-contribauthor"/>
    <w:basedOn w:val="DefaultParagraphFont"/>
    <w:rsid w:val="001D01C1"/>
  </w:style>
  <w:style w:type="character" w:styleId="Hyperlink">
    <w:name w:val="Hyperlink"/>
    <w:basedOn w:val="DefaultParagraphFont"/>
    <w:uiPriority w:val="99"/>
    <w:unhideWhenUsed/>
    <w:rsid w:val="001D01C1"/>
    <w:rPr>
      <w:color w:val="0000FF"/>
      <w:u w:val="single"/>
    </w:rPr>
  </w:style>
  <w:style w:type="character" w:customStyle="1" w:styleId="nlmxref-aff">
    <w:name w:val="nlm_xref-aff"/>
    <w:basedOn w:val="DefaultParagraphFont"/>
    <w:rsid w:val="001D01C1"/>
  </w:style>
  <w:style w:type="paragraph" w:customStyle="1" w:styleId="EndNoteBibliography">
    <w:name w:val="EndNote Bibliography"/>
    <w:basedOn w:val="Normal"/>
    <w:link w:val="EndNoteBibliographyChar"/>
    <w:rsid w:val="008E2A2B"/>
    <w:pPr>
      <w:spacing w:before="240" w:after="240" w:line="480" w:lineRule="auto"/>
      <w:contextualSpacing/>
      <w:jc w:val="both"/>
    </w:pPr>
    <w:rPr>
      <w:rFonts w:eastAsia="Batang" w:cs="Times New Roman"/>
      <w:noProof/>
      <w:szCs w:val="24"/>
      <w:lang w:val="cs-CZ" w:eastAsia="cs-CZ"/>
    </w:rPr>
  </w:style>
  <w:style w:type="character" w:customStyle="1" w:styleId="EndNoteBibliographyChar">
    <w:name w:val="EndNote Bibliography Char"/>
    <w:link w:val="EndNoteBibliography"/>
    <w:rsid w:val="008E2A2B"/>
    <w:rPr>
      <w:rFonts w:ascii="Times New Roman" w:eastAsia="Batang" w:hAnsi="Times New Roman" w:cs="Times New Roman"/>
      <w:noProof/>
      <w:sz w:val="24"/>
      <w:szCs w:val="24"/>
      <w:lang w:val="cs-CZ" w:eastAsia="cs-CZ"/>
    </w:rPr>
  </w:style>
  <w:style w:type="table" w:styleId="PlainTable2">
    <w:name w:val="Plain Table 2"/>
    <w:basedOn w:val="TableNormal"/>
    <w:uiPriority w:val="42"/>
    <w:rsid w:val="00FB48AA"/>
    <w:pPr>
      <w:spacing w:after="0" w:line="240" w:lineRule="auto"/>
    </w:pPr>
    <w:rPr>
      <w:lang w:val="en-I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01">
    <w:name w:val="fontstyle01"/>
    <w:basedOn w:val="DefaultParagraphFont"/>
    <w:rsid w:val="00BF0B37"/>
    <w:rPr>
      <w:rFonts w:ascii="Times New Roman" w:hAnsi="Times New Roman" w:cs="Times New Roman" w:hint="default"/>
      <w:b w:val="0"/>
      <w:bCs w:val="0"/>
      <w:i w:val="0"/>
      <w:iCs w:val="0"/>
      <w:color w:val="000000"/>
      <w:sz w:val="22"/>
      <w:szCs w:val="22"/>
    </w:rPr>
  </w:style>
  <w:style w:type="paragraph" w:styleId="BalloonText">
    <w:name w:val="Balloon Text"/>
    <w:basedOn w:val="Normal"/>
    <w:link w:val="BalloonTextChar"/>
    <w:uiPriority w:val="99"/>
    <w:semiHidden/>
    <w:unhideWhenUsed/>
    <w:rsid w:val="00707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503"/>
    <w:rPr>
      <w:rFonts w:ascii="Segoe UI" w:hAnsi="Segoe UI" w:cs="Segoe UI"/>
      <w:sz w:val="18"/>
      <w:szCs w:val="18"/>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2319">
      <w:bodyDiv w:val="1"/>
      <w:marLeft w:val="0"/>
      <w:marRight w:val="0"/>
      <w:marTop w:val="0"/>
      <w:marBottom w:val="0"/>
      <w:divBdr>
        <w:top w:val="none" w:sz="0" w:space="0" w:color="auto"/>
        <w:left w:val="none" w:sz="0" w:space="0" w:color="auto"/>
        <w:bottom w:val="none" w:sz="0" w:space="0" w:color="auto"/>
        <w:right w:val="none" w:sz="0" w:space="0" w:color="auto"/>
      </w:divBdr>
    </w:div>
    <w:div w:id="563299532">
      <w:bodyDiv w:val="1"/>
      <w:marLeft w:val="0"/>
      <w:marRight w:val="0"/>
      <w:marTop w:val="0"/>
      <w:marBottom w:val="0"/>
      <w:divBdr>
        <w:top w:val="none" w:sz="0" w:space="0" w:color="auto"/>
        <w:left w:val="none" w:sz="0" w:space="0" w:color="auto"/>
        <w:bottom w:val="none" w:sz="0" w:space="0" w:color="auto"/>
        <w:right w:val="none" w:sz="0" w:space="0" w:color="auto"/>
      </w:divBdr>
    </w:div>
    <w:div w:id="697508992">
      <w:bodyDiv w:val="1"/>
      <w:marLeft w:val="0"/>
      <w:marRight w:val="0"/>
      <w:marTop w:val="0"/>
      <w:marBottom w:val="0"/>
      <w:divBdr>
        <w:top w:val="none" w:sz="0" w:space="0" w:color="auto"/>
        <w:left w:val="none" w:sz="0" w:space="0" w:color="auto"/>
        <w:bottom w:val="none" w:sz="0" w:space="0" w:color="auto"/>
        <w:right w:val="none" w:sz="0" w:space="0" w:color="auto"/>
      </w:divBdr>
    </w:div>
    <w:div w:id="875000405">
      <w:bodyDiv w:val="1"/>
      <w:marLeft w:val="0"/>
      <w:marRight w:val="0"/>
      <w:marTop w:val="0"/>
      <w:marBottom w:val="0"/>
      <w:divBdr>
        <w:top w:val="none" w:sz="0" w:space="0" w:color="auto"/>
        <w:left w:val="none" w:sz="0" w:space="0" w:color="auto"/>
        <w:bottom w:val="none" w:sz="0" w:space="0" w:color="auto"/>
        <w:right w:val="none" w:sz="0" w:space="0" w:color="auto"/>
      </w:divBdr>
    </w:div>
    <w:div w:id="1119180706">
      <w:bodyDiv w:val="1"/>
      <w:marLeft w:val="0"/>
      <w:marRight w:val="0"/>
      <w:marTop w:val="0"/>
      <w:marBottom w:val="0"/>
      <w:divBdr>
        <w:top w:val="none" w:sz="0" w:space="0" w:color="auto"/>
        <w:left w:val="none" w:sz="0" w:space="0" w:color="auto"/>
        <w:bottom w:val="none" w:sz="0" w:space="0" w:color="auto"/>
        <w:right w:val="none" w:sz="0" w:space="0" w:color="auto"/>
      </w:divBdr>
    </w:div>
    <w:div w:id="1492208617">
      <w:bodyDiv w:val="1"/>
      <w:marLeft w:val="0"/>
      <w:marRight w:val="0"/>
      <w:marTop w:val="0"/>
      <w:marBottom w:val="0"/>
      <w:divBdr>
        <w:top w:val="none" w:sz="0" w:space="0" w:color="auto"/>
        <w:left w:val="none" w:sz="0" w:space="0" w:color="auto"/>
        <w:bottom w:val="none" w:sz="0" w:space="0" w:color="auto"/>
        <w:right w:val="none" w:sz="0" w:space="0" w:color="auto"/>
      </w:divBdr>
    </w:div>
    <w:div w:id="1688944371">
      <w:bodyDiv w:val="1"/>
      <w:marLeft w:val="0"/>
      <w:marRight w:val="0"/>
      <w:marTop w:val="0"/>
      <w:marBottom w:val="0"/>
      <w:divBdr>
        <w:top w:val="none" w:sz="0" w:space="0" w:color="auto"/>
        <w:left w:val="none" w:sz="0" w:space="0" w:color="auto"/>
        <w:bottom w:val="none" w:sz="0" w:space="0" w:color="auto"/>
        <w:right w:val="none" w:sz="0" w:space="0" w:color="auto"/>
      </w:divBdr>
    </w:div>
    <w:div w:id="202362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tif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0.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image" Target="media/image11.tif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E37B3-F062-47CE-871D-3352EC04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7193</Words>
  <Characters>41004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zelalem worku</dc:creator>
  <cp:keywords/>
  <dc:description/>
  <cp:lastModifiedBy>Anne-Marie Healy</cp:lastModifiedBy>
  <cp:revision>2</cp:revision>
  <dcterms:created xsi:type="dcterms:W3CDTF">2019-07-31T14:33:00Z</dcterms:created>
  <dcterms:modified xsi:type="dcterms:W3CDTF">2019-07-31T14:33:00Z</dcterms:modified>
</cp:coreProperties>
</file>