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098261" w14:textId="77777777" w:rsidR="001D6B7D" w:rsidRPr="00151B72" w:rsidRDefault="001D6B7D" w:rsidP="009C0532">
      <w:pPr>
        <w:pStyle w:val="Title"/>
        <w:jc w:val="left"/>
        <w:rPr>
          <w:rFonts w:ascii="Calibri" w:hAnsi="Calibri" w:cs="Calibri"/>
          <w:sz w:val="20"/>
          <w:szCs w:val="20"/>
        </w:rPr>
      </w:pPr>
      <w:r w:rsidRPr="00151B72">
        <w:rPr>
          <w:rFonts w:ascii="Calibri" w:hAnsi="Calibri" w:cs="Calibri"/>
          <w:sz w:val="20"/>
          <w:szCs w:val="20"/>
        </w:rPr>
        <w:t>Silent Harm: evidence-informed training for stakeholders working in interpreter-mediated gender-based violence settings</w:t>
      </w:r>
      <w:r w:rsidRPr="00151B72" w:rsidDel="007251C6">
        <w:rPr>
          <w:rFonts w:ascii="Calibri" w:hAnsi="Calibri" w:cs="Calibri"/>
          <w:sz w:val="20"/>
          <w:szCs w:val="20"/>
        </w:rPr>
        <w:t xml:space="preserve"> </w:t>
      </w:r>
    </w:p>
    <w:p w14:paraId="47DB8852" w14:textId="77777777" w:rsidR="001D6B7D" w:rsidRPr="00151B72" w:rsidRDefault="001D6B7D" w:rsidP="0075411C">
      <w:pPr>
        <w:rPr>
          <w:rFonts w:cs="Calibri"/>
          <w:szCs w:val="20"/>
        </w:rPr>
      </w:pPr>
      <w:r w:rsidRPr="00151B72">
        <w:rPr>
          <w:rFonts w:cs="Calibri"/>
          <w:szCs w:val="20"/>
        </w:rPr>
        <w:t>Lorraine Leeson</w:t>
      </w:r>
      <w:r w:rsidRPr="00151B72">
        <w:rPr>
          <w:rFonts w:cs="Calibri"/>
          <w:szCs w:val="20"/>
          <w:vertAlign w:val="superscript"/>
        </w:rPr>
        <w:t>1</w:t>
      </w:r>
      <w:r w:rsidRPr="00151B72">
        <w:rPr>
          <w:rFonts w:cs="Calibri"/>
          <w:szCs w:val="20"/>
        </w:rPr>
        <w:t>, Jemina Napier</w:t>
      </w:r>
      <w:r w:rsidRPr="00151B72">
        <w:rPr>
          <w:rFonts w:cs="Calibri"/>
          <w:szCs w:val="20"/>
          <w:vertAlign w:val="superscript"/>
        </w:rPr>
        <w:t>2</w:t>
      </w:r>
      <w:r w:rsidRPr="00151B72">
        <w:rPr>
          <w:rFonts w:cs="Calibri"/>
          <w:szCs w:val="20"/>
        </w:rPr>
        <w:t>, Lianne Quigley</w:t>
      </w:r>
      <w:r w:rsidRPr="00151B72">
        <w:rPr>
          <w:rFonts w:cs="Calibri"/>
          <w:szCs w:val="20"/>
          <w:vertAlign w:val="superscript"/>
        </w:rPr>
        <w:t>1</w:t>
      </w:r>
      <w:r w:rsidRPr="00151B72">
        <w:rPr>
          <w:rFonts w:cs="Calibri"/>
          <w:szCs w:val="20"/>
        </w:rPr>
        <w:t xml:space="preserve"> and Catriona Freir</w:t>
      </w:r>
      <w:r w:rsidRPr="00151B72">
        <w:rPr>
          <w:rFonts w:cs="Calibri"/>
          <w:szCs w:val="20"/>
          <w:vertAlign w:val="superscript"/>
        </w:rPr>
        <w:t>3</w:t>
      </w:r>
    </w:p>
    <w:p w14:paraId="4C099DC3" w14:textId="77777777" w:rsidR="001D6B7D" w:rsidRPr="00151B72" w:rsidRDefault="001D6B7D" w:rsidP="0075411C">
      <w:pPr>
        <w:rPr>
          <w:rFonts w:cs="Calibri"/>
          <w:szCs w:val="20"/>
        </w:rPr>
      </w:pPr>
      <w:r w:rsidRPr="00151B72">
        <w:rPr>
          <w:rFonts w:cs="Calibri"/>
          <w:szCs w:val="20"/>
          <w:vertAlign w:val="superscript"/>
        </w:rPr>
        <w:t>1</w:t>
      </w:r>
      <w:r w:rsidRPr="00151B72">
        <w:rPr>
          <w:rFonts w:cs="Calibri"/>
          <w:szCs w:val="20"/>
        </w:rPr>
        <w:t>Trinity College Dublin, Dublin, Ireland</w:t>
      </w:r>
    </w:p>
    <w:p w14:paraId="27F611DD" w14:textId="77777777" w:rsidR="001D6B7D" w:rsidRPr="00151B72" w:rsidRDefault="001D6B7D" w:rsidP="0075411C">
      <w:pPr>
        <w:rPr>
          <w:rFonts w:cs="Calibri"/>
          <w:szCs w:val="20"/>
        </w:rPr>
      </w:pPr>
      <w:r w:rsidRPr="00151B72">
        <w:rPr>
          <w:rFonts w:cs="Calibri"/>
          <w:szCs w:val="20"/>
          <w:vertAlign w:val="superscript"/>
        </w:rPr>
        <w:t>2</w:t>
      </w:r>
      <w:r w:rsidRPr="00151B72">
        <w:rPr>
          <w:rFonts w:cs="Calibri"/>
          <w:szCs w:val="20"/>
        </w:rPr>
        <w:t>Heriot Watt University, Edinburgh, Scotland</w:t>
      </w:r>
    </w:p>
    <w:p w14:paraId="261824D4" w14:textId="77777777" w:rsidR="001D6B7D" w:rsidRPr="00151B72" w:rsidRDefault="001D6B7D" w:rsidP="0075411C">
      <w:pPr>
        <w:rPr>
          <w:rFonts w:cs="Calibri"/>
          <w:szCs w:val="20"/>
        </w:rPr>
      </w:pPr>
      <w:r w:rsidRPr="00151B72">
        <w:rPr>
          <w:rFonts w:cs="Calibri"/>
          <w:szCs w:val="20"/>
          <w:vertAlign w:val="superscript"/>
        </w:rPr>
        <w:t>3</w:t>
      </w:r>
      <w:r w:rsidRPr="00151B72">
        <w:rPr>
          <w:rFonts w:cs="Calibri"/>
          <w:szCs w:val="20"/>
        </w:rPr>
        <w:t>Dublin Rape Crisis Centre, Dublin, Ireland</w:t>
      </w:r>
    </w:p>
    <w:p w14:paraId="07498ED1" w14:textId="77777777" w:rsidR="001D6B7D" w:rsidRPr="00151B72" w:rsidRDefault="001D6B7D" w:rsidP="00A22CBC">
      <w:pPr>
        <w:pStyle w:val="Header"/>
        <w:rPr>
          <w:rFonts w:cs="Calibri"/>
          <w:szCs w:val="20"/>
        </w:rPr>
      </w:pPr>
    </w:p>
    <w:p w14:paraId="2BF8AB70" w14:textId="77777777" w:rsidR="001D6B7D" w:rsidRPr="00151B72" w:rsidRDefault="001D6B7D" w:rsidP="00A22CBC">
      <w:pPr>
        <w:pStyle w:val="Header"/>
        <w:rPr>
          <w:rFonts w:cs="Calibri"/>
          <w:szCs w:val="20"/>
        </w:rPr>
      </w:pPr>
      <w:hyperlink r:id="rId10" w:history="1">
        <w:r w:rsidRPr="00151B72">
          <w:rPr>
            <w:rStyle w:val="Hyperlink"/>
            <w:rFonts w:cs="Calibri"/>
            <w:szCs w:val="20"/>
          </w:rPr>
          <w:t>leesonl@tcd.ie</w:t>
        </w:r>
      </w:hyperlink>
    </w:p>
    <w:p w14:paraId="7DD5B469" w14:textId="7615BE56" w:rsidR="001D6B7D" w:rsidRPr="00151B72" w:rsidRDefault="00DE6F4C" w:rsidP="00A22CBC">
      <w:pPr>
        <w:pStyle w:val="Header"/>
        <w:rPr>
          <w:rFonts w:cs="Calibri"/>
          <w:szCs w:val="20"/>
        </w:rPr>
      </w:pPr>
      <w:hyperlink r:id="rId11" w:history="1">
        <w:r w:rsidRPr="00131CED">
          <w:rPr>
            <w:rStyle w:val="Hyperlink"/>
            <w:rFonts w:cs="Calibri"/>
            <w:szCs w:val="20"/>
          </w:rPr>
          <w:t>j.napier@hw.ac.uk</w:t>
        </w:r>
      </w:hyperlink>
      <w:r>
        <w:rPr>
          <w:rFonts w:cs="Calibri"/>
          <w:szCs w:val="20"/>
        </w:rPr>
        <w:t xml:space="preserve"> </w:t>
      </w:r>
      <w:r w:rsidR="001D6B7D" w:rsidRPr="00151B72">
        <w:rPr>
          <w:rFonts w:cs="Calibri"/>
          <w:szCs w:val="20"/>
        </w:rPr>
        <w:t xml:space="preserve"> </w:t>
      </w:r>
    </w:p>
    <w:p w14:paraId="0A77205A" w14:textId="77777777" w:rsidR="001D6B7D" w:rsidRPr="00151B72" w:rsidRDefault="001D6B7D" w:rsidP="00A22CBC">
      <w:pPr>
        <w:pStyle w:val="Header"/>
        <w:rPr>
          <w:rFonts w:cs="Calibri"/>
          <w:szCs w:val="20"/>
        </w:rPr>
      </w:pPr>
      <w:hyperlink r:id="rId12" w:history="1">
        <w:r w:rsidRPr="00151B72">
          <w:rPr>
            <w:rStyle w:val="Hyperlink"/>
            <w:rFonts w:cs="Calibri"/>
            <w:szCs w:val="20"/>
          </w:rPr>
          <w:t>liannequigley@gmail.com</w:t>
        </w:r>
      </w:hyperlink>
      <w:r w:rsidRPr="00151B72">
        <w:rPr>
          <w:rFonts w:cs="Calibri"/>
          <w:szCs w:val="20"/>
        </w:rPr>
        <w:t xml:space="preserve"> </w:t>
      </w:r>
    </w:p>
    <w:p w14:paraId="1720C815" w14:textId="77777777" w:rsidR="001D6B7D" w:rsidRPr="00151B72" w:rsidRDefault="001D6B7D" w:rsidP="00A22CBC">
      <w:pPr>
        <w:pStyle w:val="Header"/>
        <w:rPr>
          <w:rFonts w:cs="Calibri"/>
          <w:szCs w:val="20"/>
        </w:rPr>
      </w:pPr>
      <w:hyperlink r:id="rId13" w:history="1">
        <w:r w:rsidRPr="00151B72">
          <w:rPr>
            <w:rStyle w:val="Hyperlink"/>
            <w:rFonts w:cs="Calibri"/>
            <w:szCs w:val="20"/>
          </w:rPr>
          <w:t>caitriona.freir@rcc.ie</w:t>
        </w:r>
      </w:hyperlink>
    </w:p>
    <w:p w14:paraId="5FA8879F" w14:textId="77777777" w:rsidR="001D6B7D" w:rsidRPr="00151B72" w:rsidRDefault="001D6B7D" w:rsidP="00A22CBC">
      <w:pPr>
        <w:pStyle w:val="Header"/>
        <w:rPr>
          <w:rFonts w:cs="Calibri"/>
          <w:szCs w:val="20"/>
        </w:rPr>
      </w:pPr>
    </w:p>
    <w:p w14:paraId="5F67CF3A" w14:textId="77777777" w:rsidR="001D6B7D" w:rsidRPr="00151B72" w:rsidRDefault="001D6B7D" w:rsidP="00A22CBC">
      <w:pPr>
        <w:pStyle w:val="Header"/>
        <w:rPr>
          <w:rFonts w:cs="Calibri"/>
          <w:szCs w:val="20"/>
        </w:rPr>
      </w:pPr>
    </w:p>
    <w:p w14:paraId="2C85D690" w14:textId="3E74DF35" w:rsidR="001D6B7D" w:rsidRPr="00151B72" w:rsidRDefault="001D6B7D" w:rsidP="0075411C">
      <w:pPr>
        <w:rPr>
          <w:rFonts w:cs="Calibri"/>
          <w:szCs w:val="20"/>
        </w:rPr>
      </w:pPr>
      <w:r w:rsidRPr="00151B72">
        <w:rPr>
          <w:rFonts w:cs="Calibri"/>
          <w:b/>
          <w:bCs/>
          <w:szCs w:val="20"/>
        </w:rPr>
        <w:t xml:space="preserve">Abstract: </w:t>
      </w:r>
      <w:r w:rsidRPr="00151B72">
        <w:rPr>
          <w:rFonts w:cs="Calibri"/>
          <w:szCs w:val="20"/>
        </w:rPr>
        <w:t xml:space="preserve">Discussion and disclosure of domestic, sexual and gender-based violence (DSGBV) remains taboo for many. DSGBV was spotlighted as a ‘shadow pandemic’ across the Covid-19 pandemic with significant increases in instances of abuse recorded across the period. Concurrently, lack of access to any information around DSGBV in non-dominant languages including signed languages, along with limited organised opportunities to discuss DSGBV has left many speakers/signers experiencing DSGBV in a vacuum </w:t>
      </w:r>
      <w:r w:rsidRPr="00151B72">
        <w:rPr>
          <w:rFonts w:cs="Calibri"/>
          <w:noProof/>
          <w:szCs w:val="20"/>
        </w:rPr>
        <w:t>(Napier, Clark, Leeson, &amp; Quigley, 2024; Opsahl &amp; Pick, 2017)</w:t>
      </w:r>
      <w:r w:rsidR="002D7124">
        <w:rPr>
          <w:rFonts w:cs="Calibri"/>
          <w:noProof/>
          <w:szCs w:val="20"/>
        </w:rPr>
        <w:t>.</w:t>
      </w:r>
    </w:p>
    <w:p w14:paraId="25851AC5" w14:textId="77777777" w:rsidR="001D6B7D" w:rsidRPr="00151B72" w:rsidRDefault="001D6B7D" w:rsidP="0075411C">
      <w:pPr>
        <w:rPr>
          <w:rFonts w:cs="Calibri"/>
          <w:szCs w:val="20"/>
        </w:rPr>
      </w:pPr>
    </w:p>
    <w:p w14:paraId="7E60C3D7" w14:textId="59DC4267" w:rsidR="001D6B7D" w:rsidRPr="00151B72" w:rsidRDefault="001D6B7D" w:rsidP="0075411C">
      <w:pPr>
        <w:rPr>
          <w:rFonts w:cs="Calibri"/>
          <w:szCs w:val="20"/>
        </w:rPr>
      </w:pPr>
      <w:r w:rsidRPr="00151B72">
        <w:rPr>
          <w:rFonts w:cs="Calibri"/>
          <w:szCs w:val="20"/>
        </w:rPr>
        <w:t xml:space="preserve">There is robust consensus that migrants, refugees and members of deaf communities who experience DSGBV should have timely access to interpretation by competent and </w:t>
      </w:r>
      <w:r w:rsidR="000A169A" w:rsidRPr="00151B72">
        <w:rPr>
          <w:rFonts w:cs="Calibri"/>
          <w:szCs w:val="20"/>
        </w:rPr>
        <w:t>specially trained</w:t>
      </w:r>
      <w:r w:rsidRPr="00151B72">
        <w:rPr>
          <w:rFonts w:cs="Calibri"/>
          <w:szCs w:val="20"/>
        </w:rPr>
        <w:t xml:space="preserve"> professionals in a respectful framework of practice based upon integrity, which upholds their human rights. This, in turn, facilitates equitable engagement with the legal system and relevant support services </w:t>
      </w:r>
      <w:r w:rsidRPr="00151B72">
        <w:rPr>
          <w:rFonts w:cs="Calibri"/>
          <w:noProof/>
          <w:szCs w:val="20"/>
        </w:rPr>
        <w:t>(e.g. Admire &amp; Ramirez, 2021)</w:t>
      </w:r>
      <w:r w:rsidRPr="00151B72">
        <w:rPr>
          <w:rFonts w:cs="Calibri"/>
          <w:szCs w:val="20"/>
        </w:rPr>
        <w:t xml:space="preserve">. The literature also reveals a need for further research on interpreter preparedness towards enhanced understanding of its impact on DSGBV disclosures. Vicarious trauma for interpreters and gaps in understanding amongst law enforcement and support agencies about what constitutes positive interpreting experiences for all parties, are among the areas most urgently requiring further research. </w:t>
      </w:r>
    </w:p>
    <w:p w14:paraId="61460BDC" w14:textId="77777777" w:rsidR="001D6B7D" w:rsidRPr="00151B72" w:rsidRDefault="001D6B7D" w:rsidP="0075411C">
      <w:pPr>
        <w:rPr>
          <w:rFonts w:cs="Calibri"/>
          <w:szCs w:val="20"/>
        </w:rPr>
      </w:pPr>
    </w:p>
    <w:p w14:paraId="5741E165" w14:textId="77777777" w:rsidR="001D6B7D" w:rsidRPr="00151B72" w:rsidRDefault="001D6B7D" w:rsidP="0075411C">
      <w:pPr>
        <w:rPr>
          <w:rFonts w:cs="Calibri"/>
          <w:szCs w:val="20"/>
        </w:rPr>
      </w:pPr>
      <w:r w:rsidRPr="00151B72">
        <w:rPr>
          <w:rFonts w:cs="Calibri"/>
          <w:szCs w:val="20"/>
        </w:rPr>
        <w:t>We tackled these challenges with the multidisciplinary Justisigns 2 project team (2020-23), developing evidence-informed resources for key stakeholders who engage with deaf, refugee, and migrant women and girls who experience GBV and use a language other than that of their host community. Follow on work (Royal Society of Edinburgh/ Royal Irish Academy) facilitated roll-out with police, interpreters and other stakeholders in rural Scotland and Ireland. Significant work with deaf women across the project raised consciousness around DSGBV and led to the co-creation of glossaries of DSGBV terms in Irish Sign Language (ISL) and British Sign Language (BSL).</w:t>
      </w:r>
    </w:p>
    <w:p w14:paraId="1570BDCE" w14:textId="77777777" w:rsidR="001D6B7D" w:rsidRPr="00151B72" w:rsidRDefault="001D6B7D" w:rsidP="0075411C">
      <w:pPr>
        <w:rPr>
          <w:rFonts w:cs="Calibri"/>
          <w:szCs w:val="20"/>
        </w:rPr>
      </w:pPr>
    </w:p>
    <w:p w14:paraId="212E40B5" w14:textId="77777777" w:rsidR="001D6B7D" w:rsidRPr="00151B72" w:rsidRDefault="001D6B7D" w:rsidP="0075411C">
      <w:pPr>
        <w:rPr>
          <w:rFonts w:cs="Calibri"/>
          <w:szCs w:val="20"/>
        </w:rPr>
      </w:pPr>
      <w:r w:rsidRPr="00151B72">
        <w:rPr>
          <w:rFonts w:cs="Calibri"/>
          <w:szCs w:val="20"/>
        </w:rPr>
        <w:t xml:space="preserve">In this paper, we present results of a survey of key stakeholders from Ireland, the UK and Spain and outline our development of specialist training. We discuss how legislative frameworks and national policies around DSGBV and equality need further co-enmeshment, and we consider how minority community women who do not speak the host language, can be better included in informing and guiding development of processes that impact them. </w:t>
      </w:r>
    </w:p>
    <w:p w14:paraId="0675346D" w14:textId="77777777" w:rsidR="001D6B7D" w:rsidRPr="00151B72" w:rsidRDefault="001D6B7D" w:rsidP="00CD5BD0">
      <w:pPr>
        <w:pStyle w:val="Header"/>
        <w:rPr>
          <w:rFonts w:cs="Calibri"/>
          <w:szCs w:val="20"/>
        </w:rPr>
      </w:pPr>
    </w:p>
    <w:p w14:paraId="5968F6D0" w14:textId="77777777" w:rsidR="001D6B7D" w:rsidRPr="00151B72" w:rsidRDefault="001D6B7D" w:rsidP="00CD5BD0">
      <w:pPr>
        <w:pStyle w:val="Header"/>
        <w:rPr>
          <w:rFonts w:cs="Calibri"/>
          <w:szCs w:val="20"/>
        </w:rPr>
      </w:pPr>
    </w:p>
    <w:p w14:paraId="2AD172C3" w14:textId="77777777" w:rsidR="001D6B7D" w:rsidRPr="00151B72" w:rsidRDefault="001D6B7D" w:rsidP="00782CC4">
      <w:pPr>
        <w:pStyle w:val="Header"/>
        <w:rPr>
          <w:rFonts w:cs="Calibri"/>
          <w:szCs w:val="20"/>
        </w:rPr>
      </w:pPr>
      <w:r w:rsidRPr="00151B72">
        <w:rPr>
          <w:rFonts w:cs="Calibri"/>
          <w:b/>
          <w:bCs/>
          <w:szCs w:val="20"/>
        </w:rPr>
        <w:t xml:space="preserve">Key words: </w:t>
      </w:r>
      <w:r w:rsidRPr="00151B72">
        <w:rPr>
          <w:rFonts w:cs="Calibri"/>
          <w:szCs w:val="20"/>
        </w:rPr>
        <w:t>domestic, sexual and</w:t>
      </w:r>
      <w:r w:rsidRPr="00151B72">
        <w:rPr>
          <w:rFonts w:cs="Calibri"/>
          <w:b/>
          <w:bCs/>
          <w:szCs w:val="20"/>
        </w:rPr>
        <w:t xml:space="preserve"> </w:t>
      </w:r>
      <w:r w:rsidRPr="00151B72">
        <w:rPr>
          <w:rFonts w:cs="Calibri"/>
          <w:szCs w:val="20"/>
        </w:rPr>
        <w:t>gender-based violence (DSGBV), interpreting services, deaf and migrant women, sign languages, language concordant services.</w:t>
      </w:r>
    </w:p>
    <w:p w14:paraId="402C7D94" w14:textId="77777777" w:rsidR="001D6B7D" w:rsidRPr="00151B72" w:rsidRDefault="001D6B7D" w:rsidP="00782CC4">
      <w:pPr>
        <w:pStyle w:val="Header"/>
        <w:rPr>
          <w:rFonts w:cs="Calibri"/>
          <w:szCs w:val="20"/>
        </w:rPr>
      </w:pPr>
    </w:p>
    <w:p w14:paraId="05DA6F56" w14:textId="77777777" w:rsidR="001D6B7D" w:rsidRPr="00151B72" w:rsidRDefault="001D6B7D" w:rsidP="00CD5BD0">
      <w:pPr>
        <w:pStyle w:val="Heading1"/>
        <w:rPr>
          <w:rFonts w:cs="Calibri"/>
          <w:sz w:val="20"/>
          <w:szCs w:val="20"/>
        </w:rPr>
      </w:pPr>
      <w:r w:rsidRPr="00151B72">
        <w:rPr>
          <w:rFonts w:cs="Calibri"/>
          <w:sz w:val="20"/>
          <w:szCs w:val="20"/>
        </w:rPr>
        <w:t>Background</w:t>
      </w:r>
    </w:p>
    <w:p w14:paraId="27EDDE2E" w14:textId="5D766048" w:rsidR="001D6B7D" w:rsidRPr="00151B72" w:rsidRDefault="001D6B7D" w:rsidP="00271A1F">
      <w:pPr>
        <w:rPr>
          <w:rFonts w:cs="Calibri"/>
          <w:szCs w:val="20"/>
        </w:rPr>
      </w:pPr>
      <w:r w:rsidRPr="00151B72">
        <w:rPr>
          <w:rFonts w:cs="Calibri"/>
          <w:szCs w:val="20"/>
        </w:rPr>
        <w:t xml:space="preserve">Domestic, sexual, and gender-based violence (DSGBV) was spotlighted as a ‘shadow pandemic’ across the Covid-19 pandemic with significant increases in instances of abuse recorded across the period. However, at the same time, lack of access to any information around DSGBV in non-dominant languages including signed languages, along with limited organised opportunities to discuss DSGBV has left many speakers/signers experiencing DSGBV in a vacuum </w:t>
      </w:r>
      <w:r w:rsidRPr="00151B72">
        <w:rPr>
          <w:rFonts w:cs="Calibri"/>
          <w:noProof/>
          <w:szCs w:val="20"/>
        </w:rPr>
        <w:t>(Flynn</w:t>
      </w:r>
      <w:r w:rsidR="00F5794B">
        <w:rPr>
          <w:rFonts w:cs="Calibri"/>
          <w:noProof/>
          <w:szCs w:val="20"/>
        </w:rPr>
        <w:t xml:space="preserve"> et al.</w:t>
      </w:r>
      <w:r w:rsidRPr="00151B72">
        <w:rPr>
          <w:rFonts w:cs="Calibri"/>
          <w:noProof/>
          <w:szCs w:val="20"/>
        </w:rPr>
        <w:t>, 2024; Napier</w:t>
      </w:r>
      <w:r w:rsidR="00F5794B">
        <w:rPr>
          <w:rFonts w:cs="Calibri"/>
          <w:noProof/>
          <w:szCs w:val="20"/>
        </w:rPr>
        <w:t xml:space="preserve"> </w:t>
      </w:r>
      <w:r w:rsidRPr="00151B72">
        <w:rPr>
          <w:rFonts w:cs="Calibri"/>
          <w:noProof/>
          <w:szCs w:val="20"/>
        </w:rPr>
        <w:t>et al., 2024; Opsahl &amp; Pick, 2017)</w:t>
      </w:r>
      <w:r w:rsidRPr="00151B72">
        <w:rPr>
          <w:rFonts w:cs="Calibri"/>
          <w:szCs w:val="20"/>
        </w:rPr>
        <w:t xml:space="preserve">, while accessing services that are available is extremely challenging for those who do not speak the host language. For example, </w:t>
      </w:r>
      <w:r w:rsidRPr="00151B72">
        <w:rPr>
          <w:rFonts w:cs="Calibri"/>
          <w:noProof/>
          <w:szCs w:val="20"/>
        </w:rPr>
        <w:t>Flynn et al. (2024)</w:t>
      </w:r>
      <w:r w:rsidRPr="00151B72">
        <w:rPr>
          <w:rFonts w:cs="Calibri"/>
          <w:szCs w:val="20"/>
        </w:rPr>
        <w:t xml:space="preserve"> </w:t>
      </w:r>
      <w:r w:rsidRPr="00151B72">
        <w:rPr>
          <w:rFonts w:cs="Calibri"/>
          <w:szCs w:val="20"/>
        </w:rPr>
        <w:lastRenderedPageBreak/>
        <w:t xml:space="preserve">report that only 2% of specialist domestic violence services offer a support service via text and only 2% mention accessibility on their landing page – this creates an </w:t>
      </w:r>
      <w:r w:rsidR="00F5794B" w:rsidRPr="00151B72">
        <w:rPr>
          <w:rFonts w:cs="Calibri"/>
          <w:szCs w:val="20"/>
        </w:rPr>
        <w:t>often-insurmountable</w:t>
      </w:r>
      <w:r w:rsidRPr="00151B72">
        <w:rPr>
          <w:rFonts w:cs="Calibri"/>
          <w:szCs w:val="20"/>
        </w:rPr>
        <w:t xml:space="preserve"> challenge, for deaf people in particular. </w:t>
      </w:r>
    </w:p>
    <w:p w14:paraId="6B715D6E" w14:textId="77777777" w:rsidR="001D6B7D" w:rsidRPr="00151B72" w:rsidRDefault="001D6B7D" w:rsidP="00271A1F">
      <w:pPr>
        <w:rPr>
          <w:rFonts w:cs="Calibri"/>
          <w:szCs w:val="20"/>
        </w:rPr>
      </w:pPr>
    </w:p>
    <w:p w14:paraId="771A332D" w14:textId="77777777" w:rsidR="001D6B7D" w:rsidRPr="00151B72" w:rsidRDefault="001D6B7D" w:rsidP="008B09B2">
      <w:pPr>
        <w:rPr>
          <w:rFonts w:cs="Calibri"/>
          <w:szCs w:val="20"/>
          <w:lang w:val="en-US"/>
        </w:rPr>
      </w:pPr>
      <w:r w:rsidRPr="008D36B3">
        <w:rPr>
          <w:rFonts w:cs="Calibri"/>
          <w:szCs w:val="20"/>
          <w:lang w:val="en-IE"/>
        </w:rPr>
        <w:t>In an ideal world, language concordant services would be offered which align to cultural and linguistic needs</w:t>
      </w:r>
      <w:r w:rsidRPr="00151B72">
        <w:rPr>
          <w:rFonts w:cs="Calibri"/>
          <w:szCs w:val="20"/>
          <w:lang w:val="en-IE"/>
        </w:rPr>
        <w:t xml:space="preserve">. For deaf </w:t>
      </w:r>
      <w:r w:rsidRPr="008D36B3">
        <w:rPr>
          <w:rFonts w:cs="Calibri"/>
          <w:szCs w:val="20"/>
          <w:lang w:val="en-IE"/>
        </w:rPr>
        <w:t xml:space="preserve">signers, </w:t>
      </w:r>
      <w:r w:rsidRPr="00151B72">
        <w:rPr>
          <w:rFonts w:cs="Calibri"/>
          <w:szCs w:val="20"/>
          <w:lang w:val="en-IE"/>
        </w:rPr>
        <w:t>for example, this would mean that</w:t>
      </w:r>
      <w:r w:rsidRPr="008D36B3">
        <w:rPr>
          <w:rFonts w:cs="Calibri"/>
          <w:szCs w:val="20"/>
          <w:lang w:val="en-IE"/>
        </w:rPr>
        <w:t xml:space="preserve"> services </w:t>
      </w:r>
      <w:r w:rsidRPr="00151B72">
        <w:rPr>
          <w:rFonts w:cs="Calibri"/>
          <w:szCs w:val="20"/>
          <w:lang w:val="en-IE"/>
        </w:rPr>
        <w:t xml:space="preserve">would </w:t>
      </w:r>
      <w:r w:rsidRPr="008D36B3">
        <w:rPr>
          <w:rFonts w:cs="Calibri"/>
          <w:szCs w:val="20"/>
          <w:lang w:val="en-IE"/>
        </w:rPr>
        <w:t>delivered by deaf signers in</w:t>
      </w:r>
      <w:r w:rsidRPr="00151B72">
        <w:rPr>
          <w:rFonts w:cs="Calibri"/>
          <w:szCs w:val="20"/>
          <w:lang w:val="en-IE"/>
        </w:rPr>
        <w:t xml:space="preserve"> a</w:t>
      </w:r>
      <w:r w:rsidRPr="008D36B3">
        <w:rPr>
          <w:rFonts w:cs="Calibri"/>
          <w:szCs w:val="20"/>
          <w:lang w:val="en-IE"/>
        </w:rPr>
        <w:t xml:space="preserve"> sign language</w:t>
      </w:r>
      <w:r w:rsidRPr="00151B72">
        <w:rPr>
          <w:rFonts w:cs="Calibri"/>
          <w:szCs w:val="20"/>
          <w:lang w:val="en-IE"/>
        </w:rPr>
        <w:t xml:space="preserve"> </w:t>
      </w:r>
      <w:r w:rsidRPr="00151B72">
        <w:rPr>
          <w:rFonts w:cs="Calibri"/>
          <w:noProof/>
          <w:szCs w:val="20"/>
          <w:lang w:val="en-IE"/>
        </w:rPr>
        <w:t>(De Meulder &amp; Haualand, 2019)</w:t>
      </w:r>
      <w:r w:rsidRPr="00151B72">
        <w:rPr>
          <w:rFonts w:cs="Calibri"/>
          <w:szCs w:val="20"/>
          <w:lang w:val="en-IE"/>
        </w:rPr>
        <w:t xml:space="preserve">. What is more likely to happen is that </w:t>
      </w:r>
      <w:r w:rsidRPr="008D36B3">
        <w:rPr>
          <w:rFonts w:cs="Calibri"/>
          <w:szCs w:val="20"/>
          <w:lang w:val="en-IE"/>
        </w:rPr>
        <w:t xml:space="preserve">minority language communities who have experienced </w:t>
      </w:r>
      <w:r w:rsidRPr="00151B72">
        <w:rPr>
          <w:rFonts w:cs="Calibri"/>
          <w:szCs w:val="20"/>
        </w:rPr>
        <w:t>DSGBV</w:t>
      </w:r>
      <w:r w:rsidRPr="008D36B3">
        <w:rPr>
          <w:rFonts w:cs="Calibri"/>
          <w:szCs w:val="20"/>
          <w:lang w:val="en-IE"/>
        </w:rPr>
        <w:t xml:space="preserve"> are offered mainstream services </w:t>
      </w:r>
      <w:r w:rsidRPr="00151B72">
        <w:rPr>
          <w:rFonts w:cs="Calibri"/>
          <w:szCs w:val="20"/>
          <w:lang w:val="en-IE"/>
        </w:rPr>
        <w:t>with access via</w:t>
      </w:r>
      <w:r w:rsidRPr="008D36B3">
        <w:rPr>
          <w:rFonts w:cs="Calibri"/>
          <w:szCs w:val="20"/>
          <w:lang w:val="en-IE"/>
        </w:rPr>
        <w:t xml:space="preserve"> the provision of interpreters. </w:t>
      </w:r>
      <w:r w:rsidRPr="00151B72">
        <w:rPr>
          <w:rFonts w:cs="Calibri"/>
          <w:szCs w:val="20"/>
          <w:lang w:val="en-IE"/>
        </w:rPr>
        <w:t xml:space="preserve">However, even this is not always assured, despite legislative imperatives to do so </w:t>
      </w:r>
      <w:r w:rsidRPr="00151B72">
        <w:rPr>
          <w:rFonts w:cs="Calibri"/>
          <w:noProof/>
          <w:szCs w:val="20"/>
          <w:lang w:val="en-IE"/>
        </w:rPr>
        <w:t>(e.g. Council of Europe, 2011; European Parliament and the Council of the European Union, 2012)</w:t>
      </w:r>
      <w:r w:rsidRPr="00151B72">
        <w:rPr>
          <w:rFonts w:cs="Calibri"/>
          <w:szCs w:val="20"/>
          <w:lang w:val="en-IE"/>
        </w:rPr>
        <w:t xml:space="preserve"> and see </w:t>
      </w:r>
      <w:r w:rsidRPr="00151B72">
        <w:rPr>
          <w:rFonts w:cs="Calibri"/>
          <w:noProof/>
          <w:szCs w:val="20"/>
          <w:lang w:val="en-IE"/>
        </w:rPr>
        <w:t>Cabeza-Pereiro et al. (2023)</w:t>
      </w:r>
      <w:r w:rsidRPr="00151B72">
        <w:rPr>
          <w:rFonts w:cs="Calibri"/>
          <w:szCs w:val="20"/>
          <w:lang w:val="en-IE"/>
        </w:rPr>
        <w:t xml:space="preserve"> for detail of the Irish, Spanish and UK legislation in this regard. Additionally, ideally, interpreters would have access to formal interpreter education - </w:t>
      </w:r>
      <w:r w:rsidRPr="00151B72">
        <w:rPr>
          <w:rFonts w:cs="Calibri"/>
          <w:szCs w:val="20"/>
          <w:lang w:val="en-US"/>
        </w:rPr>
        <w:t xml:space="preserve">in many countries, interpreters have little or no formal training to become an interpreter </w:t>
      </w:r>
      <w:r w:rsidRPr="00151B72">
        <w:rPr>
          <w:rFonts w:cs="Calibri"/>
          <w:noProof/>
          <w:szCs w:val="20"/>
          <w:lang w:val="en-US"/>
        </w:rPr>
        <w:t>(Napier, Webb, &amp; Adam, 2024)</w:t>
      </w:r>
      <w:r w:rsidRPr="00151B72">
        <w:rPr>
          <w:rFonts w:cs="Calibri"/>
          <w:szCs w:val="20"/>
          <w:lang w:val="en-US"/>
        </w:rPr>
        <w:t xml:space="preserve">. </w:t>
      </w:r>
    </w:p>
    <w:p w14:paraId="432A4D0B" w14:textId="77777777" w:rsidR="001D6B7D" w:rsidRPr="00151B72" w:rsidRDefault="001D6B7D" w:rsidP="00271A1F">
      <w:pPr>
        <w:rPr>
          <w:rFonts w:cs="Calibri"/>
          <w:szCs w:val="20"/>
        </w:rPr>
      </w:pPr>
    </w:p>
    <w:p w14:paraId="48DA7709" w14:textId="77777777" w:rsidR="001D6B7D" w:rsidRPr="00271A1F" w:rsidRDefault="001D6B7D" w:rsidP="00271A1F">
      <w:pPr>
        <w:rPr>
          <w:rFonts w:cs="Calibri"/>
          <w:szCs w:val="20"/>
        </w:rPr>
      </w:pPr>
      <w:r w:rsidRPr="00151B72">
        <w:rPr>
          <w:rFonts w:cs="Calibri"/>
          <w:noProof/>
          <w:szCs w:val="20"/>
          <w:lang w:val="en-IE"/>
        </w:rPr>
        <w:t>Napier et al. (2023)</w:t>
      </w:r>
      <w:r w:rsidRPr="00151B72">
        <w:rPr>
          <w:rFonts w:cs="Calibri"/>
          <w:szCs w:val="20"/>
          <w:lang w:val="en-IE"/>
        </w:rPr>
        <w:t xml:space="preserve"> report </w:t>
      </w:r>
      <w:r w:rsidRPr="00271A1F">
        <w:rPr>
          <w:rFonts w:cs="Calibri"/>
          <w:szCs w:val="20"/>
          <w:lang w:val="en-IE"/>
        </w:rPr>
        <w:t>robust consensus across the</w:t>
      </w:r>
      <w:r w:rsidRPr="00151B72">
        <w:rPr>
          <w:rFonts w:cs="Calibri"/>
          <w:szCs w:val="20"/>
          <w:lang w:val="en-IE"/>
        </w:rPr>
        <w:t xml:space="preserve"> empirical</w:t>
      </w:r>
      <w:r w:rsidRPr="00271A1F">
        <w:rPr>
          <w:rFonts w:cs="Calibri"/>
          <w:szCs w:val="20"/>
          <w:lang w:val="en-IE"/>
        </w:rPr>
        <w:t xml:space="preserve"> literature that migrants, refugees, asylum seekers and members of deaf communities who experience </w:t>
      </w:r>
      <w:r w:rsidRPr="00151B72">
        <w:rPr>
          <w:rFonts w:cs="Calibri"/>
          <w:szCs w:val="20"/>
          <w:lang w:val="en-IE"/>
        </w:rPr>
        <w:t>DS</w:t>
      </w:r>
      <w:r w:rsidRPr="00271A1F">
        <w:rPr>
          <w:rFonts w:cs="Calibri"/>
          <w:szCs w:val="20"/>
          <w:lang w:val="en-IE"/>
        </w:rPr>
        <w:t>GBV should have timely access to interpretation specially-trained</w:t>
      </w:r>
      <w:r w:rsidRPr="00151B72">
        <w:rPr>
          <w:rFonts w:cs="Calibri"/>
          <w:szCs w:val="20"/>
          <w:lang w:val="en-IE"/>
        </w:rPr>
        <w:t>, competent</w:t>
      </w:r>
      <w:r w:rsidRPr="00271A1F">
        <w:rPr>
          <w:rFonts w:cs="Calibri"/>
          <w:szCs w:val="20"/>
          <w:lang w:val="en-IE"/>
        </w:rPr>
        <w:t xml:space="preserve"> professionals</w:t>
      </w:r>
      <w:r w:rsidRPr="00151B72">
        <w:rPr>
          <w:rFonts w:cs="Calibri"/>
          <w:szCs w:val="20"/>
          <w:lang w:val="en-IE"/>
        </w:rPr>
        <w:t>. A</w:t>
      </w:r>
      <w:r w:rsidRPr="00271A1F">
        <w:rPr>
          <w:rFonts w:cs="Calibri"/>
          <w:szCs w:val="20"/>
          <w:lang w:val="en-IE"/>
        </w:rPr>
        <w:t xml:space="preserve"> respectful framework of practice </w:t>
      </w:r>
      <w:r w:rsidRPr="00151B72">
        <w:rPr>
          <w:rFonts w:cs="Calibri"/>
          <w:szCs w:val="20"/>
          <w:lang w:val="en-IE"/>
        </w:rPr>
        <w:t>that</w:t>
      </w:r>
      <w:r w:rsidRPr="00271A1F">
        <w:rPr>
          <w:rFonts w:cs="Calibri"/>
          <w:szCs w:val="20"/>
          <w:lang w:val="en-IE"/>
        </w:rPr>
        <w:t xml:space="preserve"> upholds human rights </w:t>
      </w:r>
      <w:r w:rsidRPr="00151B72">
        <w:rPr>
          <w:rFonts w:cs="Calibri"/>
          <w:szCs w:val="20"/>
          <w:lang w:val="en-IE"/>
        </w:rPr>
        <w:t>to</w:t>
      </w:r>
      <w:r w:rsidRPr="00271A1F">
        <w:rPr>
          <w:rFonts w:cs="Calibri"/>
          <w:szCs w:val="20"/>
          <w:lang w:val="en-IE"/>
        </w:rPr>
        <w:t xml:space="preserve"> facilitate full and equitable engagement with the legal system and relevant support services</w:t>
      </w:r>
      <w:r w:rsidRPr="00151B72">
        <w:rPr>
          <w:rFonts w:cs="Calibri"/>
          <w:szCs w:val="20"/>
          <w:lang w:val="en-IE"/>
        </w:rPr>
        <w:t xml:space="preserve"> is a foundational requirement for this</w:t>
      </w:r>
      <w:r w:rsidRPr="00271A1F">
        <w:rPr>
          <w:rFonts w:cs="Calibri"/>
          <w:szCs w:val="20"/>
          <w:lang w:val="en-IE"/>
        </w:rPr>
        <w:t xml:space="preserve">. </w:t>
      </w:r>
    </w:p>
    <w:p w14:paraId="00157E86" w14:textId="77777777" w:rsidR="001D6B7D" w:rsidRPr="00151B72" w:rsidRDefault="001D6B7D" w:rsidP="00572E4C">
      <w:pPr>
        <w:rPr>
          <w:rFonts w:cs="Calibri"/>
          <w:szCs w:val="20"/>
          <w:lang w:val="en-IE"/>
        </w:rPr>
      </w:pPr>
    </w:p>
    <w:p w14:paraId="53A37D85" w14:textId="77777777" w:rsidR="001D6B7D" w:rsidRPr="00151B72" w:rsidRDefault="001D6B7D" w:rsidP="00572E4C">
      <w:pPr>
        <w:rPr>
          <w:rFonts w:cs="Calibri"/>
          <w:szCs w:val="20"/>
          <w:lang w:val="en-IE"/>
        </w:rPr>
      </w:pPr>
      <w:r w:rsidRPr="00151B72">
        <w:rPr>
          <w:rFonts w:cs="Calibri"/>
          <w:szCs w:val="20"/>
          <w:lang w:val="en-IE"/>
        </w:rPr>
        <w:t>While t</w:t>
      </w:r>
      <w:r w:rsidRPr="00271A1F">
        <w:rPr>
          <w:rFonts w:cs="Calibri"/>
          <w:szCs w:val="20"/>
          <w:lang w:val="en-IE"/>
        </w:rPr>
        <w:t xml:space="preserve">here is a noticeable dearth of literature </w:t>
      </w:r>
      <w:r w:rsidRPr="00151B72">
        <w:rPr>
          <w:rFonts w:cs="Calibri"/>
          <w:szCs w:val="20"/>
          <w:lang w:val="en-IE"/>
        </w:rPr>
        <w:t>reflecting</w:t>
      </w:r>
      <w:r w:rsidRPr="00271A1F">
        <w:rPr>
          <w:rFonts w:cs="Calibri"/>
          <w:szCs w:val="20"/>
          <w:lang w:val="en-IE"/>
        </w:rPr>
        <w:t xml:space="preserve"> the direct first-hand experiences of migrants, refugees, asylum seekers and deaf signers accessing interpreting services in circumstances relating to </w:t>
      </w:r>
      <w:r w:rsidRPr="00151B72">
        <w:rPr>
          <w:rFonts w:cs="Calibri"/>
          <w:szCs w:val="20"/>
          <w:lang w:val="en-IE"/>
        </w:rPr>
        <w:t>DS</w:t>
      </w:r>
      <w:r w:rsidRPr="00271A1F">
        <w:rPr>
          <w:rFonts w:cs="Calibri"/>
          <w:szCs w:val="20"/>
          <w:lang w:val="en-IE"/>
        </w:rPr>
        <w:t>GBV</w:t>
      </w:r>
      <w:r w:rsidRPr="00151B72">
        <w:rPr>
          <w:rFonts w:cs="Calibri"/>
          <w:szCs w:val="20"/>
          <w:lang w:val="en-IE"/>
        </w:rPr>
        <w:t xml:space="preserve">, </w:t>
      </w:r>
      <w:r w:rsidRPr="00151B72">
        <w:rPr>
          <w:rFonts w:cs="Calibri"/>
          <w:noProof/>
          <w:szCs w:val="20"/>
          <w:lang w:val="en-IE"/>
        </w:rPr>
        <w:t>Napier et al. (2023)</w:t>
      </w:r>
      <w:r w:rsidRPr="00271A1F">
        <w:rPr>
          <w:rFonts w:cs="Calibri"/>
          <w:szCs w:val="20"/>
          <w:lang w:val="en-IE"/>
        </w:rPr>
        <w:t xml:space="preserve"> </w:t>
      </w:r>
      <w:r w:rsidRPr="00151B72">
        <w:rPr>
          <w:rFonts w:cs="Calibri"/>
          <w:szCs w:val="20"/>
          <w:lang w:val="en-IE"/>
        </w:rPr>
        <w:t xml:space="preserve">present a succinct overview of literature that identifies </w:t>
      </w:r>
      <w:r w:rsidRPr="00271A1F">
        <w:rPr>
          <w:rFonts w:cs="Calibri"/>
          <w:szCs w:val="20"/>
          <w:lang w:val="en-IE"/>
        </w:rPr>
        <w:t xml:space="preserve">gaps in service provision by support agencies and </w:t>
      </w:r>
      <w:r w:rsidRPr="00151B72">
        <w:rPr>
          <w:rFonts w:cs="Calibri"/>
          <w:szCs w:val="20"/>
          <w:lang w:val="en-IE"/>
        </w:rPr>
        <w:t>interpreters</w:t>
      </w:r>
      <w:r w:rsidRPr="00271A1F">
        <w:rPr>
          <w:rFonts w:cs="Calibri"/>
          <w:szCs w:val="20"/>
          <w:lang w:val="en-IE"/>
        </w:rPr>
        <w:t xml:space="preserve">, </w:t>
      </w:r>
      <w:r w:rsidRPr="00151B72">
        <w:rPr>
          <w:rFonts w:cs="Calibri"/>
          <w:szCs w:val="20"/>
          <w:lang w:val="en-IE"/>
        </w:rPr>
        <w:t>alongside</w:t>
      </w:r>
      <w:r w:rsidRPr="00271A1F">
        <w:rPr>
          <w:rFonts w:cs="Calibri"/>
          <w:szCs w:val="20"/>
          <w:lang w:val="en-IE"/>
        </w:rPr>
        <w:t xml:space="preserve"> the formulation of solutions to address the</w:t>
      </w:r>
      <w:r w:rsidRPr="00151B72">
        <w:rPr>
          <w:rFonts w:cs="Calibri"/>
          <w:szCs w:val="20"/>
          <w:lang w:val="en-IE"/>
        </w:rPr>
        <w:t>se gaps</w:t>
      </w:r>
      <w:r w:rsidRPr="00271A1F">
        <w:rPr>
          <w:rFonts w:cs="Calibri"/>
          <w:szCs w:val="20"/>
          <w:lang w:val="en-IE"/>
        </w:rPr>
        <w:t xml:space="preserve">. </w:t>
      </w:r>
      <w:r w:rsidRPr="00151B72">
        <w:rPr>
          <w:rFonts w:cs="Calibri"/>
          <w:szCs w:val="20"/>
          <w:lang w:val="en-IE"/>
        </w:rPr>
        <w:t>Some</w:t>
      </w:r>
      <w:r w:rsidRPr="00271A1F">
        <w:rPr>
          <w:rFonts w:cs="Calibri"/>
          <w:szCs w:val="20"/>
          <w:lang w:val="en-IE"/>
        </w:rPr>
        <w:t xml:space="preserve"> further questions</w:t>
      </w:r>
      <w:r w:rsidRPr="00151B72">
        <w:rPr>
          <w:rFonts w:cs="Calibri"/>
          <w:szCs w:val="20"/>
          <w:lang w:val="en-IE"/>
        </w:rPr>
        <w:t xml:space="preserve"> are also raised:</w:t>
      </w:r>
      <w:r w:rsidRPr="00271A1F">
        <w:rPr>
          <w:rFonts w:cs="Calibri"/>
          <w:szCs w:val="20"/>
          <w:lang w:val="en-IE"/>
        </w:rPr>
        <w:t xml:space="preserve"> </w:t>
      </w:r>
    </w:p>
    <w:p w14:paraId="421342EA" w14:textId="77777777" w:rsidR="001D6B7D" w:rsidRPr="00151B72" w:rsidRDefault="001D6B7D" w:rsidP="00572E4C">
      <w:pPr>
        <w:rPr>
          <w:rFonts w:cs="Calibri"/>
          <w:szCs w:val="20"/>
          <w:lang w:val="en-IE"/>
        </w:rPr>
      </w:pPr>
    </w:p>
    <w:p w14:paraId="77FAEC30" w14:textId="77777777" w:rsidR="001D6B7D" w:rsidRPr="00271A1F" w:rsidRDefault="001D6B7D" w:rsidP="00572E4C">
      <w:pPr>
        <w:ind w:left="720"/>
        <w:rPr>
          <w:rFonts w:cs="Calibri"/>
          <w:szCs w:val="20"/>
          <w:lang w:val="en-IE"/>
        </w:rPr>
      </w:pPr>
      <w:r w:rsidRPr="00271A1F">
        <w:rPr>
          <w:rFonts w:cs="Calibri"/>
          <w:szCs w:val="20"/>
          <w:lang w:val="en-IE"/>
        </w:rPr>
        <w:t xml:space="preserve">Is it ideal for women to receive language concordant services (e.g. direct from deaf signers in their own sign language or spoken language)? If language concordant services are not available in their area what are best practices for support service professionals (namely police officers, social workers, healthcare professionals, etc.) and interpreters for working together? What are the training needs of support service professionals and interpreters in working with female victims of GBV? What is the impact of training, qualification and registration on the quality of interpreting provided to those who access GBV services via interpretation? </w:t>
      </w:r>
      <w:r w:rsidRPr="00151B72">
        <w:rPr>
          <w:rFonts w:cs="Calibri"/>
          <w:noProof/>
          <w:szCs w:val="20"/>
          <w:lang w:val="en-IE"/>
        </w:rPr>
        <w:t>(Napier et al., 2023 p.29)</w:t>
      </w:r>
    </w:p>
    <w:p w14:paraId="7043DDD4" w14:textId="77777777" w:rsidR="001D6B7D" w:rsidRPr="00151B72" w:rsidRDefault="001D6B7D" w:rsidP="009C0532">
      <w:pPr>
        <w:rPr>
          <w:rFonts w:cs="Calibri"/>
          <w:szCs w:val="20"/>
          <w:highlight w:val="yellow"/>
        </w:rPr>
      </w:pPr>
    </w:p>
    <w:p w14:paraId="76A1F989" w14:textId="77777777" w:rsidR="001D6B7D" w:rsidRPr="00151B72" w:rsidRDefault="001D6B7D" w:rsidP="009C0532">
      <w:pPr>
        <w:pStyle w:val="Heading1"/>
        <w:rPr>
          <w:rFonts w:cs="Calibri"/>
          <w:sz w:val="20"/>
          <w:szCs w:val="20"/>
        </w:rPr>
      </w:pPr>
      <w:r w:rsidRPr="00151B72">
        <w:rPr>
          <w:rFonts w:cs="Calibri"/>
          <w:sz w:val="20"/>
          <w:szCs w:val="20"/>
        </w:rPr>
        <w:t>Justisigns 2 project</w:t>
      </w:r>
    </w:p>
    <w:p w14:paraId="3EEEEFC9" w14:textId="77777777" w:rsidR="001D6B7D" w:rsidRPr="00151B72" w:rsidRDefault="001D6B7D" w:rsidP="00A138B0">
      <w:pPr>
        <w:rPr>
          <w:rFonts w:cs="Calibri"/>
          <w:szCs w:val="20"/>
          <w:lang w:val="en-IE"/>
        </w:rPr>
      </w:pPr>
      <w:r w:rsidRPr="00151B72">
        <w:rPr>
          <w:rFonts w:cs="Calibri"/>
          <w:szCs w:val="20"/>
        </w:rPr>
        <w:t>Against this backdrop, the Justisigns 2: Empowering people who experience domestic, sexual, and gender-based violence project</w:t>
      </w:r>
      <w:r w:rsidRPr="00151B72">
        <w:rPr>
          <w:rStyle w:val="FootnoteReference"/>
          <w:rFonts w:cs="Calibri"/>
          <w:szCs w:val="20"/>
        </w:rPr>
        <w:footnoteReference w:id="1"/>
      </w:r>
      <w:r w:rsidRPr="00151B72">
        <w:rPr>
          <w:rFonts w:cs="Calibri"/>
          <w:szCs w:val="20"/>
        </w:rPr>
        <w:t xml:space="preserve">, funded by the European Commission’s Erasmus+ programme ran from 2020-2023. The consortium comprised the Dublin Rape Crisis Centre (Ireland), An Garda Síochána (Irish Police), the European Union of the Deaf, Trinity College Dublin (Ireland), Heriot Watt University (Scotland), the University of Vigo (Spain), and was chaired by Interesource Group Ireland Ltd. </w:t>
      </w:r>
      <w:r w:rsidRPr="00151B72">
        <w:rPr>
          <w:rFonts w:cs="Calibri"/>
          <w:szCs w:val="20"/>
          <w:lang w:val="en-IE"/>
        </w:rPr>
        <w:t xml:space="preserve"> </w:t>
      </w:r>
      <w:r w:rsidRPr="00151B72">
        <w:rPr>
          <w:rFonts w:cs="Calibri"/>
          <w:szCs w:val="20"/>
        </w:rPr>
        <w:t xml:space="preserve">The goal of the project was to develop evidence-informed resources to support service providers responding to victims/survivors of DSGBV via spoken and/or signed language interpretation. </w:t>
      </w:r>
    </w:p>
    <w:p w14:paraId="6F71C4F6" w14:textId="77777777" w:rsidR="001D6B7D" w:rsidRPr="00151B72" w:rsidRDefault="001D6B7D" w:rsidP="00A138B0">
      <w:pPr>
        <w:rPr>
          <w:rFonts w:cs="Calibri"/>
          <w:szCs w:val="20"/>
        </w:rPr>
      </w:pPr>
    </w:p>
    <w:p w14:paraId="7A9E147D" w14:textId="77777777" w:rsidR="001D6B7D" w:rsidRPr="00151B72" w:rsidRDefault="001D6B7D" w:rsidP="008D36B3">
      <w:pPr>
        <w:pStyle w:val="Heading1"/>
        <w:rPr>
          <w:rFonts w:cs="Calibri"/>
          <w:sz w:val="20"/>
          <w:szCs w:val="20"/>
        </w:rPr>
      </w:pPr>
      <w:r w:rsidRPr="00151B72">
        <w:rPr>
          <w:rFonts w:cs="Calibri"/>
          <w:sz w:val="20"/>
          <w:szCs w:val="20"/>
        </w:rPr>
        <w:t>Survey</w:t>
      </w:r>
    </w:p>
    <w:p w14:paraId="1D84FAAB" w14:textId="57C074E5" w:rsidR="001D6B7D" w:rsidRPr="00151B72" w:rsidRDefault="001D6B7D" w:rsidP="00A138B0">
      <w:pPr>
        <w:rPr>
          <w:rFonts w:eastAsia="Calibri" w:cs="Calibri"/>
          <w:szCs w:val="20"/>
        </w:rPr>
      </w:pPr>
      <w:r w:rsidRPr="00151B72">
        <w:rPr>
          <w:rFonts w:cs="Calibri"/>
          <w:szCs w:val="20"/>
        </w:rPr>
        <w:t xml:space="preserve">In 2021, we </w:t>
      </w:r>
      <w:r w:rsidRPr="00151B72">
        <w:rPr>
          <w:rFonts w:eastAsia="Calibri" w:cs="Calibri"/>
          <w:szCs w:val="20"/>
        </w:rPr>
        <w:t xml:space="preserve">conducted a survey of service providers and interpreters in Spain, </w:t>
      </w:r>
      <w:r w:rsidR="00F5794B">
        <w:rPr>
          <w:rFonts w:eastAsia="Calibri" w:cs="Calibri"/>
          <w:szCs w:val="20"/>
        </w:rPr>
        <w:t xml:space="preserve">the </w:t>
      </w:r>
      <w:r w:rsidRPr="00151B72">
        <w:rPr>
          <w:rFonts w:eastAsia="Calibri" w:cs="Calibri"/>
          <w:szCs w:val="20"/>
        </w:rPr>
        <w:t>UK,</w:t>
      </w:r>
      <w:r w:rsidR="00F5794B">
        <w:rPr>
          <w:rFonts w:eastAsia="Calibri" w:cs="Calibri"/>
          <w:szCs w:val="20"/>
        </w:rPr>
        <w:t xml:space="preserve"> and</w:t>
      </w:r>
      <w:r w:rsidRPr="00151B72">
        <w:rPr>
          <w:rFonts w:eastAsia="Calibri" w:cs="Calibri"/>
          <w:szCs w:val="20"/>
        </w:rPr>
        <w:t xml:space="preserve"> Ireland. Our target population included those with experience of working</w:t>
      </w:r>
      <w:r w:rsidR="00F5794B">
        <w:rPr>
          <w:rFonts w:eastAsia="Calibri" w:cs="Calibri"/>
          <w:szCs w:val="20"/>
        </w:rPr>
        <w:t xml:space="preserve"> in interpreter-mediated settings</w:t>
      </w:r>
      <w:r w:rsidRPr="00151B72">
        <w:rPr>
          <w:rFonts w:eastAsia="Calibri" w:cs="Calibri"/>
          <w:szCs w:val="20"/>
        </w:rPr>
        <w:t xml:space="preserve"> with victims/survivors of DSGBV (i.e. </w:t>
      </w:r>
      <w:r w:rsidR="00F5794B">
        <w:rPr>
          <w:rFonts w:eastAsia="Calibri" w:cs="Calibri"/>
          <w:szCs w:val="20"/>
        </w:rPr>
        <w:t xml:space="preserve">with </w:t>
      </w:r>
      <w:r w:rsidRPr="00151B72">
        <w:rPr>
          <w:rFonts w:eastAsia="Calibri" w:cs="Calibri"/>
          <w:szCs w:val="20"/>
        </w:rPr>
        <w:t xml:space="preserve">migrants, asylum seekers and deaf women). We worked with a convenience stratified random sample. </w:t>
      </w:r>
      <w:r w:rsidR="00F5794B">
        <w:rPr>
          <w:rFonts w:eastAsia="Calibri" w:cs="Calibri"/>
          <w:szCs w:val="20"/>
        </w:rPr>
        <w:t>We aimed to</w:t>
      </w:r>
      <w:r w:rsidRPr="00151B72">
        <w:rPr>
          <w:rFonts w:eastAsia="Calibri" w:cs="Calibri"/>
          <w:szCs w:val="20"/>
        </w:rPr>
        <w:t xml:space="preserve"> develop an initial benchmark vis-a-vis how service providers communicate with victims of DSGBV, the training needs they identified in this regard, the training needs identified by interpreters, with the goal of leveraging learning from this in the development of materials. </w:t>
      </w:r>
      <w:r w:rsidRPr="00151B72">
        <w:rPr>
          <w:rFonts w:eastAsia="Calibri" w:cs="Calibri"/>
          <w:szCs w:val="20"/>
          <w:lang w:val="en-IE"/>
        </w:rPr>
        <w:t xml:space="preserve">Two different questionnaires were developed: one for interpreters and </w:t>
      </w:r>
      <w:r w:rsidR="00F5794B">
        <w:rPr>
          <w:rFonts w:eastAsia="Calibri" w:cs="Calibri"/>
          <w:szCs w:val="20"/>
          <w:lang w:val="en-IE"/>
        </w:rPr>
        <w:t>one</w:t>
      </w:r>
      <w:r w:rsidRPr="00151B72">
        <w:rPr>
          <w:rFonts w:eastAsia="Calibri" w:cs="Calibri"/>
          <w:szCs w:val="20"/>
          <w:lang w:val="en-IE"/>
        </w:rPr>
        <w:t xml:space="preserve"> for support service providers. </w:t>
      </w:r>
    </w:p>
    <w:p w14:paraId="11914452" w14:textId="77777777" w:rsidR="001D6B7D" w:rsidRPr="00151B72" w:rsidRDefault="001D6B7D" w:rsidP="00A138B0">
      <w:pPr>
        <w:rPr>
          <w:rFonts w:eastAsia="Calibri" w:cs="Calibri"/>
          <w:szCs w:val="20"/>
          <w:lang w:val="en-IE"/>
        </w:rPr>
      </w:pPr>
    </w:p>
    <w:p w14:paraId="0CF6BB3C" w14:textId="04AAA810" w:rsidR="001D6B7D" w:rsidRPr="00151B72" w:rsidRDefault="001D6B7D" w:rsidP="00A138B0">
      <w:pPr>
        <w:rPr>
          <w:rFonts w:eastAsia="Calibri" w:cs="Calibri"/>
          <w:szCs w:val="20"/>
        </w:rPr>
      </w:pPr>
      <w:r w:rsidRPr="00151B72">
        <w:rPr>
          <w:rFonts w:eastAsia="Calibri" w:cs="Calibri"/>
          <w:szCs w:val="20"/>
          <w:lang w:val="en-IE"/>
        </w:rPr>
        <w:lastRenderedPageBreak/>
        <w:t xml:space="preserve">We considered interpreters working with spoken languages and signed languages. For support service providers, we included professionals working in intercultural mediation, education, social work, police services, healthcare (e.g. </w:t>
      </w:r>
      <w:r w:rsidR="00F5794B" w:rsidRPr="00151B72">
        <w:rPr>
          <w:rFonts w:eastAsia="Calibri" w:cs="Calibri"/>
          <w:szCs w:val="20"/>
          <w:lang w:val="en-IE"/>
        </w:rPr>
        <w:t>counsellors</w:t>
      </w:r>
      <w:r w:rsidRPr="00151B72">
        <w:rPr>
          <w:rFonts w:eastAsia="Calibri" w:cs="Calibri"/>
          <w:szCs w:val="20"/>
          <w:lang w:val="en-IE"/>
        </w:rPr>
        <w:t xml:space="preserve">, psychotherapists), those working in the justice sector and in NGOs. </w:t>
      </w:r>
    </w:p>
    <w:p w14:paraId="70799E2C" w14:textId="77777777" w:rsidR="001D6B7D" w:rsidRPr="00151B72" w:rsidRDefault="001D6B7D" w:rsidP="00A138B0">
      <w:pPr>
        <w:rPr>
          <w:rFonts w:eastAsia="Calibri" w:cs="Calibri"/>
          <w:szCs w:val="20"/>
          <w:lang w:val="en-IE"/>
        </w:rPr>
      </w:pPr>
    </w:p>
    <w:p w14:paraId="04B5F2BA" w14:textId="60B1E6EC" w:rsidR="001D6B7D" w:rsidRPr="00151B72" w:rsidRDefault="001D6B7D" w:rsidP="00A138B0">
      <w:pPr>
        <w:rPr>
          <w:rFonts w:eastAsia="Calibri" w:cs="Calibri"/>
          <w:szCs w:val="20"/>
          <w:lang w:val="en-IE"/>
        </w:rPr>
      </w:pPr>
      <w:r w:rsidRPr="00A138B0">
        <w:rPr>
          <w:rFonts w:eastAsia="Calibri" w:cs="Calibri"/>
          <w:szCs w:val="20"/>
          <w:lang w:val="en-IE"/>
        </w:rPr>
        <w:t>Research ethics approval was secured via all partner universities</w:t>
      </w:r>
      <w:r w:rsidRPr="00151B72">
        <w:rPr>
          <w:rFonts w:eastAsia="Calibri" w:cs="Calibri"/>
          <w:szCs w:val="20"/>
          <w:lang w:val="en-IE"/>
        </w:rPr>
        <w:t xml:space="preserve"> (Trinity College Dublin, </w:t>
      </w:r>
      <w:r w:rsidR="002D552D" w:rsidRPr="00151B72">
        <w:rPr>
          <w:rFonts w:eastAsia="Calibri" w:cs="Calibri"/>
          <w:szCs w:val="20"/>
          <w:lang w:val="en-IE"/>
        </w:rPr>
        <w:t>Heriot</w:t>
      </w:r>
      <w:r w:rsidRPr="00151B72">
        <w:rPr>
          <w:rFonts w:eastAsia="Calibri" w:cs="Calibri"/>
          <w:szCs w:val="20"/>
          <w:lang w:val="en-IE"/>
        </w:rPr>
        <w:t xml:space="preserve"> Watt University, University of Vigo)</w:t>
      </w:r>
      <w:r w:rsidRPr="00A138B0">
        <w:rPr>
          <w:rFonts w:eastAsia="Calibri" w:cs="Calibri"/>
          <w:szCs w:val="20"/>
          <w:lang w:val="en-IE"/>
        </w:rPr>
        <w:t xml:space="preserve"> and via An Garda Síochána’s</w:t>
      </w:r>
      <w:r w:rsidRPr="00151B72">
        <w:rPr>
          <w:rFonts w:eastAsia="Calibri" w:cs="Calibri"/>
          <w:szCs w:val="20"/>
          <w:lang w:val="en-IE"/>
        </w:rPr>
        <w:t xml:space="preserve"> (the Irish Police Force)</w:t>
      </w:r>
      <w:r w:rsidRPr="00A138B0">
        <w:rPr>
          <w:rFonts w:eastAsia="Calibri" w:cs="Calibri"/>
          <w:szCs w:val="20"/>
          <w:lang w:val="en-IE"/>
        </w:rPr>
        <w:t xml:space="preserve"> Research Ethics Committee. </w:t>
      </w:r>
      <w:r w:rsidRPr="00151B72">
        <w:rPr>
          <w:rFonts w:eastAsia="Calibri" w:cs="Calibri"/>
          <w:szCs w:val="20"/>
          <w:lang w:val="en-IE"/>
        </w:rPr>
        <w:t xml:space="preserve"> The survey ran from May to July 2021 in Ireland and the UK. In Spain, the survey ran for six months (May to end October 2021). We note that this was across the Covid-19 pandemic, and responses were low, perhaps a function of survey fatigue across the period.  The response levels are outlined in Table 1. </w:t>
      </w:r>
    </w:p>
    <w:p w14:paraId="532D7CE5" w14:textId="77777777" w:rsidR="001D6B7D" w:rsidRPr="00A138B0" w:rsidRDefault="001D6B7D" w:rsidP="00A138B0">
      <w:pPr>
        <w:rPr>
          <w:rFonts w:eastAsia="Calibri" w:cs="Calibri"/>
          <w:szCs w:val="20"/>
          <w:lang w:val="en-IE"/>
        </w:rPr>
      </w:pPr>
    </w:p>
    <w:p w14:paraId="131D474B" w14:textId="77777777" w:rsidR="001D6B7D" w:rsidRPr="00151B72" w:rsidRDefault="001D6B7D" w:rsidP="009C0532">
      <w:pPr>
        <w:rPr>
          <w:rFonts w:eastAsia="Calibri" w:cs="Calibri"/>
          <w:szCs w:val="20"/>
        </w:rPr>
      </w:pPr>
    </w:p>
    <w:tbl>
      <w:tblPr>
        <w:tblStyle w:val="TableGrid"/>
        <w:tblW w:w="0" w:type="auto"/>
        <w:jc w:val="center"/>
        <w:tblLook w:val="04A0" w:firstRow="1" w:lastRow="0" w:firstColumn="1" w:lastColumn="0" w:noHBand="0" w:noVBand="1"/>
      </w:tblPr>
      <w:tblGrid>
        <w:gridCol w:w="3081"/>
        <w:gridCol w:w="3081"/>
        <w:gridCol w:w="1034"/>
      </w:tblGrid>
      <w:tr w:rsidR="001D6B7D" w:rsidRPr="00151B72" w14:paraId="3FA9034D" w14:textId="77777777" w:rsidTr="00C11E99">
        <w:trPr>
          <w:jc w:val="center"/>
        </w:trPr>
        <w:tc>
          <w:tcPr>
            <w:tcW w:w="3081" w:type="dxa"/>
          </w:tcPr>
          <w:p w14:paraId="6544C383" w14:textId="77777777" w:rsidR="001D6B7D" w:rsidRPr="00151B72" w:rsidRDefault="001D6B7D" w:rsidP="009C0532">
            <w:pPr>
              <w:rPr>
                <w:rFonts w:eastAsia="Calibri" w:cs="Calibri"/>
                <w:b/>
                <w:bCs/>
              </w:rPr>
            </w:pPr>
            <w:r w:rsidRPr="00151B72">
              <w:rPr>
                <w:rFonts w:eastAsia="Calibri" w:cs="Calibri"/>
                <w:b/>
                <w:bCs/>
              </w:rPr>
              <w:t>Country</w:t>
            </w:r>
          </w:p>
        </w:tc>
        <w:tc>
          <w:tcPr>
            <w:tcW w:w="3081" w:type="dxa"/>
          </w:tcPr>
          <w:p w14:paraId="1A0D6C6E" w14:textId="77777777" w:rsidR="001D6B7D" w:rsidRPr="00151B72" w:rsidRDefault="001D6B7D" w:rsidP="009C0532">
            <w:pPr>
              <w:rPr>
                <w:rFonts w:eastAsia="Calibri" w:cs="Calibri"/>
                <w:b/>
                <w:bCs/>
              </w:rPr>
            </w:pPr>
            <w:r w:rsidRPr="00151B72">
              <w:rPr>
                <w:rFonts w:eastAsia="Calibri" w:cs="Calibri"/>
                <w:b/>
                <w:bCs/>
              </w:rPr>
              <w:t>Target Group</w:t>
            </w:r>
          </w:p>
        </w:tc>
        <w:tc>
          <w:tcPr>
            <w:tcW w:w="1034" w:type="dxa"/>
          </w:tcPr>
          <w:p w14:paraId="10058AC3" w14:textId="77777777" w:rsidR="001D6B7D" w:rsidRPr="00151B72" w:rsidRDefault="001D6B7D" w:rsidP="009C0532">
            <w:pPr>
              <w:rPr>
                <w:rFonts w:eastAsia="Calibri" w:cs="Calibri"/>
                <w:b/>
                <w:bCs/>
              </w:rPr>
            </w:pPr>
            <w:r w:rsidRPr="00151B72">
              <w:rPr>
                <w:rFonts w:eastAsia="Calibri" w:cs="Calibri"/>
                <w:b/>
                <w:bCs/>
              </w:rPr>
              <w:t>Total</w:t>
            </w:r>
          </w:p>
        </w:tc>
      </w:tr>
      <w:tr w:rsidR="001D6B7D" w:rsidRPr="00151B72" w14:paraId="5A5FEA95" w14:textId="77777777" w:rsidTr="00C11E99">
        <w:trPr>
          <w:jc w:val="center"/>
        </w:trPr>
        <w:tc>
          <w:tcPr>
            <w:tcW w:w="3081" w:type="dxa"/>
            <w:vMerge w:val="restart"/>
          </w:tcPr>
          <w:p w14:paraId="51F07E1C" w14:textId="77777777" w:rsidR="001D6B7D" w:rsidRPr="00151B72" w:rsidRDefault="001D6B7D" w:rsidP="008B5E00">
            <w:pPr>
              <w:rPr>
                <w:rFonts w:eastAsia="Calibri" w:cs="Calibri"/>
              </w:rPr>
            </w:pPr>
            <w:r w:rsidRPr="00151B72">
              <w:rPr>
                <w:rFonts w:eastAsia="Calibri" w:cs="Calibri"/>
              </w:rPr>
              <w:t>Ireland</w:t>
            </w:r>
          </w:p>
        </w:tc>
        <w:tc>
          <w:tcPr>
            <w:tcW w:w="3081" w:type="dxa"/>
          </w:tcPr>
          <w:p w14:paraId="1222C98C" w14:textId="77777777" w:rsidR="001D6B7D" w:rsidRPr="00151B72" w:rsidRDefault="001D6B7D" w:rsidP="008B5E00">
            <w:pPr>
              <w:rPr>
                <w:rFonts w:eastAsia="Calibri" w:cs="Calibri"/>
              </w:rPr>
            </w:pPr>
            <w:r w:rsidRPr="00151B72">
              <w:rPr>
                <w:rFonts w:eastAsia="Calibri" w:cs="Calibri"/>
              </w:rPr>
              <w:t>Service Providers</w:t>
            </w:r>
          </w:p>
        </w:tc>
        <w:tc>
          <w:tcPr>
            <w:tcW w:w="1034" w:type="dxa"/>
          </w:tcPr>
          <w:p w14:paraId="5B9ABD60" w14:textId="77777777" w:rsidR="001D6B7D" w:rsidRPr="00151B72" w:rsidRDefault="001D6B7D" w:rsidP="008B5E00">
            <w:pPr>
              <w:rPr>
                <w:rFonts w:eastAsia="Calibri" w:cs="Calibri"/>
              </w:rPr>
            </w:pPr>
            <w:r w:rsidRPr="00151B72">
              <w:rPr>
                <w:rFonts w:eastAsia="Calibri" w:cs="Calibri"/>
              </w:rPr>
              <w:t>85</w:t>
            </w:r>
          </w:p>
        </w:tc>
      </w:tr>
      <w:tr w:rsidR="001D6B7D" w:rsidRPr="00151B72" w14:paraId="67422915" w14:textId="77777777" w:rsidTr="00C11E99">
        <w:trPr>
          <w:jc w:val="center"/>
        </w:trPr>
        <w:tc>
          <w:tcPr>
            <w:tcW w:w="3081" w:type="dxa"/>
            <w:vMerge/>
          </w:tcPr>
          <w:p w14:paraId="2CB746BF" w14:textId="77777777" w:rsidR="001D6B7D" w:rsidRPr="00151B72" w:rsidRDefault="001D6B7D" w:rsidP="008B5E00">
            <w:pPr>
              <w:rPr>
                <w:rFonts w:eastAsia="Calibri" w:cs="Calibri"/>
              </w:rPr>
            </w:pPr>
          </w:p>
        </w:tc>
        <w:tc>
          <w:tcPr>
            <w:tcW w:w="3081" w:type="dxa"/>
          </w:tcPr>
          <w:p w14:paraId="0E21E774" w14:textId="77777777" w:rsidR="001D6B7D" w:rsidRPr="00151B72" w:rsidRDefault="001D6B7D" w:rsidP="008B5E00">
            <w:pPr>
              <w:rPr>
                <w:rFonts w:eastAsia="Calibri" w:cs="Calibri"/>
              </w:rPr>
            </w:pPr>
            <w:r w:rsidRPr="00151B72">
              <w:rPr>
                <w:rFonts w:eastAsia="Calibri" w:cs="Calibri"/>
              </w:rPr>
              <w:t>Interpreters</w:t>
            </w:r>
          </w:p>
        </w:tc>
        <w:tc>
          <w:tcPr>
            <w:tcW w:w="1034" w:type="dxa"/>
          </w:tcPr>
          <w:p w14:paraId="45B90D5B" w14:textId="77777777" w:rsidR="001D6B7D" w:rsidRPr="00151B72" w:rsidRDefault="001D6B7D" w:rsidP="008B5E00">
            <w:pPr>
              <w:rPr>
                <w:rFonts w:eastAsia="Calibri" w:cs="Calibri"/>
              </w:rPr>
            </w:pPr>
            <w:r w:rsidRPr="00151B72">
              <w:rPr>
                <w:rFonts w:eastAsia="Calibri" w:cs="Calibri"/>
              </w:rPr>
              <w:t>11</w:t>
            </w:r>
          </w:p>
        </w:tc>
      </w:tr>
      <w:tr w:rsidR="001D6B7D" w:rsidRPr="00151B72" w14:paraId="6361FD5F" w14:textId="77777777" w:rsidTr="00C11E99">
        <w:trPr>
          <w:jc w:val="center"/>
        </w:trPr>
        <w:tc>
          <w:tcPr>
            <w:tcW w:w="3081" w:type="dxa"/>
            <w:vMerge w:val="restart"/>
          </w:tcPr>
          <w:p w14:paraId="702F0057" w14:textId="77777777" w:rsidR="001D6B7D" w:rsidRPr="00151B72" w:rsidRDefault="001D6B7D" w:rsidP="008B5E00">
            <w:pPr>
              <w:rPr>
                <w:rFonts w:eastAsia="Calibri" w:cs="Calibri"/>
              </w:rPr>
            </w:pPr>
            <w:r w:rsidRPr="00151B72">
              <w:rPr>
                <w:rFonts w:eastAsia="Calibri" w:cs="Calibri"/>
              </w:rPr>
              <w:t>Spain</w:t>
            </w:r>
          </w:p>
        </w:tc>
        <w:tc>
          <w:tcPr>
            <w:tcW w:w="3081" w:type="dxa"/>
          </w:tcPr>
          <w:p w14:paraId="562CF128" w14:textId="77777777" w:rsidR="001D6B7D" w:rsidRPr="00151B72" w:rsidRDefault="001D6B7D" w:rsidP="008B5E00">
            <w:pPr>
              <w:rPr>
                <w:rFonts w:eastAsia="Calibri" w:cs="Calibri"/>
              </w:rPr>
            </w:pPr>
            <w:r w:rsidRPr="00151B72">
              <w:rPr>
                <w:rFonts w:eastAsia="Calibri" w:cs="Calibri"/>
              </w:rPr>
              <w:t>Service Providers</w:t>
            </w:r>
          </w:p>
        </w:tc>
        <w:tc>
          <w:tcPr>
            <w:tcW w:w="1034" w:type="dxa"/>
          </w:tcPr>
          <w:p w14:paraId="152C666C" w14:textId="77777777" w:rsidR="001D6B7D" w:rsidRPr="00151B72" w:rsidRDefault="001D6B7D" w:rsidP="008B5E00">
            <w:pPr>
              <w:rPr>
                <w:rFonts w:eastAsia="Calibri" w:cs="Calibri"/>
              </w:rPr>
            </w:pPr>
            <w:r w:rsidRPr="00151B72">
              <w:rPr>
                <w:rFonts w:eastAsia="Calibri" w:cs="Calibri"/>
              </w:rPr>
              <w:t>173</w:t>
            </w:r>
          </w:p>
        </w:tc>
      </w:tr>
      <w:tr w:rsidR="001D6B7D" w:rsidRPr="00151B72" w14:paraId="0D113AA6" w14:textId="77777777" w:rsidTr="00C11E99">
        <w:trPr>
          <w:jc w:val="center"/>
        </w:trPr>
        <w:tc>
          <w:tcPr>
            <w:tcW w:w="3081" w:type="dxa"/>
            <w:vMerge/>
          </w:tcPr>
          <w:p w14:paraId="414211EF" w14:textId="77777777" w:rsidR="001D6B7D" w:rsidRPr="00151B72" w:rsidRDefault="001D6B7D" w:rsidP="008B5E00">
            <w:pPr>
              <w:rPr>
                <w:rFonts w:eastAsia="Calibri" w:cs="Calibri"/>
              </w:rPr>
            </w:pPr>
          </w:p>
        </w:tc>
        <w:tc>
          <w:tcPr>
            <w:tcW w:w="3081" w:type="dxa"/>
          </w:tcPr>
          <w:p w14:paraId="1EB6D14C" w14:textId="77777777" w:rsidR="001D6B7D" w:rsidRPr="00151B72" w:rsidRDefault="001D6B7D" w:rsidP="008B5E00">
            <w:pPr>
              <w:rPr>
                <w:rFonts w:eastAsia="Calibri" w:cs="Calibri"/>
              </w:rPr>
            </w:pPr>
            <w:r w:rsidRPr="00151B72">
              <w:rPr>
                <w:rFonts w:eastAsia="Calibri" w:cs="Calibri"/>
              </w:rPr>
              <w:t>Interpreters</w:t>
            </w:r>
          </w:p>
        </w:tc>
        <w:tc>
          <w:tcPr>
            <w:tcW w:w="1034" w:type="dxa"/>
          </w:tcPr>
          <w:p w14:paraId="6688116C" w14:textId="77777777" w:rsidR="001D6B7D" w:rsidRPr="00151B72" w:rsidRDefault="001D6B7D" w:rsidP="008B5E00">
            <w:pPr>
              <w:rPr>
                <w:rFonts w:eastAsia="Calibri" w:cs="Calibri"/>
              </w:rPr>
            </w:pPr>
            <w:r w:rsidRPr="00151B72">
              <w:rPr>
                <w:rFonts w:eastAsia="Calibri" w:cs="Calibri"/>
              </w:rPr>
              <w:t>57</w:t>
            </w:r>
          </w:p>
        </w:tc>
      </w:tr>
      <w:tr w:rsidR="001D6B7D" w:rsidRPr="00151B72" w14:paraId="60566AB7" w14:textId="77777777" w:rsidTr="00C11E99">
        <w:trPr>
          <w:jc w:val="center"/>
        </w:trPr>
        <w:tc>
          <w:tcPr>
            <w:tcW w:w="3081" w:type="dxa"/>
            <w:vMerge w:val="restart"/>
          </w:tcPr>
          <w:p w14:paraId="6903A0AF" w14:textId="77777777" w:rsidR="001D6B7D" w:rsidRPr="00151B72" w:rsidRDefault="001D6B7D" w:rsidP="008B5E00">
            <w:pPr>
              <w:rPr>
                <w:rFonts w:eastAsia="Calibri" w:cs="Calibri"/>
              </w:rPr>
            </w:pPr>
            <w:r w:rsidRPr="00151B72">
              <w:rPr>
                <w:rFonts w:eastAsia="Calibri" w:cs="Calibri"/>
              </w:rPr>
              <w:t>UK</w:t>
            </w:r>
          </w:p>
        </w:tc>
        <w:tc>
          <w:tcPr>
            <w:tcW w:w="3081" w:type="dxa"/>
          </w:tcPr>
          <w:p w14:paraId="4B38441F" w14:textId="77777777" w:rsidR="001D6B7D" w:rsidRPr="00151B72" w:rsidRDefault="001D6B7D" w:rsidP="008B5E00">
            <w:pPr>
              <w:rPr>
                <w:rFonts w:eastAsia="Calibri" w:cs="Calibri"/>
              </w:rPr>
            </w:pPr>
            <w:r w:rsidRPr="00151B72">
              <w:rPr>
                <w:rFonts w:eastAsia="Calibri" w:cs="Calibri"/>
              </w:rPr>
              <w:t>Service Providers</w:t>
            </w:r>
          </w:p>
        </w:tc>
        <w:tc>
          <w:tcPr>
            <w:tcW w:w="1034" w:type="dxa"/>
          </w:tcPr>
          <w:p w14:paraId="489A3E57" w14:textId="77777777" w:rsidR="001D6B7D" w:rsidRPr="00151B72" w:rsidRDefault="001D6B7D" w:rsidP="008B5E00">
            <w:pPr>
              <w:rPr>
                <w:rFonts w:eastAsia="Calibri" w:cs="Calibri"/>
              </w:rPr>
            </w:pPr>
            <w:r w:rsidRPr="00151B72">
              <w:rPr>
                <w:rFonts w:eastAsia="Calibri" w:cs="Calibri"/>
              </w:rPr>
              <w:t>13</w:t>
            </w:r>
          </w:p>
        </w:tc>
      </w:tr>
      <w:tr w:rsidR="001D6B7D" w:rsidRPr="00151B72" w14:paraId="133B901E" w14:textId="77777777" w:rsidTr="00C11E99">
        <w:trPr>
          <w:jc w:val="center"/>
        </w:trPr>
        <w:tc>
          <w:tcPr>
            <w:tcW w:w="3081" w:type="dxa"/>
            <w:vMerge/>
          </w:tcPr>
          <w:p w14:paraId="6E48E9E3" w14:textId="77777777" w:rsidR="001D6B7D" w:rsidRPr="00151B72" w:rsidRDefault="001D6B7D" w:rsidP="008B5E00">
            <w:pPr>
              <w:rPr>
                <w:rFonts w:eastAsia="Calibri" w:cs="Calibri"/>
              </w:rPr>
            </w:pPr>
          </w:p>
        </w:tc>
        <w:tc>
          <w:tcPr>
            <w:tcW w:w="3081" w:type="dxa"/>
          </w:tcPr>
          <w:p w14:paraId="7E418985" w14:textId="77777777" w:rsidR="001D6B7D" w:rsidRPr="00151B72" w:rsidRDefault="001D6B7D" w:rsidP="008B5E00">
            <w:pPr>
              <w:rPr>
                <w:rFonts w:eastAsia="Calibri" w:cs="Calibri"/>
              </w:rPr>
            </w:pPr>
            <w:r w:rsidRPr="00151B72">
              <w:rPr>
                <w:rFonts w:eastAsia="Calibri" w:cs="Calibri"/>
              </w:rPr>
              <w:t>Interpreters</w:t>
            </w:r>
          </w:p>
        </w:tc>
        <w:tc>
          <w:tcPr>
            <w:tcW w:w="1034" w:type="dxa"/>
          </w:tcPr>
          <w:p w14:paraId="3345AE46" w14:textId="77777777" w:rsidR="001D6B7D" w:rsidRPr="00151B72" w:rsidRDefault="001D6B7D" w:rsidP="008B5E00">
            <w:pPr>
              <w:rPr>
                <w:rFonts w:eastAsia="Calibri" w:cs="Calibri"/>
              </w:rPr>
            </w:pPr>
            <w:r w:rsidRPr="00151B72">
              <w:rPr>
                <w:rFonts w:eastAsia="Calibri" w:cs="Calibri"/>
              </w:rPr>
              <w:t>45</w:t>
            </w:r>
          </w:p>
        </w:tc>
      </w:tr>
    </w:tbl>
    <w:p w14:paraId="6F149CD2" w14:textId="77777777" w:rsidR="001D6B7D" w:rsidRPr="00151B72" w:rsidRDefault="001D6B7D" w:rsidP="009C0532">
      <w:pPr>
        <w:rPr>
          <w:rFonts w:eastAsia="Calibri" w:cs="Calibri"/>
          <w:szCs w:val="20"/>
        </w:rPr>
      </w:pPr>
    </w:p>
    <w:p w14:paraId="04D120E6" w14:textId="77777777" w:rsidR="001D6B7D" w:rsidRPr="00151B72" w:rsidRDefault="001D6B7D" w:rsidP="00004490">
      <w:pPr>
        <w:rPr>
          <w:rFonts w:eastAsia="Calibri" w:cs="Calibri"/>
          <w:b/>
          <w:bCs/>
          <w:szCs w:val="20"/>
        </w:rPr>
      </w:pPr>
      <w:r w:rsidRPr="00151B72">
        <w:rPr>
          <w:rFonts w:eastAsia="Calibri" w:cs="Calibri"/>
          <w:b/>
          <w:bCs/>
          <w:szCs w:val="20"/>
        </w:rPr>
        <w:t xml:space="preserve">Table 1: </w:t>
      </w:r>
      <w:r w:rsidRPr="00151B72">
        <w:rPr>
          <w:rFonts w:eastAsia="Calibri" w:cs="Calibri"/>
          <w:szCs w:val="20"/>
        </w:rPr>
        <w:t>Responses by countries and groups</w:t>
      </w:r>
    </w:p>
    <w:p w14:paraId="65E7CDBA" w14:textId="77777777" w:rsidR="001D6B7D" w:rsidRPr="00151B72" w:rsidRDefault="001D6B7D" w:rsidP="00242165">
      <w:pPr>
        <w:rPr>
          <w:rFonts w:eastAsia="Calibri" w:cs="Calibri"/>
          <w:szCs w:val="20"/>
        </w:rPr>
      </w:pPr>
    </w:p>
    <w:p w14:paraId="1E96C239" w14:textId="2C0D9C0D" w:rsidR="001D6B7D" w:rsidRPr="00151B72" w:rsidRDefault="00F5794B" w:rsidP="009C0532">
      <w:pPr>
        <w:rPr>
          <w:rFonts w:eastAsia="Calibri" w:cs="Calibri"/>
          <w:szCs w:val="20"/>
        </w:rPr>
      </w:pPr>
      <w:r>
        <w:rPr>
          <w:rFonts w:eastAsia="Calibri" w:cs="Calibri"/>
          <w:szCs w:val="20"/>
        </w:rPr>
        <w:t>S</w:t>
      </w:r>
      <w:r w:rsidR="001D6B7D" w:rsidRPr="00151B72">
        <w:rPr>
          <w:rFonts w:eastAsia="Calibri" w:cs="Calibri"/>
          <w:szCs w:val="20"/>
        </w:rPr>
        <w:t>urvey</w:t>
      </w:r>
      <w:r>
        <w:rPr>
          <w:rFonts w:eastAsia="Calibri" w:cs="Calibri"/>
          <w:szCs w:val="20"/>
        </w:rPr>
        <w:t xml:space="preserve"> findings</w:t>
      </w:r>
      <w:r w:rsidR="001D6B7D" w:rsidRPr="00151B72">
        <w:rPr>
          <w:rFonts w:eastAsia="Calibri" w:cs="Calibri"/>
          <w:szCs w:val="20"/>
        </w:rPr>
        <w:t xml:space="preserve"> were complemented </w:t>
      </w:r>
      <w:r>
        <w:rPr>
          <w:rFonts w:eastAsia="Calibri" w:cs="Calibri"/>
          <w:szCs w:val="20"/>
        </w:rPr>
        <w:t>by</w:t>
      </w:r>
      <w:r w:rsidR="001D6B7D" w:rsidRPr="00151B72">
        <w:rPr>
          <w:rFonts w:eastAsia="Calibri" w:cs="Calibri"/>
          <w:szCs w:val="20"/>
        </w:rPr>
        <w:t xml:space="preserve"> qualitative data </w:t>
      </w:r>
      <w:r>
        <w:rPr>
          <w:rFonts w:eastAsia="Calibri" w:cs="Calibri"/>
          <w:szCs w:val="20"/>
        </w:rPr>
        <w:t>from</w:t>
      </w:r>
      <w:r w:rsidR="001D6B7D" w:rsidRPr="00151B72">
        <w:rPr>
          <w:rFonts w:eastAsia="Calibri" w:cs="Calibri"/>
          <w:szCs w:val="20"/>
        </w:rPr>
        <w:t xml:space="preserve"> interviews with deaf survivors, police officers and social workers, and a roundtable with interpreters and deaf Independent Domestic Violence Advisors in the UK </w:t>
      </w:r>
      <w:r w:rsidR="001D6B7D" w:rsidRPr="00151B72">
        <w:rPr>
          <w:rFonts w:eastAsia="Calibri" w:cs="Calibri"/>
          <w:noProof/>
          <w:szCs w:val="20"/>
        </w:rPr>
        <w:t>(Napier</w:t>
      </w:r>
      <w:r>
        <w:rPr>
          <w:rFonts w:eastAsia="Calibri" w:cs="Calibri"/>
          <w:noProof/>
          <w:szCs w:val="20"/>
        </w:rPr>
        <w:t xml:space="preserve"> </w:t>
      </w:r>
      <w:r w:rsidR="001D6B7D" w:rsidRPr="00151B72">
        <w:rPr>
          <w:rFonts w:eastAsia="Calibri" w:cs="Calibri"/>
          <w:noProof/>
          <w:szCs w:val="20"/>
        </w:rPr>
        <w:t>et al., 2024; Napier et al., 2023)</w:t>
      </w:r>
      <w:r w:rsidR="001D6B7D" w:rsidRPr="00151B72">
        <w:rPr>
          <w:rFonts w:eastAsia="Calibri" w:cs="Calibri"/>
          <w:szCs w:val="20"/>
        </w:rPr>
        <w:t>.</w:t>
      </w:r>
    </w:p>
    <w:p w14:paraId="18A5BA0F" w14:textId="77777777" w:rsidR="001D6B7D" w:rsidRPr="00151B72" w:rsidRDefault="001D6B7D" w:rsidP="00CD307B">
      <w:pPr>
        <w:rPr>
          <w:rFonts w:eastAsia="Calibri" w:cs="Calibri"/>
          <w:szCs w:val="20"/>
          <w:lang w:val="en-IE"/>
        </w:rPr>
      </w:pPr>
    </w:p>
    <w:p w14:paraId="28DF9184" w14:textId="77777777" w:rsidR="001D6B7D" w:rsidRPr="00151B72" w:rsidRDefault="001D6B7D" w:rsidP="00CD307B">
      <w:pPr>
        <w:rPr>
          <w:rFonts w:eastAsia="Calibri" w:cs="Calibri"/>
          <w:b/>
          <w:bCs/>
          <w:szCs w:val="20"/>
          <w:lang w:val="en-IE"/>
        </w:rPr>
      </w:pPr>
      <w:r w:rsidRPr="00151B72">
        <w:rPr>
          <w:rFonts w:eastAsia="Calibri" w:cs="Calibri"/>
          <w:b/>
          <w:bCs/>
          <w:szCs w:val="20"/>
          <w:lang w:val="en-IE"/>
        </w:rPr>
        <w:t>3.1 Support service provider responses</w:t>
      </w:r>
    </w:p>
    <w:p w14:paraId="1E7F6197" w14:textId="5F57EA68" w:rsidR="001D6B7D" w:rsidRPr="00151B72" w:rsidRDefault="001D6B7D" w:rsidP="00CD307B">
      <w:pPr>
        <w:rPr>
          <w:rFonts w:eastAsia="Calibri" w:cs="Calibri"/>
          <w:szCs w:val="20"/>
          <w:lang w:val="en-IE"/>
        </w:rPr>
      </w:pPr>
      <w:r w:rsidRPr="00151B72">
        <w:rPr>
          <w:rFonts w:eastAsia="Calibri" w:cs="Calibri"/>
          <w:szCs w:val="20"/>
          <w:lang w:val="en-IE"/>
        </w:rPr>
        <w:t xml:space="preserve">In the UK and Spain, many service providers reported more than 20 </w:t>
      </w:r>
      <w:r w:rsidR="00F5794B" w:rsidRPr="00151B72">
        <w:rPr>
          <w:rFonts w:eastAsia="Calibri" w:cs="Calibri"/>
          <w:szCs w:val="20"/>
          <w:lang w:val="en-IE"/>
        </w:rPr>
        <w:t>years’ experience</w:t>
      </w:r>
      <w:r w:rsidRPr="00151B72">
        <w:rPr>
          <w:rFonts w:eastAsia="Calibri" w:cs="Calibri"/>
          <w:szCs w:val="20"/>
          <w:lang w:val="en-IE"/>
        </w:rPr>
        <w:t xml:space="preserve">. The Irish response was different, which we attribute to the robust response from members of An Garda Síochána. </w:t>
      </w:r>
      <w:r w:rsidR="00F5794B">
        <w:rPr>
          <w:rFonts w:eastAsia="Calibri" w:cs="Calibri"/>
          <w:szCs w:val="20"/>
          <w:lang w:val="en-IE"/>
        </w:rPr>
        <w:t>The</w:t>
      </w:r>
      <w:r w:rsidRPr="00151B72">
        <w:rPr>
          <w:rFonts w:eastAsia="Calibri" w:cs="Calibri"/>
          <w:szCs w:val="20"/>
          <w:lang w:val="en-IE"/>
        </w:rPr>
        <w:t xml:space="preserve"> majority of Gardaí  who engaged in this study report working in Divisional Protective Service Units (DPSUs) under the Garda National Protective Services Bureau (GNPSB). The GNPSB was established in 2015. An additional six DPSUs were established in Mayo, Roscommon/Longford, Kildare, Laois/Offaly and Wexford in 2020. This helps understand why  Irish respondents (who are mostly Gardaí)  report having  less than 6 years’ experience.  Additionally, Gardaí  require a minimum number of years’ experience prior to applying to work in a specialised area on top of their probation (two years). Those working in DSGBV must first apply to work in a specialised unit and then complete an interview process. At the other end of the experience spectrum, we note that the  retirement age for An Garda Síochána members is 60 years.  If they joined the force  after 2004, they can choose to retire as early as 55. Thus, the window of potential years of experience must be viewed through the lens of the career pathway for Gardaí, a point of differentiation for other respondents. </w:t>
      </w:r>
    </w:p>
    <w:p w14:paraId="17CF9E4C" w14:textId="77777777" w:rsidR="001D6B7D" w:rsidRPr="00151B72" w:rsidRDefault="001D6B7D" w:rsidP="009C0532">
      <w:pPr>
        <w:rPr>
          <w:rFonts w:eastAsia="Calibri" w:cs="Calibri"/>
          <w:szCs w:val="20"/>
        </w:rPr>
      </w:pPr>
    </w:p>
    <w:p w14:paraId="12F8852E" w14:textId="77777777" w:rsidR="007633A0" w:rsidRPr="00CD307B" w:rsidRDefault="001D6B7D" w:rsidP="00C1393D">
      <w:pPr>
        <w:rPr>
          <w:rFonts w:eastAsia="Calibri" w:cs="Calibri"/>
          <w:szCs w:val="20"/>
        </w:rPr>
      </w:pPr>
      <w:r w:rsidRPr="00151B72">
        <w:rPr>
          <w:rFonts w:eastAsia="Calibri" w:cs="Calibri"/>
          <w:szCs w:val="20"/>
        </w:rPr>
        <w:t xml:space="preserve">When it comes to the training concerns highlighted by service providers, we see the need for bespoke </w:t>
      </w:r>
      <w:r w:rsidRPr="00151B72">
        <w:rPr>
          <w:rFonts w:eastAsia="Calibri" w:cs="Calibri"/>
          <w:szCs w:val="20"/>
          <w:lang w:val="en-IE"/>
        </w:rPr>
        <w:t xml:space="preserve">training, </w:t>
      </w:r>
      <w:r w:rsidRPr="00151B72">
        <w:rPr>
          <w:rFonts w:eastAsia="Calibri" w:cs="Calibri"/>
          <w:szCs w:val="20"/>
        </w:rPr>
        <w:t>t</w:t>
      </w:r>
      <w:r w:rsidRPr="00151B72">
        <w:rPr>
          <w:rFonts w:eastAsia="Calibri" w:cs="Calibri"/>
          <w:szCs w:val="20"/>
          <w:lang w:val="en-IE"/>
        </w:rPr>
        <w:t xml:space="preserve">ools to support interviewing victims of DSGVB (bearing in mind so many respondents are police officers); </w:t>
      </w:r>
      <w:r w:rsidRPr="00151B72">
        <w:rPr>
          <w:rFonts w:eastAsia="Calibri" w:cs="Calibri"/>
          <w:szCs w:val="20"/>
        </w:rPr>
        <w:t>a</w:t>
      </w:r>
      <w:r w:rsidRPr="00151B72">
        <w:rPr>
          <w:rFonts w:eastAsia="Calibri" w:cs="Calibri"/>
          <w:szCs w:val="20"/>
          <w:lang w:val="en-IE"/>
        </w:rPr>
        <w:t>wareness of supports available to victims/survivors;</w:t>
      </w:r>
      <w:r w:rsidRPr="00151B72">
        <w:rPr>
          <w:rFonts w:eastAsia="Calibri" w:cs="Calibri"/>
          <w:szCs w:val="20"/>
        </w:rPr>
        <w:t xml:space="preserve"> c</w:t>
      </w:r>
      <w:r w:rsidRPr="00151B72">
        <w:rPr>
          <w:rFonts w:eastAsia="Calibri" w:cs="Calibri"/>
          <w:szCs w:val="20"/>
          <w:lang w:val="en-IE"/>
        </w:rPr>
        <w:t>ultural/diversity considerations – understanding cultural barriers experienced by women seeking information around DSGBV; working with minority groups, especially where language barriers exist. They also wanted to know more about legislation and policing protocols and to learn to</w:t>
      </w:r>
      <w:r w:rsidRPr="00151B72">
        <w:rPr>
          <w:rFonts w:eastAsia="Calibri" w:cs="Calibri"/>
          <w:szCs w:val="20"/>
        </w:rPr>
        <w:t xml:space="preserve"> better </w:t>
      </w:r>
      <w:r w:rsidRPr="00151B72">
        <w:rPr>
          <w:rFonts w:eastAsia="Calibri" w:cs="Calibri"/>
          <w:szCs w:val="20"/>
          <w:lang w:val="en-IE"/>
        </w:rPr>
        <w:t>engage with victims/survivors (e.g. witness interviewing techniques, esp. children/vulnerable people; how to talk to a victim).</w:t>
      </w:r>
    </w:p>
    <w:p w14:paraId="6319F8B2" w14:textId="77777777" w:rsidR="001D6B7D" w:rsidRPr="00151B72" w:rsidRDefault="001D6B7D" w:rsidP="00C1393D">
      <w:pPr>
        <w:rPr>
          <w:rFonts w:eastAsia="Calibri" w:cs="Calibri"/>
          <w:szCs w:val="20"/>
        </w:rPr>
      </w:pPr>
    </w:p>
    <w:p w14:paraId="7666AD56" w14:textId="168BDDD7" w:rsidR="001D6B7D" w:rsidRPr="00151B72" w:rsidRDefault="001D6B7D" w:rsidP="00C1393D">
      <w:pPr>
        <w:rPr>
          <w:rFonts w:eastAsia="Calibri" w:cs="Calibri"/>
          <w:szCs w:val="20"/>
        </w:rPr>
      </w:pPr>
      <w:r w:rsidRPr="00151B72">
        <w:rPr>
          <w:rFonts w:eastAsia="Calibri" w:cs="Calibri"/>
          <w:szCs w:val="20"/>
        </w:rPr>
        <w:t xml:space="preserve">We asked service providers </w:t>
      </w:r>
      <w:r w:rsidR="00F5794B">
        <w:rPr>
          <w:rFonts w:eastAsia="Calibri" w:cs="Calibri"/>
          <w:szCs w:val="20"/>
        </w:rPr>
        <w:t>which</w:t>
      </w:r>
      <w:r w:rsidRPr="00151B72">
        <w:rPr>
          <w:rFonts w:eastAsia="Calibri" w:cs="Calibri"/>
          <w:szCs w:val="20"/>
        </w:rPr>
        <w:t xml:space="preserve"> languages </w:t>
      </w:r>
      <w:r w:rsidR="00F5794B">
        <w:rPr>
          <w:rFonts w:eastAsia="Calibri" w:cs="Calibri"/>
          <w:szCs w:val="20"/>
        </w:rPr>
        <w:t>they most commonly encountered (</w:t>
      </w:r>
      <w:r w:rsidRPr="00151B72">
        <w:rPr>
          <w:rFonts w:eastAsia="Calibri" w:cs="Calibri"/>
          <w:szCs w:val="20"/>
        </w:rPr>
        <w:t>other than their national language/s</w:t>
      </w:r>
      <w:r w:rsidR="00F5794B">
        <w:rPr>
          <w:rFonts w:eastAsia="Calibri" w:cs="Calibri"/>
          <w:szCs w:val="20"/>
        </w:rPr>
        <w:t xml:space="preserve">) </w:t>
      </w:r>
      <w:r w:rsidRPr="00151B72">
        <w:rPr>
          <w:rFonts w:eastAsia="Calibri" w:cs="Calibri"/>
          <w:szCs w:val="20"/>
        </w:rPr>
        <w:t>when engaging with victims/survivors of DSGBV</w:t>
      </w:r>
      <w:r w:rsidR="00F5794B">
        <w:rPr>
          <w:rFonts w:eastAsia="Calibri" w:cs="Calibri"/>
          <w:szCs w:val="20"/>
        </w:rPr>
        <w:t>. We also note here</w:t>
      </w:r>
      <w:r w:rsidRPr="00151B72">
        <w:rPr>
          <w:rFonts w:eastAsia="Calibri" w:cs="Calibri"/>
          <w:szCs w:val="20"/>
        </w:rPr>
        <w:t xml:space="preserve"> where respondents had or had not worked with a sign language interpreter (SLI) to date (Table 2). </w:t>
      </w:r>
    </w:p>
    <w:p w14:paraId="5C14B2ED" w14:textId="77777777" w:rsidR="001D6B7D" w:rsidRPr="00151B72" w:rsidRDefault="001D6B7D" w:rsidP="00C1393D">
      <w:pPr>
        <w:rPr>
          <w:rFonts w:eastAsia="Calibri" w:cs="Calibri"/>
          <w:szCs w:val="20"/>
        </w:rPr>
      </w:pPr>
    </w:p>
    <w:p w14:paraId="4914FF6B" w14:textId="2D59B6A9" w:rsidR="00F5794B" w:rsidRPr="00F5794B" w:rsidRDefault="00F5794B" w:rsidP="00C1393D">
      <w:pPr>
        <w:rPr>
          <w:rFonts w:eastAsia="Calibri" w:cs="Calibri"/>
          <w:szCs w:val="20"/>
          <w:lang w:val="en-IE"/>
        </w:rPr>
      </w:pPr>
      <w:r w:rsidRPr="00151B72">
        <w:rPr>
          <w:rFonts w:eastAsia="Calibri" w:cs="Calibri"/>
          <w:szCs w:val="20"/>
          <w:lang w:val="en-IE"/>
        </w:rPr>
        <w:t xml:space="preserve">We asked what happens if an interpreter is not present in terms of resolving communication issues through other means like:  gestures/ pointing; through drawing/ writing; getting help from a colleague who understands the language of the client; getting someone who can communicate with the client: asking the victim to bring someone who can help; or using a multilingual software for spoken languages (e.g. Google Translate).  </w:t>
      </w:r>
    </w:p>
    <w:p w14:paraId="60A98C05" w14:textId="77777777" w:rsidR="00F5794B" w:rsidRPr="00151B72" w:rsidRDefault="00F5794B" w:rsidP="00C1393D">
      <w:pPr>
        <w:rPr>
          <w:rFonts w:eastAsia="Calibri" w:cs="Calibri"/>
          <w:szCs w:val="20"/>
        </w:rPr>
      </w:pPr>
    </w:p>
    <w:p w14:paraId="0F5C2445" w14:textId="77777777" w:rsidR="001D6B7D" w:rsidRPr="00151B72" w:rsidRDefault="001D6B7D" w:rsidP="009C0532">
      <w:pPr>
        <w:rPr>
          <w:rFonts w:eastAsia="Calibri" w:cs="Calibri"/>
          <w:szCs w:val="20"/>
        </w:rPr>
      </w:pPr>
    </w:p>
    <w:tbl>
      <w:tblPr>
        <w:tblStyle w:val="TableGrid"/>
        <w:tblW w:w="0" w:type="auto"/>
        <w:jc w:val="center"/>
        <w:tblLook w:val="04A0" w:firstRow="1" w:lastRow="0" w:firstColumn="1" w:lastColumn="0" w:noHBand="0" w:noVBand="1"/>
      </w:tblPr>
      <w:tblGrid>
        <w:gridCol w:w="1242"/>
        <w:gridCol w:w="4738"/>
        <w:gridCol w:w="851"/>
      </w:tblGrid>
      <w:tr w:rsidR="001D6B7D" w:rsidRPr="00151B72" w14:paraId="32E4BBC3" w14:textId="77777777" w:rsidTr="00004490">
        <w:trPr>
          <w:jc w:val="center"/>
        </w:trPr>
        <w:tc>
          <w:tcPr>
            <w:tcW w:w="1242" w:type="dxa"/>
          </w:tcPr>
          <w:p w14:paraId="5CE83013" w14:textId="77777777" w:rsidR="001D6B7D" w:rsidRPr="00151B72" w:rsidRDefault="001D6B7D" w:rsidP="004553AD">
            <w:pPr>
              <w:rPr>
                <w:rFonts w:eastAsia="Calibri" w:cs="Calibri"/>
                <w:b/>
                <w:bCs/>
              </w:rPr>
            </w:pPr>
            <w:r w:rsidRPr="00151B72">
              <w:rPr>
                <w:rFonts w:eastAsia="Calibri" w:cs="Calibri"/>
                <w:b/>
                <w:bCs/>
              </w:rPr>
              <w:t>Country</w:t>
            </w:r>
          </w:p>
        </w:tc>
        <w:tc>
          <w:tcPr>
            <w:tcW w:w="4738" w:type="dxa"/>
          </w:tcPr>
          <w:p w14:paraId="52892DE8" w14:textId="77777777" w:rsidR="001D6B7D" w:rsidRPr="00151B72" w:rsidRDefault="001D6B7D" w:rsidP="004553AD">
            <w:pPr>
              <w:rPr>
                <w:rFonts w:eastAsia="Calibri" w:cs="Calibri"/>
                <w:b/>
                <w:bCs/>
              </w:rPr>
            </w:pPr>
            <w:r w:rsidRPr="00151B72">
              <w:rPr>
                <w:rFonts w:eastAsia="Calibri" w:cs="Calibri"/>
                <w:b/>
                <w:bCs/>
              </w:rPr>
              <w:t>Most commonly occurring languages</w:t>
            </w:r>
          </w:p>
        </w:tc>
        <w:tc>
          <w:tcPr>
            <w:tcW w:w="851" w:type="dxa"/>
          </w:tcPr>
          <w:p w14:paraId="73B2F16C" w14:textId="77777777" w:rsidR="001D6B7D" w:rsidRPr="00151B72" w:rsidRDefault="001D6B7D" w:rsidP="004553AD">
            <w:pPr>
              <w:rPr>
                <w:rFonts w:eastAsia="Calibri" w:cs="Calibri"/>
                <w:b/>
                <w:bCs/>
              </w:rPr>
            </w:pPr>
            <w:r w:rsidRPr="00151B72">
              <w:rPr>
                <w:rFonts w:eastAsia="Calibri" w:cs="Calibri"/>
                <w:b/>
                <w:bCs/>
              </w:rPr>
              <w:t>%</w:t>
            </w:r>
          </w:p>
        </w:tc>
      </w:tr>
      <w:tr w:rsidR="001D6B7D" w:rsidRPr="00151B72" w14:paraId="74BE8FC7" w14:textId="77777777" w:rsidTr="00004490">
        <w:trPr>
          <w:trHeight w:val="1475"/>
          <w:jc w:val="center"/>
        </w:trPr>
        <w:tc>
          <w:tcPr>
            <w:tcW w:w="1242" w:type="dxa"/>
          </w:tcPr>
          <w:p w14:paraId="0C040787" w14:textId="77777777" w:rsidR="001D6B7D" w:rsidRPr="00151B72" w:rsidRDefault="001D6B7D" w:rsidP="004553AD">
            <w:pPr>
              <w:rPr>
                <w:rFonts w:eastAsia="Calibri" w:cs="Calibri"/>
              </w:rPr>
            </w:pPr>
            <w:r w:rsidRPr="00151B72">
              <w:rPr>
                <w:rFonts w:eastAsia="Calibri" w:cs="Calibri"/>
              </w:rPr>
              <w:t>Ireland</w:t>
            </w:r>
          </w:p>
        </w:tc>
        <w:tc>
          <w:tcPr>
            <w:tcW w:w="4738" w:type="dxa"/>
          </w:tcPr>
          <w:p w14:paraId="11A177CC" w14:textId="77777777" w:rsidR="001D6B7D" w:rsidRPr="00151B72" w:rsidRDefault="001D6B7D" w:rsidP="004553AD">
            <w:pPr>
              <w:rPr>
                <w:rFonts w:eastAsia="Calibri" w:cs="Calibri"/>
                <w:lang w:val="en-US"/>
              </w:rPr>
            </w:pPr>
            <w:r w:rsidRPr="00151B72">
              <w:rPr>
                <w:rFonts w:eastAsia="Calibri" w:cs="Calibri"/>
                <w:lang w:val="en-US"/>
              </w:rPr>
              <w:t>Polish</w:t>
            </w:r>
          </w:p>
          <w:p w14:paraId="7A7D97F6" w14:textId="77777777" w:rsidR="001D6B7D" w:rsidRPr="00151B72" w:rsidRDefault="001D6B7D" w:rsidP="004553AD">
            <w:pPr>
              <w:rPr>
                <w:rFonts w:eastAsia="Calibri" w:cs="Calibri"/>
                <w:lang w:val="en-US"/>
              </w:rPr>
            </w:pPr>
            <w:r w:rsidRPr="00151B72">
              <w:rPr>
                <w:rFonts w:eastAsia="Calibri" w:cs="Calibri"/>
                <w:lang w:val="en-US"/>
              </w:rPr>
              <w:t>Romanian</w:t>
            </w:r>
          </w:p>
          <w:p w14:paraId="3F3BA3D1" w14:textId="77777777" w:rsidR="001D6B7D" w:rsidRPr="00151B72" w:rsidRDefault="001D6B7D" w:rsidP="004553AD">
            <w:pPr>
              <w:rPr>
                <w:rFonts w:eastAsia="Calibri" w:cs="Calibri"/>
                <w:lang w:val="en-US"/>
              </w:rPr>
            </w:pPr>
            <w:r w:rsidRPr="00151B72">
              <w:rPr>
                <w:rFonts w:eastAsia="Calibri" w:cs="Calibri"/>
                <w:lang w:val="en-US"/>
              </w:rPr>
              <w:t xml:space="preserve">Lithuanian </w:t>
            </w:r>
          </w:p>
          <w:p w14:paraId="6E084E88" w14:textId="77777777" w:rsidR="001D6B7D" w:rsidRPr="00151B72" w:rsidRDefault="001D6B7D" w:rsidP="004553AD">
            <w:pPr>
              <w:rPr>
                <w:rFonts w:eastAsia="Calibri" w:cs="Calibri"/>
                <w:lang w:val="en-US"/>
              </w:rPr>
            </w:pPr>
            <w:r w:rsidRPr="00151B72">
              <w:rPr>
                <w:rFonts w:eastAsia="Calibri" w:cs="Calibri"/>
                <w:lang w:val="en-US"/>
              </w:rPr>
              <w:t xml:space="preserve">Portuguese </w:t>
            </w:r>
          </w:p>
          <w:p w14:paraId="4FB9ADCB" w14:textId="77777777" w:rsidR="001D6B7D" w:rsidRPr="00151B72" w:rsidRDefault="001D6B7D" w:rsidP="004553AD">
            <w:pPr>
              <w:rPr>
                <w:rFonts w:eastAsia="Calibri" w:cs="Calibri"/>
                <w:lang w:val="en-US"/>
              </w:rPr>
            </w:pPr>
            <w:r w:rsidRPr="00151B72">
              <w:rPr>
                <w:rFonts w:eastAsia="Calibri" w:cs="Calibri"/>
                <w:lang w:val="en-US"/>
              </w:rPr>
              <w:t>ISL</w:t>
            </w:r>
          </w:p>
          <w:p w14:paraId="214D1E4A" w14:textId="77777777" w:rsidR="001D6B7D" w:rsidRPr="00151B72" w:rsidRDefault="001D6B7D" w:rsidP="004553AD">
            <w:pPr>
              <w:rPr>
                <w:rFonts w:eastAsia="Calibri" w:cs="Calibri"/>
                <w:lang w:val="en-US"/>
              </w:rPr>
            </w:pPr>
          </w:p>
          <w:p w14:paraId="268FB2AF" w14:textId="77777777" w:rsidR="001D6B7D" w:rsidRPr="00151B72" w:rsidRDefault="001D6B7D" w:rsidP="004553AD">
            <w:pPr>
              <w:rPr>
                <w:rFonts w:eastAsia="Calibri" w:cs="Calibri"/>
                <w:lang w:val="en-IE"/>
              </w:rPr>
            </w:pPr>
            <w:r w:rsidRPr="00151B72">
              <w:rPr>
                <w:rFonts w:eastAsia="Calibri" w:cs="Calibri"/>
                <w:lang w:val="en-US"/>
              </w:rPr>
              <w:t xml:space="preserve">68% of Irish respondents had never worked with a SLI </w:t>
            </w:r>
          </w:p>
        </w:tc>
        <w:tc>
          <w:tcPr>
            <w:tcW w:w="851" w:type="dxa"/>
          </w:tcPr>
          <w:p w14:paraId="71C6A715" w14:textId="77777777" w:rsidR="001D6B7D" w:rsidRPr="00151B72" w:rsidRDefault="001D6B7D" w:rsidP="004553AD">
            <w:pPr>
              <w:rPr>
                <w:rFonts w:eastAsia="Calibri" w:cs="Calibri"/>
              </w:rPr>
            </w:pPr>
            <w:r w:rsidRPr="00151B72">
              <w:rPr>
                <w:rFonts w:eastAsia="Calibri" w:cs="Calibri"/>
              </w:rPr>
              <w:t>69%</w:t>
            </w:r>
          </w:p>
          <w:p w14:paraId="6D04C3B7" w14:textId="77777777" w:rsidR="001D6B7D" w:rsidRPr="00151B72" w:rsidRDefault="001D6B7D" w:rsidP="004553AD">
            <w:pPr>
              <w:rPr>
                <w:rFonts w:eastAsia="Calibri" w:cs="Calibri"/>
              </w:rPr>
            </w:pPr>
            <w:r w:rsidRPr="00151B72">
              <w:rPr>
                <w:rFonts w:eastAsia="Calibri" w:cs="Calibri"/>
              </w:rPr>
              <w:t>55%</w:t>
            </w:r>
          </w:p>
          <w:p w14:paraId="6AD543AE" w14:textId="77777777" w:rsidR="001D6B7D" w:rsidRPr="00151B72" w:rsidRDefault="001D6B7D" w:rsidP="004553AD">
            <w:pPr>
              <w:rPr>
                <w:rFonts w:eastAsia="Calibri" w:cs="Calibri"/>
              </w:rPr>
            </w:pPr>
            <w:r w:rsidRPr="00151B72">
              <w:rPr>
                <w:rFonts w:eastAsia="Calibri" w:cs="Calibri"/>
              </w:rPr>
              <w:t>54%</w:t>
            </w:r>
          </w:p>
          <w:p w14:paraId="12926253" w14:textId="77777777" w:rsidR="001D6B7D" w:rsidRPr="00151B72" w:rsidRDefault="001D6B7D" w:rsidP="004553AD">
            <w:pPr>
              <w:rPr>
                <w:rFonts w:eastAsia="Calibri" w:cs="Calibri"/>
              </w:rPr>
            </w:pPr>
            <w:r w:rsidRPr="00151B72">
              <w:rPr>
                <w:rFonts w:eastAsia="Calibri" w:cs="Calibri"/>
              </w:rPr>
              <w:t>50%</w:t>
            </w:r>
          </w:p>
          <w:p w14:paraId="14D2C43A" w14:textId="77777777" w:rsidR="001D6B7D" w:rsidRPr="00151B72" w:rsidRDefault="001D6B7D" w:rsidP="004553AD">
            <w:pPr>
              <w:rPr>
                <w:rFonts w:eastAsia="Calibri" w:cs="Calibri"/>
              </w:rPr>
            </w:pPr>
            <w:r w:rsidRPr="00151B72">
              <w:rPr>
                <w:rFonts w:eastAsia="Calibri" w:cs="Calibri"/>
              </w:rPr>
              <w:t>11%</w:t>
            </w:r>
          </w:p>
        </w:tc>
      </w:tr>
      <w:tr w:rsidR="001D6B7D" w:rsidRPr="00151B72" w14:paraId="0FD264E9" w14:textId="77777777" w:rsidTr="00004490">
        <w:trPr>
          <w:trHeight w:val="498"/>
          <w:jc w:val="center"/>
        </w:trPr>
        <w:tc>
          <w:tcPr>
            <w:tcW w:w="1242" w:type="dxa"/>
          </w:tcPr>
          <w:p w14:paraId="4D9EB3A9" w14:textId="77777777" w:rsidR="001D6B7D" w:rsidRPr="00151B72" w:rsidRDefault="001D6B7D" w:rsidP="004553AD">
            <w:pPr>
              <w:rPr>
                <w:rFonts w:eastAsia="Calibri" w:cs="Calibri"/>
              </w:rPr>
            </w:pPr>
            <w:r w:rsidRPr="00151B72">
              <w:rPr>
                <w:rFonts w:eastAsia="Calibri" w:cs="Calibri"/>
              </w:rPr>
              <w:t>Spain</w:t>
            </w:r>
          </w:p>
        </w:tc>
        <w:tc>
          <w:tcPr>
            <w:tcW w:w="4738" w:type="dxa"/>
          </w:tcPr>
          <w:p w14:paraId="5C5F49A9" w14:textId="77777777" w:rsidR="001D6B7D" w:rsidRPr="00151B72" w:rsidRDefault="001D6B7D" w:rsidP="004553AD">
            <w:pPr>
              <w:rPr>
                <w:rFonts w:eastAsia="Calibri" w:cs="Calibri"/>
                <w:lang w:val="en-US"/>
              </w:rPr>
            </w:pPr>
            <w:r w:rsidRPr="00151B72">
              <w:rPr>
                <w:rFonts w:eastAsia="Calibri" w:cs="Calibri"/>
                <w:lang w:val="en-US"/>
              </w:rPr>
              <w:t>Arabic</w:t>
            </w:r>
          </w:p>
          <w:p w14:paraId="4E99CE7B" w14:textId="77777777" w:rsidR="001D6B7D" w:rsidRPr="00151B72" w:rsidRDefault="001D6B7D" w:rsidP="004553AD">
            <w:pPr>
              <w:rPr>
                <w:rFonts w:eastAsia="Calibri" w:cs="Calibri"/>
                <w:lang w:val="en-US"/>
              </w:rPr>
            </w:pPr>
            <w:r w:rsidRPr="00151B72">
              <w:rPr>
                <w:rFonts w:eastAsia="Calibri" w:cs="Calibri"/>
                <w:lang w:val="en-US"/>
              </w:rPr>
              <w:t xml:space="preserve">Romanian </w:t>
            </w:r>
          </w:p>
          <w:p w14:paraId="7D9328B6" w14:textId="77777777" w:rsidR="001D6B7D" w:rsidRPr="00151B72" w:rsidRDefault="001D6B7D" w:rsidP="004553AD">
            <w:pPr>
              <w:rPr>
                <w:rFonts w:eastAsia="Calibri" w:cs="Calibri"/>
                <w:lang w:val="en-US"/>
              </w:rPr>
            </w:pPr>
            <w:r w:rsidRPr="00151B72">
              <w:rPr>
                <w:rFonts w:eastAsia="Calibri" w:cs="Calibri"/>
                <w:lang w:val="en-US"/>
              </w:rPr>
              <w:t xml:space="preserve">Portuguese </w:t>
            </w:r>
          </w:p>
          <w:p w14:paraId="118DBAC4" w14:textId="77777777" w:rsidR="001D6B7D" w:rsidRPr="00151B72" w:rsidRDefault="001D6B7D" w:rsidP="004553AD">
            <w:pPr>
              <w:rPr>
                <w:rFonts w:eastAsia="Calibri" w:cs="Calibri"/>
                <w:lang w:val="en-US"/>
              </w:rPr>
            </w:pPr>
            <w:r w:rsidRPr="00151B72">
              <w:rPr>
                <w:rFonts w:eastAsia="Calibri" w:cs="Calibri"/>
                <w:lang w:val="en-US"/>
              </w:rPr>
              <w:t xml:space="preserve">French </w:t>
            </w:r>
          </w:p>
          <w:p w14:paraId="0542B338" w14:textId="77777777" w:rsidR="001D6B7D" w:rsidRPr="00151B72" w:rsidRDefault="001D6B7D" w:rsidP="004553AD">
            <w:pPr>
              <w:rPr>
                <w:rFonts w:eastAsia="Calibri" w:cs="Calibri"/>
                <w:lang w:val="en-US"/>
              </w:rPr>
            </w:pPr>
            <w:r w:rsidRPr="00151B72">
              <w:rPr>
                <w:rFonts w:eastAsia="Calibri" w:cs="Calibri"/>
                <w:lang w:val="en-US"/>
              </w:rPr>
              <w:t xml:space="preserve">LSE </w:t>
            </w:r>
          </w:p>
          <w:p w14:paraId="6AE21FCB" w14:textId="77777777" w:rsidR="001D6B7D" w:rsidRPr="00151B72" w:rsidRDefault="001D6B7D" w:rsidP="004553AD">
            <w:pPr>
              <w:rPr>
                <w:rFonts w:eastAsia="Calibri" w:cs="Calibri"/>
                <w:lang w:val="en-US"/>
              </w:rPr>
            </w:pPr>
          </w:p>
          <w:p w14:paraId="7FEA8E47" w14:textId="77777777" w:rsidR="001D6B7D" w:rsidRPr="00151B72" w:rsidRDefault="001D6B7D" w:rsidP="004553AD">
            <w:pPr>
              <w:rPr>
                <w:rFonts w:eastAsia="Calibri" w:cs="Calibri"/>
              </w:rPr>
            </w:pPr>
            <w:r w:rsidRPr="00151B72">
              <w:rPr>
                <w:rFonts w:eastAsia="Calibri" w:cs="Calibri"/>
                <w:lang w:val="en-US"/>
              </w:rPr>
              <w:t>46% of Spanish respondents had never worked with a SLI</w:t>
            </w:r>
          </w:p>
        </w:tc>
        <w:tc>
          <w:tcPr>
            <w:tcW w:w="851" w:type="dxa"/>
          </w:tcPr>
          <w:p w14:paraId="64612A69" w14:textId="77777777" w:rsidR="001D6B7D" w:rsidRPr="00151B72" w:rsidRDefault="001D6B7D" w:rsidP="004553AD">
            <w:pPr>
              <w:rPr>
                <w:rFonts w:eastAsia="Calibri" w:cs="Calibri"/>
              </w:rPr>
            </w:pPr>
            <w:r w:rsidRPr="00151B72">
              <w:rPr>
                <w:rFonts w:eastAsia="Calibri" w:cs="Calibri"/>
              </w:rPr>
              <w:t>79%</w:t>
            </w:r>
          </w:p>
          <w:p w14:paraId="7EA4D848" w14:textId="77777777" w:rsidR="001D6B7D" w:rsidRPr="00151B72" w:rsidRDefault="001D6B7D" w:rsidP="004553AD">
            <w:pPr>
              <w:rPr>
                <w:rFonts w:eastAsia="Calibri" w:cs="Calibri"/>
              </w:rPr>
            </w:pPr>
            <w:r w:rsidRPr="00151B72">
              <w:rPr>
                <w:rFonts w:eastAsia="Calibri" w:cs="Calibri"/>
              </w:rPr>
              <w:t>69%</w:t>
            </w:r>
          </w:p>
          <w:p w14:paraId="150A2FB4" w14:textId="77777777" w:rsidR="001D6B7D" w:rsidRPr="00151B72" w:rsidRDefault="001D6B7D" w:rsidP="004553AD">
            <w:pPr>
              <w:rPr>
                <w:rFonts w:eastAsia="Calibri" w:cs="Calibri"/>
              </w:rPr>
            </w:pPr>
            <w:r w:rsidRPr="00151B72">
              <w:rPr>
                <w:rFonts w:eastAsia="Calibri" w:cs="Calibri"/>
              </w:rPr>
              <w:t>57%</w:t>
            </w:r>
          </w:p>
          <w:p w14:paraId="42D4D54C" w14:textId="77777777" w:rsidR="001D6B7D" w:rsidRPr="00151B72" w:rsidRDefault="001D6B7D" w:rsidP="004553AD">
            <w:pPr>
              <w:rPr>
                <w:rFonts w:eastAsia="Calibri" w:cs="Calibri"/>
              </w:rPr>
            </w:pPr>
            <w:r w:rsidRPr="00151B72">
              <w:rPr>
                <w:rFonts w:eastAsia="Calibri" w:cs="Calibri"/>
              </w:rPr>
              <w:t>47%</w:t>
            </w:r>
          </w:p>
          <w:p w14:paraId="7A079454" w14:textId="77777777" w:rsidR="001D6B7D" w:rsidRPr="00151B72" w:rsidRDefault="001D6B7D" w:rsidP="004553AD">
            <w:pPr>
              <w:rPr>
                <w:rFonts w:eastAsia="Calibri" w:cs="Calibri"/>
              </w:rPr>
            </w:pPr>
            <w:r w:rsidRPr="00151B72">
              <w:rPr>
                <w:rFonts w:eastAsia="Calibri" w:cs="Calibri"/>
              </w:rPr>
              <w:t>27%</w:t>
            </w:r>
          </w:p>
        </w:tc>
      </w:tr>
      <w:tr w:rsidR="001D6B7D" w:rsidRPr="00151B72" w14:paraId="31632095" w14:textId="77777777" w:rsidTr="00004490">
        <w:trPr>
          <w:trHeight w:val="498"/>
          <w:jc w:val="center"/>
        </w:trPr>
        <w:tc>
          <w:tcPr>
            <w:tcW w:w="1242" w:type="dxa"/>
          </w:tcPr>
          <w:p w14:paraId="15760501" w14:textId="77777777" w:rsidR="001D6B7D" w:rsidRPr="00151B72" w:rsidRDefault="001D6B7D" w:rsidP="004553AD">
            <w:pPr>
              <w:rPr>
                <w:rFonts w:eastAsia="Calibri" w:cs="Calibri"/>
              </w:rPr>
            </w:pPr>
            <w:r w:rsidRPr="00151B72">
              <w:rPr>
                <w:rFonts w:eastAsia="Calibri" w:cs="Calibri"/>
              </w:rPr>
              <w:t>UK</w:t>
            </w:r>
          </w:p>
        </w:tc>
        <w:tc>
          <w:tcPr>
            <w:tcW w:w="4738" w:type="dxa"/>
          </w:tcPr>
          <w:p w14:paraId="6BAAC057" w14:textId="77777777" w:rsidR="001D6B7D" w:rsidRPr="00151B72" w:rsidRDefault="001D6B7D" w:rsidP="004553AD">
            <w:pPr>
              <w:rPr>
                <w:rFonts w:eastAsia="Calibri" w:cs="Calibri"/>
                <w:lang w:val="en-US"/>
              </w:rPr>
            </w:pPr>
            <w:r w:rsidRPr="00CD307B">
              <w:rPr>
                <w:rFonts w:eastAsia="Calibri" w:cs="Calibri"/>
                <w:lang w:val="en-US"/>
              </w:rPr>
              <w:t>Polish</w:t>
            </w:r>
          </w:p>
          <w:p w14:paraId="10A1C6AA" w14:textId="77777777" w:rsidR="001D6B7D" w:rsidRPr="00151B72" w:rsidRDefault="001D6B7D" w:rsidP="004553AD">
            <w:pPr>
              <w:rPr>
                <w:rFonts w:eastAsia="Calibri" w:cs="Calibri"/>
                <w:lang w:val="en-US"/>
              </w:rPr>
            </w:pPr>
            <w:r w:rsidRPr="00CD307B">
              <w:rPr>
                <w:rFonts w:eastAsia="Calibri" w:cs="Calibri"/>
                <w:lang w:val="en-US"/>
              </w:rPr>
              <w:t>BSL</w:t>
            </w:r>
          </w:p>
          <w:p w14:paraId="294F2161" w14:textId="77777777" w:rsidR="001D6B7D" w:rsidRPr="00151B72" w:rsidRDefault="001D6B7D" w:rsidP="004553AD">
            <w:pPr>
              <w:rPr>
                <w:rFonts w:eastAsia="Calibri" w:cs="Calibri"/>
                <w:lang w:val="en-US"/>
              </w:rPr>
            </w:pPr>
            <w:r w:rsidRPr="00CD307B">
              <w:rPr>
                <w:rFonts w:eastAsia="Calibri" w:cs="Calibri"/>
                <w:lang w:val="en-US"/>
              </w:rPr>
              <w:t xml:space="preserve">Urdu  </w:t>
            </w:r>
          </w:p>
          <w:p w14:paraId="5BC053DD" w14:textId="77777777" w:rsidR="001D6B7D" w:rsidRPr="00151B72" w:rsidRDefault="001D6B7D" w:rsidP="004553AD">
            <w:pPr>
              <w:rPr>
                <w:rFonts w:eastAsia="Calibri" w:cs="Calibri"/>
                <w:lang w:val="en-US"/>
              </w:rPr>
            </w:pPr>
            <w:r w:rsidRPr="00CD307B">
              <w:rPr>
                <w:rFonts w:eastAsia="Calibri" w:cs="Calibri"/>
                <w:lang w:val="en-US"/>
              </w:rPr>
              <w:t xml:space="preserve">other </w:t>
            </w:r>
          </w:p>
          <w:p w14:paraId="7C5E2604" w14:textId="77777777" w:rsidR="001D6B7D" w:rsidRPr="00151B72" w:rsidRDefault="001D6B7D" w:rsidP="004553AD">
            <w:pPr>
              <w:rPr>
                <w:rFonts w:eastAsia="Calibri" w:cs="Calibri"/>
                <w:lang w:val="en-US"/>
              </w:rPr>
            </w:pPr>
          </w:p>
          <w:p w14:paraId="42E55466" w14:textId="77777777" w:rsidR="001D6B7D" w:rsidRPr="00151B72" w:rsidRDefault="001D6B7D" w:rsidP="004553AD">
            <w:pPr>
              <w:rPr>
                <w:rFonts w:eastAsia="Calibri" w:cs="Calibri"/>
                <w:lang w:val="en-IE"/>
              </w:rPr>
            </w:pPr>
            <w:r w:rsidRPr="00CD307B">
              <w:rPr>
                <w:rFonts w:eastAsia="Calibri" w:cs="Calibri"/>
                <w:lang w:val="en-US"/>
              </w:rPr>
              <w:t>25% of UK respondents had never worked with a SLI</w:t>
            </w:r>
          </w:p>
        </w:tc>
        <w:tc>
          <w:tcPr>
            <w:tcW w:w="851" w:type="dxa"/>
          </w:tcPr>
          <w:p w14:paraId="72E3AAF0" w14:textId="77777777" w:rsidR="001D6B7D" w:rsidRPr="00151B72" w:rsidRDefault="001D6B7D" w:rsidP="004553AD">
            <w:pPr>
              <w:rPr>
                <w:rFonts w:eastAsia="Calibri" w:cs="Calibri"/>
              </w:rPr>
            </w:pPr>
            <w:r w:rsidRPr="00151B72">
              <w:rPr>
                <w:rFonts w:eastAsia="Calibri" w:cs="Calibri"/>
              </w:rPr>
              <w:t>72%</w:t>
            </w:r>
          </w:p>
          <w:p w14:paraId="2321A9E2" w14:textId="77777777" w:rsidR="001D6B7D" w:rsidRPr="00151B72" w:rsidRDefault="001D6B7D" w:rsidP="004553AD">
            <w:pPr>
              <w:rPr>
                <w:rFonts w:eastAsia="Calibri" w:cs="Calibri"/>
              </w:rPr>
            </w:pPr>
            <w:r w:rsidRPr="00151B72">
              <w:rPr>
                <w:rFonts w:eastAsia="Calibri" w:cs="Calibri"/>
              </w:rPr>
              <w:t>51%</w:t>
            </w:r>
          </w:p>
          <w:p w14:paraId="5D7EFDC5" w14:textId="77777777" w:rsidR="001D6B7D" w:rsidRPr="00151B72" w:rsidRDefault="001D6B7D" w:rsidP="004553AD">
            <w:pPr>
              <w:rPr>
                <w:rFonts w:eastAsia="Calibri" w:cs="Calibri"/>
              </w:rPr>
            </w:pPr>
            <w:r w:rsidRPr="00151B72">
              <w:rPr>
                <w:rFonts w:eastAsia="Calibri" w:cs="Calibri"/>
              </w:rPr>
              <w:t>43%</w:t>
            </w:r>
          </w:p>
          <w:p w14:paraId="6BDA5105" w14:textId="77777777" w:rsidR="001D6B7D" w:rsidRPr="00151B72" w:rsidRDefault="001D6B7D" w:rsidP="004553AD">
            <w:pPr>
              <w:rPr>
                <w:rFonts w:eastAsia="Calibri" w:cs="Calibri"/>
              </w:rPr>
            </w:pPr>
            <w:r w:rsidRPr="00151B72">
              <w:rPr>
                <w:rFonts w:eastAsia="Calibri" w:cs="Calibri"/>
              </w:rPr>
              <w:t>50%</w:t>
            </w:r>
          </w:p>
        </w:tc>
      </w:tr>
    </w:tbl>
    <w:p w14:paraId="42E5C008" w14:textId="77777777" w:rsidR="001D6B7D" w:rsidRPr="00151B72" w:rsidRDefault="001D6B7D" w:rsidP="00004490">
      <w:pPr>
        <w:rPr>
          <w:rFonts w:eastAsia="Calibri" w:cs="Calibri"/>
          <w:szCs w:val="20"/>
        </w:rPr>
      </w:pPr>
    </w:p>
    <w:p w14:paraId="0304CCD3" w14:textId="77777777" w:rsidR="001D6B7D" w:rsidRPr="00151B72" w:rsidRDefault="001D6B7D" w:rsidP="00004490">
      <w:pPr>
        <w:rPr>
          <w:rFonts w:eastAsia="Calibri" w:cs="Calibri"/>
          <w:szCs w:val="20"/>
        </w:rPr>
      </w:pPr>
      <w:r w:rsidRPr="00151B72">
        <w:rPr>
          <w:rFonts w:eastAsia="Calibri" w:cs="Calibri"/>
          <w:b/>
          <w:bCs/>
          <w:szCs w:val="20"/>
        </w:rPr>
        <w:t>Table 2:</w:t>
      </w:r>
      <w:r w:rsidRPr="00151B72">
        <w:rPr>
          <w:rFonts w:eastAsia="Calibri" w:cs="Calibri"/>
          <w:szCs w:val="20"/>
        </w:rPr>
        <w:t xml:space="preserve"> Range of languages presenting in DSGBV settings</w:t>
      </w:r>
    </w:p>
    <w:p w14:paraId="2B89BBBC" w14:textId="77777777" w:rsidR="001D6B7D" w:rsidRPr="00410C89" w:rsidRDefault="001D6B7D" w:rsidP="00410C89">
      <w:pPr>
        <w:rPr>
          <w:rFonts w:eastAsia="Calibri" w:cs="Calibri"/>
          <w:szCs w:val="20"/>
          <w:lang w:val="en-IE"/>
        </w:rPr>
      </w:pPr>
    </w:p>
    <w:p w14:paraId="6F139F4B" w14:textId="77777777" w:rsidR="001D6B7D" w:rsidRPr="00151B72" w:rsidRDefault="001D6B7D" w:rsidP="00F91D35">
      <w:pPr>
        <w:rPr>
          <w:rFonts w:eastAsia="Calibri" w:cs="Calibri"/>
          <w:szCs w:val="20"/>
          <w:lang w:val="en-IE"/>
        </w:rPr>
      </w:pPr>
    </w:p>
    <w:p w14:paraId="5ED3052B" w14:textId="77777777" w:rsidR="001D6B7D" w:rsidRPr="00151B72" w:rsidRDefault="001D6B7D" w:rsidP="008D36B3">
      <w:pPr>
        <w:rPr>
          <w:rFonts w:eastAsia="Calibri" w:cs="Calibri"/>
          <w:szCs w:val="20"/>
          <w:lang w:val="en-IE"/>
        </w:rPr>
      </w:pPr>
      <w:r w:rsidRPr="00151B72">
        <w:rPr>
          <w:rFonts w:eastAsia="Calibri" w:cs="Calibri"/>
          <w:szCs w:val="20"/>
          <w:lang w:val="en-IE"/>
        </w:rPr>
        <w:t xml:space="preserve">Twenty-nine percent of Irish respondents said they ‘almost always’ get someone who can communicate with the client (29%) - this option was used ‘occasionally’ by 51% of respondents. Fifty-eight percent of Irish respondents report that they occasionally ask the victim to bring someone who can help. Worryingly, 22% say that they always or almost always ask the victim to bring someone who can help. Irish respondents also note that they occasionally use gestures/pointing (51%) or seek help from a colleague who understands the language of the client (51%). Nineteen of the Irish service providers report that they have never used an interpreter in a DSGBV related case. This suggests that there is significant work to be done around raising awareness of international and national legislation around the provision of interpreters, and the obligations that follow from this. </w:t>
      </w:r>
    </w:p>
    <w:p w14:paraId="607A254D" w14:textId="77777777" w:rsidR="001D6B7D" w:rsidRPr="00151B72" w:rsidRDefault="001D6B7D" w:rsidP="008D36B3">
      <w:pPr>
        <w:rPr>
          <w:rFonts w:eastAsia="Calibri" w:cs="Calibri"/>
          <w:szCs w:val="20"/>
          <w:lang w:val="en-IE"/>
        </w:rPr>
      </w:pPr>
    </w:p>
    <w:p w14:paraId="48F5DD47" w14:textId="65C13354" w:rsidR="001D6B7D" w:rsidRPr="00151B72" w:rsidRDefault="001D6B7D" w:rsidP="00242165">
      <w:pPr>
        <w:rPr>
          <w:rFonts w:eastAsia="Calibri" w:cs="Calibri"/>
          <w:szCs w:val="20"/>
          <w:lang w:val="en-IE"/>
        </w:rPr>
      </w:pPr>
      <w:r w:rsidRPr="00151B72">
        <w:rPr>
          <w:rFonts w:eastAsia="Calibri" w:cs="Calibri"/>
          <w:szCs w:val="20"/>
          <w:lang w:val="en-IE"/>
        </w:rPr>
        <w:t xml:space="preserve">56% of UK respondents said they occasionally used gestures/pointing; 44% said that they occasionally used drawing/writing; 50% sought help from colleagues who understood the language being used; and 71% used a multilingual translation software. </w:t>
      </w:r>
    </w:p>
    <w:p w14:paraId="1B36D2A0" w14:textId="77777777" w:rsidR="001D6B7D" w:rsidRPr="00151B72" w:rsidRDefault="001D6B7D" w:rsidP="00242165">
      <w:pPr>
        <w:rPr>
          <w:rFonts w:eastAsia="Calibri" w:cs="Calibri"/>
          <w:szCs w:val="20"/>
          <w:lang w:val="en-IE"/>
        </w:rPr>
      </w:pPr>
    </w:p>
    <w:p w14:paraId="213AF1D5" w14:textId="77777777" w:rsidR="001D6B7D" w:rsidRPr="00151B72" w:rsidRDefault="001D6B7D" w:rsidP="008D36B3">
      <w:pPr>
        <w:rPr>
          <w:rFonts w:eastAsia="Calibri" w:cs="Calibri"/>
          <w:szCs w:val="20"/>
          <w:lang w:val="en-IE"/>
        </w:rPr>
      </w:pPr>
      <w:r w:rsidRPr="00151B72">
        <w:rPr>
          <w:rFonts w:eastAsia="Calibri" w:cs="Calibri"/>
          <w:szCs w:val="20"/>
          <w:lang w:val="en-IE"/>
        </w:rPr>
        <w:t>The Spanish response indicated no clearly preferred option, but we found respondents say that they communicate through gestures/pointing (almost always 32%), through drawing/writing (occasionally 33%), getting help from a colleague who understands the language of the client (almost always 35%), getting someone who can communicate with the client (almost always 36%), asking the client to bring someone who can help (almost always 28%), using a multilingual software for spoken languages (never 28%, but also almost always in 24% of cases).</w:t>
      </w:r>
    </w:p>
    <w:p w14:paraId="6D5C4A93" w14:textId="77777777" w:rsidR="001D6B7D" w:rsidRPr="00151B72" w:rsidRDefault="001D6B7D" w:rsidP="008D36B3">
      <w:pPr>
        <w:rPr>
          <w:rFonts w:eastAsia="Calibri" w:cs="Calibri"/>
          <w:szCs w:val="20"/>
          <w:highlight w:val="yellow"/>
          <w:lang w:val="en-IE"/>
        </w:rPr>
      </w:pPr>
    </w:p>
    <w:p w14:paraId="08A5CD36" w14:textId="77777777" w:rsidR="001D6B7D" w:rsidRPr="00151B72" w:rsidRDefault="001D6B7D" w:rsidP="008D36B3">
      <w:pPr>
        <w:rPr>
          <w:rFonts w:eastAsia="Calibri" w:cs="Calibri"/>
          <w:szCs w:val="20"/>
        </w:rPr>
      </w:pPr>
      <w:r w:rsidRPr="00151B72">
        <w:rPr>
          <w:rFonts w:eastAsia="Calibri" w:cs="Calibri"/>
          <w:szCs w:val="20"/>
        </w:rPr>
        <w:t xml:space="preserve">A majority of service providers reported being very satisfied or satisfied with the interpreters they had worked with to date (UK 86%; Ireland 75%; Spain 68%). However, when it comes to how one requests an interpreter, there was a gap between knowledge of the process to follow and the consistent implementation of same (Table 3). </w:t>
      </w:r>
    </w:p>
    <w:p w14:paraId="5BBE41FE" w14:textId="77777777" w:rsidR="001D6B7D" w:rsidRPr="00151B72" w:rsidRDefault="001D6B7D" w:rsidP="008D36B3">
      <w:pPr>
        <w:rPr>
          <w:rFonts w:eastAsia="Calibri" w:cs="Calibri"/>
          <w:szCs w:val="20"/>
          <w:lang w:val="en-IE"/>
        </w:rPr>
      </w:pPr>
    </w:p>
    <w:p w14:paraId="2CF6A203" w14:textId="77777777" w:rsidR="001D6B7D" w:rsidRPr="00151B72" w:rsidRDefault="001D6B7D" w:rsidP="008D36B3">
      <w:pPr>
        <w:rPr>
          <w:rFonts w:eastAsia="Calibri" w:cs="Calibri"/>
          <w:szCs w:val="20"/>
        </w:rPr>
      </w:pPr>
    </w:p>
    <w:tbl>
      <w:tblPr>
        <w:tblStyle w:val="TableGrid"/>
        <w:tblW w:w="0" w:type="auto"/>
        <w:jc w:val="center"/>
        <w:tblLook w:val="04A0" w:firstRow="1" w:lastRow="0" w:firstColumn="1" w:lastColumn="0" w:noHBand="0" w:noVBand="1"/>
      </w:tblPr>
      <w:tblGrid>
        <w:gridCol w:w="1313"/>
        <w:gridCol w:w="2073"/>
        <w:gridCol w:w="1825"/>
        <w:gridCol w:w="1560"/>
      </w:tblGrid>
      <w:tr w:rsidR="001D6B7D" w:rsidRPr="00151B72" w14:paraId="42EE2A44" w14:textId="77777777" w:rsidTr="00004490">
        <w:trPr>
          <w:jc w:val="center"/>
        </w:trPr>
        <w:tc>
          <w:tcPr>
            <w:tcW w:w="1313" w:type="dxa"/>
          </w:tcPr>
          <w:p w14:paraId="0CB226C8" w14:textId="77777777" w:rsidR="001D6B7D" w:rsidRPr="00151B72" w:rsidRDefault="001D6B7D" w:rsidP="006752DE">
            <w:pPr>
              <w:rPr>
                <w:rFonts w:eastAsia="Calibri" w:cs="Calibri"/>
                <w:b/>
                <w:bCs/>
              </w:rPr>
            </w:pPr>
            <w:r w:rsidRPr="00151B72">
              <w:rPr>
                <w:rFonts w:eastAsia="Calibri" w:cs="Calibri"/>
                <w:b/>
                <w:bCs/>
              </w:rPr>
              <w:lastRenderedPageBreak/>
              <w:t>Country</w:t>
            </w:r>
          </w:p>
        </w:tc>
        <w:tc>
          <w:tcPr>
            <w:tcW w:w="2073" w:type="dxa"/>
          </w:tcPr>
          <w:p w14:paraId="29868A65" w14:textId="280277C4" w:rsidR="001D6B7D" w:rsidRPr="00151B72" w:rsidRDefault="001D6B7D" w:rsidP="006752DE">
            <w:pPr>
              <w:rPr>
                <w:rFonts w:eastAsia="Calibri" w:cs="Calibri"/>
                <w:b/>
                <w:bCs/>
              </w:rPr>
            </w:pPr>
            <w:r w:rsidRPr="00151B72">
              <w:rPr>
                <w:rFonts w:eastAsia="Calibri" w:cs="Calibri"/>
                <w:b/>
                <w:bCs/>
              </w:rPr>
              <w:t xml:space="preserve">We have a process for requesting </w:t>
            </w:r>
            <w:r w:rsidR="002D552D" w:rsidRPr="00151B72">
              <w:rPr>
                <w:rFonts w:eastAsia="Calibri" w:cs="Calibri"/>
                <w:b/>
                <w:bCs/>
              </w:rPr>
              <w:t>interpreters</w:t>
            </w:r>
          </w:p>
        </w:tc>
        <w:tc>
          <w:tcPr>
            <w:tcW w:w="1825" w:type="dxa"/>
          </w:tcPr>
          <w:p w14:paraId="2977FFF6" w14:textId="77777777" w:rsidR="001D6B7D" w:rsidRPr="00151B72" w:rsidRDefault="001D6B7D" w:rsidP="006752DE">
            <w:pPr>
              <w:rPr>
                <w:rFonts w:eastAsia="Calibri" w:cs="Calibri"/>
                <w:b/>
                <w:bCs/>
              </w:rPr>
            </w:pPr>
            <w:r w:rsidRPr="00151B72">
              <w:rPr>
                <w:rFonts w:eastAsia="Calibri" w:cs="Calibri"/>
                <w:b/>
                <w:bCs/>
              </w:rPr>
              <w:t>How consistently this is applied</w:t>
            </w:r>
          </w:p>
        </w:tc>
        <w:tc>
          <w:tcPr>
            <w:tcW w:w="1560" w:type="dxa"/>
          </w:tcPr>
          <w:p w14:paraId="7BA34DD7" w14:textId="77777777" w:rsidR="001D6B7D" w:rsidRPr="00151B72" w:rsidRDefault="001D6B7D" w:rsidP="006752DE">
            <w:pPr>
              <w:rPr>
                <w:rFonts w:eastAsia="Calibri" w:cs="Calibri"/>
                <w:b/>
                <w:bCs/>
              </w:rPr>
            </w:pPr>
            <w:r w:rsidRPr="00151B72">
              <w:rPr>
                <w:rFonts w:eastAsia="Calibri" w:cs="Calibri"/>
                <w:b/>
                <w:bCs/>
              </w:rPr>
              <w:t>Agreeing Role of Interpreter</w:t>
            </w:r>
          </w:p>
        </w:tc>
      </w:tr>
      <w:tr w:rsidR="001D6B7D" w:rsidRPr="00151B72" w14:paraId="43DBE54E" w14:textId="77777777" w:rsidTr="00004490">
        <w:trPr>
          <w:trHeight w:val="498"/>
          <w:jc w:val="center"/>
        </w:trPr>
        <w:tc>
          <w:tcPr>
            <w:tcW w:w="1313" w:type="dxa"/>
          </w:tcPr>
          <w:p w14:paraId="45D8419A" w14:textId="77777777" w:rsidR="001D6B7D" w:rsidRPr="00151B72" w:rsidRDefault="001D6B7D" w:rsidP="006752DE">
            <w:pPr>
              <w:rPr>
                <w:rFonts w:eastAsia="Calibri" w:cs="Calibri"/>
              </w:rPr>
            </w:pPr>
            <w:r w:rsidRPr="00151B72">
              <w:rPr>
                <w:rFonts w:eastAsia="Calibri" w:cs="Calibri"/>
              </w:rPr>
              <w:t>Ireland</w:t>
            </w:r>
          </w:p>
        </w:tc>
        <w:tc>
          <w:tcPr>
            <w:tcW w:w="2073" w:type="dxa"/>
          </w:tcPr>
          <w:p w14:paraId="1459950D" w14:textId="77777777" w:rsidR="001D6B7D" w:rsidRPr="00151B72" w:rsidRDefault="001D6B7D" w:rsidP="006752DE">
            <w:pPr>
              <w:rPr>
                <w:rFonts w:eastAsia="Calibri" w:cs="Calibri"/>
              </w:rPr>
            </w:pPr>
            <w:r w:rsidRPr="00151B72">
              <w:rPr>
                <w:rFonts w:eastAsia="Calibri" w:cs="Calibri"/>
              </w:rPr>
              <w:t>93%</w:t>
            </w:r>
          </w:p>
        </w:tc>
        <w:tc>
          <w:tcPr>
            <w:tcW w:w="1825" w:type="dxa"/>
          </w:tcPr>
          <w:p w14:paraId="4BB7E0F9" w14:textId="77777777" w:rsidR="001D6B7D" w:rsidRPr="00151B72" w:rsidRDefault="001D6B7D" w:rsidP="006752DE">
            <w:pPr>
              <w:rPr>
                <w:rFonts w:eastAsia="Calibri" w:cs="Calibri"/>
              </w:rPr>
            </w:pPr>
            <w:r w:rsidRPr="00151B72">
              <w:rPr>
                <w:rFonts w:eastAsia="Calibri" w:cs="Calibri"/>
              </w:rPr>
              <w:t>65%</w:t>
            </w:r>
          </w:p>
        </w:tc>
        <w:tc>
          <w:tcPr>
            <w:tcW w:w="1560" w:type="dxa"/>
          </w:tcPr>
          <w:p w14:paraId="683E94B5" w14:textId="77777777" w:rsidR="001D6B7D" w:rsidRPr="00151B72" w:rsidRDefault="001D6B7D" w:rsidP="006752DE">
            <w:pPr>
              <w:rPr>
                <w:rFonts w:eastAsia="Calibri" w:cs="Calibri"/>
              </w:rPr>
            </w:pPr>
            <w:r w:rsidRPr="00151B72">
              <w:rPr>
                <w:rFonts w:eastAsia="Calibri" w:cs="Calibri"/>
              </w:rPr>
              <w:t>40%</w:t>
            </w:r>
          </w:p>
        </w:tc>
      </w:tr>
      <w:tr w:rsidR="001D6B7D" w:rsidRPr="00151B72" w14:paraId="680C9F23" w14:textId="77777777" w:rsidTr="00004490">
        <w:trPr>
          <w:trHeight w:val="498"/>
          <w:jc w:val="center"/>
        </w:trPr>
        <w:tc>
          <w:tcPr>
            <w:tcW w:w="1313" w:type="dxa"/>
          </w:tcPr>
          <w:p w14:paraId="65F8BD59" w14:textId="77777777" w:rsidR="001D6B7D" w:rsidRPr="00151B72" w:rsidRDefault="001D6B7D" w:rsidP="006752DE">
            <w:pPr>
              <w:rPr>
                <w:rFonts w:eastAsia="Calibri" w:cs="Calibri"/>
              </w:rPr>
            </w:pPr>
            <w:r w:rsidRPr="00151B72">
              <w:rPr>
                <w:rFonts w:eastAsia="Calibri" w:cs="Calibri"/>
              </w:rPr>
              <w:t>Spain</w:t>
            </w:r>
          </w:p>
        </w:tc>
        <w:tc>
          <w:tcPr>
            <w:tcW w:w="2073" w:type="dxa"/>
          </w:tcPr>
          <w:p w14:paraId="1284DB46" w14:textId="77777777" w:rsidR="001D6B7D" w:rsidRPr="00151B72" w:rsidRDefault="001D6B7D" w:rsidP="006752DE">
            <w:pPr>
              <w:rPr>
                <w:rFonts w:eastAsia="Calibri" w:cs="Calibri"/>
              </w:rPr>
            </w:pPr>
            <w:r w:rsidRPr="00151B72">
              <w:rPr>
                <w:rFonts w:eastAsia="Calibri" w:cs="Calibri"/>
              </w:rPr>
              <w:t>72%</w:t>
            </w:r>
          </w:p>
        </w:tc>
        <w:tc>
          <w:tcPr>
            <w:tcW w:w="1825" w:type="dxa"/>
          </w:tcPr>
          <w:p w14:paraId="0DDCBB0A" w14:textId="77777777" w:rsidR="001D6B7D" w:rsidRPr="00151B72" w:rsidRDefault="001D6B7D" w:rsidP="006752DE">
            <w:pPr>
              <w:rPr>
                <w:rFonts w:eastAsia="Calibri" w:cs="Calibri"/>
              </w:rPr>
            </w:pPr>
            <w:r w:rsidRPr="00151B72">
              <w:rPr>
                <w:rFonts w:eastAsia="Calibri" w:cs="Calibri"/>
              </w:rPr>
              <w:t>20%</w:t>
            </w:r>
          </w:p>
        </w:tc>
        <w:tc>
          <w:tcPr>
            <w:tcW w:w="1560" w:type="dxa"/>
          </w:tcPr>
          <w:p w14:paraId="6800215B" w14:textId="77777777" w:rsidR="001D6B7D" w:rsidRPr="00151B72" w:rsidRDefault="001D6B7D" w:rsidP="006752DE">
            <w:pPr>
              <w:rPr>
                <w:rFonts w:eastAsia="Calibri" w:cs="Calibri"/>
              </w:rPr>
            </w:pPr>
            <w:r w:rsidRPr="00151B72">
              <w:rPr>
                <w:rFonts w:eastAsia="Calibri" w:cs="Calibri"/>
              </w:rPr>
              <w:t>19%</w:t>
            </w:r>
          </w:p>
        </w:tc>
      </w:tr>
      <w:tr w:rsidR="001D6B7D" w:rsidRPr="00151B72" w14:paraId="29499B70" w14:textId="77777777" w:rsidTr="00004490">
        <w:trPr>
          <w:trHeight w:val="498"/>
          <w:jc w:val="center"/>
        </w:trPr>
        <w:tc>
          <w:tcPr>
            <w:tcW w:w="1313" w:type="dxa"/>
          </w:tcPr>
          <w:p w14:paraId="4741DDF4" w14:textId="77777777" w:rsidR="001D6B7D" w:rsidRPr="00151B72" w:rsidRDefault="001D6B7D" w:rsidP="006752DE">
            <w:pPr>
              <w:rPr>
                <w:rFonts w:eastAsia="Calibri" w:cs="Calibri"/>
              </w:rPr>
            </w:pPr>
            <w:r w:rsidRPr="00151B72">
              <w:rPr>
                <w:rFonts w:eastAsia="Calibri" w:cs="Calibri"/>
              </w:rPr>
              <w:t>UK</w:t>
            </w:r>
          </w:p>
        </w:tc>
        <w:tc>
          <w:tcPr>
            <w:tcW w:w="2073" w:type="dxa"/>
          </w:tcPr>
          <w:p w14:paraId="44ECA41F" w14:textId="77777777" w:rsidR="001D6B7D" w:rsidRPr="00151B72" w:rsidRDefault="001D6B7D" w:rsidP="006752DE">
            <w:pPr>
              <w:rPr>
                <w:rFonts w:eastAsia="Calibri" w:cs="Calibri"/>
              </w:rPr>
            </w:pPr>
            <w:r w:rsidRPr="00151B72">
              <w:rPr>
                <w:rFonts w:eastAsia="Calibri" w:cs="Calibri"/>
              </w:rPr>
              <w:t>83%</w:t>
            </w:r>
          </w:p>
        </w:tc>
        <w:tc>
          <w:tcPr>
            <w:tcW w:w="1825" w:type="dxa"/>
          </w:tcPr>
          <w:p w14:paraId="456101DE" w14:textId="77777777" w:rsidR="001D6B7D" w:rsidRPr="00151B72" w:rsidRDefault="001D6B7D" w:rsidP="006752DE">
            <w:pPr>
              <w:rPr>
                <w:rFonts w:eastAsia="Calibri" w:cs="Calibri"/>
              </w:rPr>
            </w:pPr>
            <w:r w:rsidRPr="00151B72">
              <w:rPr>
                <w:rFonts w:eastAsia="Calibri" w:cs="Calibri"/>
              </w:rPr>
              <w:t>20%</w:t>
            </w:r>
          </w:p>
        </w:tc>
        <w:tc>
          <w:tcPr>
            <w:tcW w:w="1560" w:type="dxa"/>
          </w:tcPr>
          <w:p w14:paraId="35917BDD" w14:textId="77777777" w:rsidR="001D6B7D" w:rsidRPr="00151B72" w:rsidRDefault="001D6B7D" w:rsidP="006752DE">
            <w:pPr>
              <w:rPr>
                <w:rFonts w:eastAsia="Calibri" w:cs="Calibri"/>
              </w:rPr>
            </w:pPr>
            <w:r w:rsidRPr="00151B72">
              <w:rPr>
                <w:rFonts w:eastAsia="Calibri" w:cs="Calibri"/>
              </w:rPr>
              <w:t>50%</w:t>
            </w:r>
          </w:p>
        </w:tc>
      </w:tr>
    </w:tbl>
    <w:p w14:paraId="07DCDC7A" w14:textId="77777777" w:rsidR="001D6B7D" w:rsidRPr="00151B72" w:rsidRDefault="001D6B7D" w:rsidP="00F5794B">
      <w:pPr>
        <w:rPr>
          <w:rFonts w:eastAsia="Calibri" w:cs="Calibri"/>
          <w:szCs w:val="20"/>
        </w:rPr>
      </w:pPr>
    </w:p>
    <w:p w14:paraId="3F02DE0E" w14:textId="77777777" w:rsidR="001D6B7D" w:rsidRPr="00151B72" w:rsidRDefault="001D6B7D" w:rsidP="00F5794B">
      <w:pPr>
        <w:rPr>
          <w:rFonts w:eastAsia="Calibri" w:cs="Calibri"/>
          <w:szCs w:val="20"/>
        </w:rPr>
      </w:pPr>
      <w:r w:rsidRPr="00151B72">
        <w:rPr>
          <w:rFonts w:eastAsia="Calibri" w:cs="Calibri"/>
          <w:b/>
          <w:bCs/>
          <w:szCs w:val="20"/>
        </w:rPr>
        <w:t>Table 3:</w:t>
      </w:r>
      <w:r w:rsidRPr="00151B72">
        <w:rPr>
          <w:rFonts w:eastAsia="Calibri" w:cs="Calibri"/>
          <w:szCs w:val="20"/>
        </w:rPr>
        <w:t xml:space="preserve"> Requesting and agreeing role of interpreters </w:t>
      </w:r>
    </w:p>
    <w:p w14:paraId="6C0D9F97" w14:textId="77777777" w:rsidR="001D6B7D" w:rsidRPr="00151B72" w:rsidRDefault="001D6B7D" w:rsidP="00F5794B">
      <w:pPr>
        <w:rPr>
          <w:rFonts w:eastAsia="Calibri" w:cs="Calibri"/>
          <w:szCs w:val="20"/>
        </w:rPr>
      </w:pPr>
    </w:p>
    <w:p w14:paraId="61B06242" w14:textId="77777777" w:rsidR="001D6B7D" w:rsidRPr="00151B72" w:rsidRDefault="001D6B7D" w:rsidP="00F5794B">
      <w:pPr>
        <w:rPr>
          <w:rFonts w:eastAsia="Calibri" w:cs="Calibri"/>
          <w:szCs w:val="20"/>
          <w:lang w:val="en-IE"/>
        </w:rPr>
      </w:pPr>
    </w:p>
    <w:p w14:paraId="46B6684D" w14:textId="77777777" w:rsidR="001D6B7D" w:rsidRPr="00151B72" w:rsidRDefault="001D6B7D" w:rsidP="00F5794B">
      <w:pPr>
        <w:rPr>
          <w:rFonts w:eastAsia="Calibri" w:cs="Calibri"/>
          <w:szCs w:val="20"/>
          <w:lang w:val="en-IE"/>
        </w:rPr>
      </w:pPr>
      <w:r w:rsidRPr="00151B72">
        <w:rPr>
          <w:rFonts w:eastAsia="Calibri" w:cs="Calibri"/>
          <w:szCs w:val="20"/>
          <w:lang w:val="en-IE"/>
        </w:rPr>
        <w:t xml:space="preserve">We asked service providers what they felt interpreters needed to know in order to work in DSGBV settings. They highlighted language and communication skills, training in DSGBV and awareness of legal issues in this space, specific terminology, emotional management, intercultural communication, cultural context of the client, nature of abuse (including psychological aspects of DSGBV), ethical codes, understanding of trauma, awareness of the  General Data Protection Regulation and of DSGBV related services and support, along with understanding of the time associated with specific procedures such as taking a statement in a complex case. </w:t>
      </w:r>
    </w:p>
    <w:p w14:paraId="5ECC2225" w14:textId="77777777" w:rsidR="001D6B7D" w:rsidRPr="00151B72" w:rsidRDefault="001D6B7D" w:rsidP="00F5794B">
      <w:pPr>
        <w:rPr>
          <w:rFonts w:cs="Calibri"/>
          <w:szCs w:val="20"/>
        </w:rPr>
      </w:pPr>
    </w:p>
    <w:p w14:paraId="5846CCEB" w14:textId="77777777" w:rsidR="001D6B7D" w:rsidRPr="00151B72" w:rsidRDefault="001D6B7D" w:rsidP="00F5794B">
      <w:pPr>
        <w:rPr>
          <w:rFonts w:cs="Calibri"/>
          <w:szCs w:val="20"/>
        </w:rPr>
      </w:pPr>
    </w:p>
    <w:p w14:paraId="2F30274B" w14:textId="77777777" w:rsidR="001D6B7D" w:rsidRPr="00151B72" w:rsidRDefault="001D6B7D" w:rsidP="00F5794B">
      <w:pPr>
        <w:rPr>
          <w:rFonts w:cs="Calibri"/>
          <w:b/>
          <w:bCs/>
          <w:szCs w:val="20"/>
        </w:rPr>
      </w:pPr>
      <w:r w:rsidRPr="00151B72">
        <w:rPr>
          <w:rFonts w:cs="Calibri"/>
          <w:b/>
          <w:bCs/>
          <w:szCs w:val="20"/>
        </w:rPr>
        <w:t>3.2 Interpreter responses</w:t>
      </w:r>
    </w:p>
    <w:p w14:paraId="65602C81" w14:textId="77777777" w:rsidR="001D6B7D" w:rsidRPr="00151B72" w:rsidRDefault="001D6B7D" w:rsidP="00F5794B">
      <w:pPr>
        <w:rPr>
          <w:rFonts w:cs="Calibri"/>
          <w:szCs w:val="20"/>
        </w:rPr>
      </w:pPr>
    </w:p>
    <w:p w14:paraId="35983CE9" w14:textId="142F5BA8" w:rsidR="001D6B7D" w:rsidRPr="00151B72" w:rsidRDefault="001D6B7D" w:rsidP="00F5794B">
      <w:pPr>
        <w:rPr>
          <w:rFonts w:cs="Calibri"/>
          <w:szCs w:val="20"/>
        </w:rPr>
      </w:pPr>
      <w:r w:rsidRPr="00151B72">
        <w:rPr>
          <w:rFonts w:cs="Calibri"/>
          <w:szCs w:val="20"/>
        </w:rPr>
        <w:t xml:space="preserve">As per Table 1, the number of </w:t>
      </w:r>
      <w:r w:rsidR="00F5794B" w:rsidRPr="00151B72">
        <w:rPr>
          <w:rFonts w:cs="Calibri"/>
          <w:szCs w:val="20"/>
        </w:rPr>
        <w:t>interpreter</w:t>
      </w:r>
      <w:r w:rsidRPr="00151B72">
        <w:rPr>
          <w:rFonts w:cs="Calibri"/>
          <w:szCs w:val="20"/>
        </w:rPr>
        <w:t xml:space="preserve"> respondents was quite low: 11 in Ireland, 45 in the UK, and 57 in Spain. It is difficult to confirm what the potential sample population may have been as interpreting is not a regulated profession, and we note that while registers of </w:t>
      </w:r>
      <w:r w:rsidR="00F5794B">
        <w:rPr>
          <w:rFonts w:cs="Calibri"/>
          <w:szCs w:val="20"/>
        </w:rPr>
        <w:t>SLI</w:t>
      </w:r>
      <w:r w:rsidRPr="00151B72">
        <w:rPr>
          <w:rFonts w:cs="Calibri"/>
          <w:szCs w:val="20"/>
        </w:rPr>
        <w:t xml:space="preserve"> exist – a voluntary register in the UK (NRCPD) and a statutory one in Ireland (RISLI), this is not the case in Spain. While the UK has a Register of (spoken) Public Sector Interpreters, Ireland does not. The Spanish Ministry of Foreign Affairs, European Union and Cooperation lists all accredited spoken language translators and interpreters in Spain.</w:t>
      </w:r>
    </w:p>
    <w:p w14:paraId="2C658DA3" w14:textId="77777777" w:rsidR="001D6B7D" w:rsidRPr="00151B72" w:rsidRDefault="001D6B7D" w:rsidP="00F5794B">
      <w:pPr>
        <w:rPr>
          <w:rFonts w:cs="Calibri"/>
          <w:szCs w:val="20"/>
        </w:rPr>
      </w:pPr>
    </w:p>
    <w:p w14:paraId="4EF77BA2" w14:textId="13F07DB5" w:rsidR="001D6B7D" w:rsidRPr="00151B72" w:rsidRDefault="001D6B7D" w:rsidP="00F5794B">
      <w:pPr>
        <w:rPr>
          <w:rFonts w:cs="Calibri"/>
          <w:szCs w:val="20"/>
          <w:lang w:val="en-US"/>
        </w:rPr>
      </w:pPr>
      <w:r w:rsidRPr="00151B72">
        <w:rPr>
          <w:rFonts w:cs="Calibri"/>
          <w:szCs w:val="20"/>
          <w:lang w:val="en-US"/>
        </w:rPr>
        <w:t xml:space="preserve">The interpreting profession is predominantly female </w:t>
      </w:r>
      <w:r w:rsidRPr="00151B72">
        <w:rPr>
          <w:rFonts w:cs="Calibri"/>
          <w:noProof/>
          <w:szCs w:val="20"/>
          <w:lang w:val="en-US"/>
        </w:rPr>
        <w:t>(Bontempo, Napier, Hayes, &amp; Brashear, 2014; Sheridan, Lynch, &amp; Leeson, 2024)</w:t>
      </w:r>
      <w:r w:rsidRPr="00151B72">
        <w:rPr>
          <w:rFonts w:cs="Calibri"/>
          <w:szCs w:val="20"/>
          <w:lang w:val="en-US"/>
        </w:rPr>
        <w:t xml:space="preserve"> and this is reflected in the high percentage of female interpreter respondents here. Levels of experience, formal training, and continued professional training </w:t>
      </w:r>
      <w:r w:rsidR="000A169A" w:rsidRPr="00151B72">
        <w:rPr>
          <w:rFonts w:cs="Calibri"/>
          <w:szCs w:val="20"/>
          <w:lang w:val="en-US"/>
        </w:rPr>
        <w:t>around</w:t>
      </w:r>
      <w:r w:rsidRPr="00151B72">
        <w:rPr>
          <w:rFonts w:cs="Calibri"/>
          <w:szCs w:val="20"/>
          <w:lang w:val="en-US"/>
        </w:rPr>
        <w:t xml:space="preserve"> DSGBV varied considerably.</w:t>
      </w:r>
    </w:p>
    <w:p w14:paraId="074ED264" w14:textId="77777777" w:rsidR="001D6B7D" w:rsidRPr="00151B72" w:rsidRDefault="001D6B7D" w:rsidP="00F5794B">
      <w:pPr>
        <w:rPr>
          <w:rFonts w:cs="Calibri"/>
          <w:szCs w:val="20"/>
          <w:lang w:val="en-US"/>
        </w:rPr>
      </w:pPr>
    </w:p>
    <w:p w14:paraId="75EA0650" w14:textId="5953265A" w:rsidR="001D6B7D" w:rsidRPr="00151B72" w:rsidRDefault="001D6B7D" w:rsidP="00F5794B">
      <w:pPr>
        <w:rPr>
          <w:rFonts w:cs="Calibri"/>
          <w:szCs w:val="20"/>
          <w:lang w:val="en-US"/>
        </w:rPr>
      </w:pPr>
      <w:r w:rsidRPr="00151B72">
        <w:rPr>
          <w:rFonts w:cs="Calibri"/>
          <w:szCs w:val="20"/>
          <w:lang w:val="en-US"/>
        </w:rPr>
        <w:t>In Ireland, 78% of interpreter respondents were female.</w:t>
      </w:r>
      <w:r w:rsidRPr="00151B72">
        <w:rPr>
          <w:rFonts w:cs="Calibri"/>
          <w:b/>
          <w:bCs/>
          <w:szCs w:val="20"/>
          <w:lang w:val="en-US"/>
        </w:rPr>
        <w:t xml:space="preserve"> </w:t>
      </w:r>
      <w:r w:rsidRPr="00151B72">
        <w:rPr>
          <w:rFonts w:cs="Calibri"/>
          <w:szCs w:val="20"/>
          <w:lang w:val="en-US"/>
        </w:rPr>
        <w:t xml:space="preserve">5 self-identified as sign language interpreters. </w:t>
      </w:r>
      <w:r w:rsidRPr="00151B72">
        <w:rPr>
          <w:rFonts w:cs="Calibri"/>
          <w:szCs w:val="20"/>
          <w:lang w:val="en-IE"/>
        </w:rPr>
        <w:t xml:space="preserve">67% were aged 46-55 years and they report 6-28 </w:t>
      </w:r>
      <w:r w:rsidR="000A169A" w:rsidRPr="00151B72">
        <w:rPr>
          <w:rFonts w:cs="Calibri"/>
          <w:szCs w:val="20"/>
          <w:lang w:val="en-IE"/>
        </w:rPr>
        <w:t>years’ experience</w:t>
      </w:r>
      <w:r w:rsidRPr="00151B72">
        <w:rPr>
          <w:rFonts w:cs="Calibri"/>
          <w:szCs w:val="20"/>
          <w:lang w:val="en-IE"/>
        </w:rPr>
        <w:t>. All had completed higher education: 50% had a bachelor level qualification and 50% a postgraduate qualification. All had received specific training in interpreting.  Eight report English as their first language. 39% said they had completed some specific training in DSGBV, ranging between 6-200 hours.</w:t>
      </w:r>
      <w:r w:rsidRPr="00151B72">
        <w:rPr>
          <w:rFonts w:cs="Calibri"/>
          <w:szCs w:val="20"/>
          <w:lang w:val="en-US"/>
        </w:rPr>
        <w:t xml:space="preserve"> </w:t>
      </w:r>
    </w:p>
    <w:p w14:paraId="2E012FE9" w14:textId="77777777" w:rsidR="001D6B7D" w:rsidRPr="00151B72" w:rsidRDefault="001D6B7D" w:rsidP="00F5794B">
      <w:pPr>
        <w:rPr>
          <w:rFonts w:cs="Calibri"/>
          <w:szCs w:val="20"/>
          <w:lang w:val="en-US"/>
        </w:rPr>
      </w:pPr>
    </w:p>
    <w:p w14:paraId="7E97D96E" w14:textId="3D237E0D" w:rsidR="001D6B7D" w:rsidRPr="00151B72" w:rsidRDefault="001D6B7D" w:rsidP="00F5794B">
      <w:pPr>
        <w:rPr>
          <w:rFonts w:cs="Calibri"/>
          <w:szCs w:val="20"/>
          <w:lang w:val="en-US"/>
        </w:rPr>
      </w:pPr>
      <w:r w:rsidRPr="00151B72">
        <w:rPr>
          <w:rFonts w:cs="Calibri"/>
          <w:szCs w:val="20"/>
        </w:rPr>
        <w:t xml:space="preserve">For British interpreter respondents, 84% were female.  57% were aged 36-55 years. 76% had completed higher education to bachelor or postgraduate level. The majority reported English as their first language (27), with others </w:t>
      </w:r>
      <w:r w:rsidR="000A169A" w:rsidRPr="00151B72">
        <w:rPr>
          <w:rFonts w:cs="Calibri"/>
          <w:szCs w:val="20"/>
        </w:rPr>
        <w:t>including BSL</w:t>
      </w:r>
      <w:r w:rsidRPr="00151B72">
        <w:rPr>
          <w:rFonts w:cs="Calibri"/>
          <w:szCs w:val="20"/>
        </w:rPr>
        <w:t xml:space="preserve">, </w:t>
      </w:r>
      <w:r w:rsidR="000A169A" w:rsidRPr="00151B72">
        <w:rPr>
          <w:rFonts w:cs="Calibri"/>
          <w:szCs w:val="20"/>
        </w:rPr>
        <w:t>Ukrainian</w:t>
      </w:r>
      <w:r w:rsidRPr="00151B72">
        <w:rPr>
          <w:rFonts w:cs="Calibri"/>
          <w:szCs w:val="20"/>
        </w:rPr>
        <w:t xml:space="preserve">, Arabic, Polish and Turkish. The majority were BSL/English interpreters.  </w:t>
      </w:r>
      <w:r w:rsidRPr="00151B72">
        <w:rPr>
          <w:rFonts w:cs="Calibri"/>
          <w:szCs w:val="20"/>
          <w:lang w:val="en-IE"/>
        </w:rPr>
        <w:t>33% said they had completed some specific training in DSGBV, ranging between 6-200 hours, with the majority estimating between 6-30 hours.</w:t>
      </w:r>
      <w:r w:rsidRPr="00151B72">
        <w:rPr>
          <w:rFonts w:cs="Calibri"/>
          <w:szCs w:val="20"/>
          <w:lang w:val="en-US"/>
        </w:rPr>
        <w:t xml:space="preserve"> </w:t>
      </w:r>
    </w:p>
    <w:p w14:paraId="227D3E5C" w14:textId="77777777" w:rsidR="001D6B7D" w:rsidRPr="00151B72" w:rsidRDefault="001D6B7D" w:rsidP="00F5794B">
      <w:pPr>
        <w:rPr>
          <w:rFonts w:cs="Calibri"/>
          <w:szCs w:val="20"/>
          <w:lang w:val="en-US"/>
        </w:rPr>
      </w:pPr>
    </w:p>
    <w:p w14:paraId="39CE0A64" w14:textId="77777777" w:rsidR="001D6B7D" w:rsidRPr="00151B72" w:rsidRDefault="001D6B7D" w:rsidP="00F5794B">
      <w:pPr>
        <w:rPr>
          <w:rFonts w:cs="Calibri"/>
          <w:szCs w:val="20"/>
          <w:lang w:val="en-US"/>
        </w:rPr>
      </w:pPr>
      <w:r w:rsidRPr="00151B72">
        <w:rPr>
          <w:rFonts w:cs="Calibri"/>
          <w:szCs w:val="20"/>
        </w:rPr>
        <w:t xml:space="preserve">Spanish interpreter respondents were also predominantly female (82%) with 39% reporting they were aged 36-45 years. 53% hold postgraduate qualifications. 79% say they have specific training in interpreting. L1 – Spanish (36), - other L1s: Galician, Catalan, Basque, Arabic, Russian, Romanian, French, German. No LSE as L1 in respondent group. Specific training in DSGBV: 32%. </w:t>
      </w:r>
      <w:r w:rsidRPr="00151B72">
        <w:rPr>
          <w:rFonts w:cs="Calibri"/>
          <w:szCs w:val="20"/>
          <w:lang w:val="en-IE"/>
        </w:rPr>
        <w:t xml:space="preserve">While the average reported training in DSGBV is more than 200 training hours, the distribution is uneven, with 6 cases reporting 15-30 hours, 12 reporting 40-100, 9 between 110-300  hours and three recording over 1000 hours of specialist training. </w:t>
      </w:r>
    </w:p>
    <w:p w14:paraId="3071764C" w14:textId="77777777" w:rsidR="001D6B7D" w:rsidRPr="00151B72" w:rsidRDefault="001D6B7D" w:rsidP="00F5794B">
      <w:pPr>
        <w:rPr>
          <w:rFonts w:cs="Calibri"/>
          <w:szCs w:val="20"/>
        </w:rPr>
      </w:pPr>
    </w:p>
    <w:p w14:paraId="0BD3FE88" w14:textId="58F4B55D" w:rsidR="001D6B7D" w:rsidRPr="00151B72" w:rsidRDefault="000A169A" w:rsidP="00F5794B">
      <w:pPr>
        <w:rPr>
          <w:rFonts w:cs="Calibri"/>
          <w:szCs w:val="20"/>
        </w:rPr>
      </w:pPr>
      <w:r w:rsidRPr="00151B72">
        <w:rPr>
          <w:rFonts w:cs="Calibri"/>
          <w:szCs w:val="20"/>
        </w:rPr>
        <w:t>Overall</w:t>
      </w:r>
      <w:r w:rsidR="001D6B7D" w:rsidRPr="00151B72">
        <w:rPr>
          <w:rFonts w:cs="Calibri"/>
          <w:szCs w:val="20"/>
        </w:rPr>
        <w:t xml:space="preserve">, the range of training needs identified by Interpreters mapped closely to that of service providers. They highlighted training needs around DSGBV generally and the legislation governing same. They report wanting more information on cultural, linguistic, and social elements of the work, as well as information about domestic </w:t>
      </w:r>
      <w:r w:rsidR="001D6B7D" w:rsidRPr="00151B72">
        <w:rPr>
          <w:rFonts w:cs="Calibri"/>
          <w:szCs w:val="20"/>
        </w:rPr>
        <w:lastRenderedPageBreak/>
        <w:t xml:space="preserve">abuse (e.g. domestic abuse does not always entail physical violence; victim/survivor behaviours and experiences; information about new concepts in public discourse such as coercive control). Interpreters say they want to understand procedures for engaging with victims/survivors of DSGBV (e.g. what to expect at a police station from the perspective of an interpreter; process of taking a victim statement; working with a deaf interpreter/hearing interpreter team; protocols for clarifying or interrupting in police or counselling settings). </w:t>
      </w:r>
    </w:p>
    <w:p w14:paraId="5ED84E5E" w14:textId="77777777" w:rsidR="001D6B7D" w:rsidRPr="00151B72" w:rsidRDefault="001D6B7D" w:rsidP="00F5794B">
      <w:pPr>
        <w:rPr>
          <w:rFonts w:cs="Calibri"/>
          <w:szCs w:val="20"/>
        </w:rPr>
      </w:pPr>
    </w:p>
    <w:p w14:paraId="10E54028" w14:textId="6C814038" w:rsidR="001D6B7D" w:rsidRDefault="001D6B7D" w:rsidP="00F5794B">
      <w:pPr>
        <w:rPr>
          <w:rFonts w:cs="Calibri"/>
          <w:szCs w:val="20"/>
          <w:lang w:val="en-US"/>
        </w:rPr>
      </w:pPr>
      <w:r w:rsidRPr="00151B72">
        <w:rPr>
          <w:rFonts w:cs="Calibri"/>
          <w:szCs w:val="20"/>
          <w:lang w:val="en-IE"/>
        </w:rPr>
        <w:t>Another area for attention is that of m</w:t>
      </w:r>
      <w:r w:rsidRPr="00151B72">
        <w:rPr>
          <w:rFonts w:cs="Calibri"/>
          <w:szCs w:val="20"/>
        </w:rPr>
        <w:t xml:space="preserve">anaging emotion in DSGBV contexts, which, for all parties in an interpreted interaction is important for many reasons. Additionally, we note that interpreters may be from, or heavily engaged with the community that the victim/survivor comes from </w:t>
      </w:r>
      <w:r w:rsidRPr="00151B72">
        <w:rPr>
          <w:rFonts w:cs="Calibri"/>
          <w:noProof/>
          <w:szCs w:val="20"/>
        </w:rPr>
        <w:t>(Dublin Rape Crisis Centre, 2024)</w:t>
      </w:r>
      <w:r w:rsidRPr="00151B72">
        <w:rPr>
          <w:rFonts w:cs="Calibri"/>
          <w:szCs w:val="20"/>
        </w:rPr>
        <w:t xml:space="preserve">. </w:t>
      </w:r>
      <w:r w:rsidRPr="00151B72">
        <w:rPr>
          <w:rFonts w:cs="Calibri"/>
          <w:szCs w:val="20"/>
          <w:lang w:val="en-US"/>
        </w:rPr>
        <w:t xml:space="preserve">The emotive context, the potential for vicarious trauma, coupled with the potential legal weight of the work in this domain are factors that contribute to the small numbers of interpreters willing to do this work in the first instance. </w:t>
      </w:r>
    </w:p>
    <w:p w14:paraId="64EBA4F1" w14:textId="77777777" w:rsidR="00F5794B" w:rsidRPr="00F5794B" w:rsidRDefault="00F5794B" w:rsidP="00F5794B">
      <w:pPr>
        <w:rPr>
          <w:rFonts w:cs="Calibri"/>
          <w:szCs w:val="20"/>
          <w:lang w:val="en-US"/>
        </w:rPr>
      </w:pPr>
    </w:p>
    <w:p w14:paraId="45DAF095" w14:textId="77777777" w:rsidR="001D6B7D" w:rsidRPr="00151B72" w:rsidRDefault="001D6B7D" w:rsidP="00F5794B">
      <w:pPr>
        <w:pStyle w:val="Heading2"/>
        <w:numPr>
          <w:ilvl w:val="1"/>
          <w:numId w:val="19"/>
        </w:numPr>
        <w:jc w:val="both"/>
        <w:rPr>
          <w:rFonts w:cs="Calibri"/>
          <w:iCs w:val="0"/>
          <w:sz w:val="20"/>
          <w:szCs w:val="20"/>
        </w:rPr>
      </w:pPr>
      <w:r w:rsidRPr="00151B72">
        <w:rPr>
          <w:rFonts w:cs="Calibri"/>
          <w:iCs w:val="0"/>
          <w:sz w:val="20"/>
          <w:szCs w:val="20"/>
        </w:rPr>
        <w:t>Embedding findings in training</w:t>
      </w:r>
    </w:p>
    <w:p w14:paraId="3DAC2E86" w14:textId="77777777" w:rsidR="001D6B7D" w:rsidRPr="00151B72" w:rsidRDefault="001D6B7D" w:rsidP="00F5794B">
      <w:pPr>
        <w:rPr>
          <w:rFonts w:cs="Calibri"/>
          <w:szCs w:val="20"/>
          <w:lang w:val="en-IE"/>
        </w:rPr>
      </w:pPr>
      <w:r w:rsidRPr="00151B72">
        <w:rPr>
          <w:rFonts w:cs="Calibri"/>
          <w:szCs w:val="20"/>
          <w:lang w:val="en-IE"/>
        </w:rPr>
        <w:t>Support</w:t>
      </w:r>
      <w:r w:rsidRPr="00D145A9">
        <w:rPr>
          <w:rFonts w:cs="Calibri"/>
          <w:szCs w:val="20"/>
          <w:lang w:val="en-IE"/>
        </w:rPr>
        <w:t xml:space="preserve"> service providers and interpreters </w:t>
      </w:r>
      <w:r w:rsidRPr="00151B72">
        <w:rPr>
          <w:rFonts w:cs="Calibri"/>
          <w:szCs w:val="20"/>
          <w:lang w:val="en-IE"/>
        </w:rPr>
        <w:t>report</w:t>
      </w:r>
      <w:r w:rsidRPr="00D145A9">
        <w:rPr>
          <w:rFonts w:cs="Calibri"/>
          <w:szCs w:val="20"/>
          <w:lang w:val="en-IE"/>
        </w:rPr>
        <w:t xml:space="preserve"> </w:t>
      </w:r>
      <w:r w:rsidRPr="00151B72">
        <w:rPr>
          <w:rFonts w:cs="Calibri"/>
          <w:szCs w:val="20"/>
          <w:lang w:val="en-IE"/>
        </w:rPr>
        <w:t>that they do not</w:t>
      </w:r>
      <w:r w:rsidRPr="00D145A9">
        <w:rPr>
          <w:rFonts w:cs="Calibri"/>
          <w:szCs w:val="20"/>
          <w:lang w:val="en-IE"/>
        </w:rPr>
        <w:t xml:space="preserve"> hav</w:t>
      </w:r>
      <w:r w:rsidRPr="00151B72">
        <w:rPr>
          <w:rFonts w:cs="Calibri"/>
          <w:szCs w:val="20"/>
          <w:lang w:val="en-IE"/>
        </w:rPr>
        <w:t>e</w:t>
      </w:r>
      <w:r w:rsidRPr="00D145A9">
        <w:rPr>
          <w:rFonts w:cs="Calibri"/>
          <w:szCs w:val="20"/>
          <w:lang w:val="en-IE"/>
        </w:rPr>
        <w:t xml:space="preserve"> much experience </w:t>
      </w:r>
      <w:r w:rsidRPr="00151B72">
        <w:rPr>
          <w:rFonts w:cs="Calibri"/>
          <w:szCs w:val="20"/>
          <w:lang w:val="en-IE"/>
        </w:rPr>
        <w:t>of</w:t>
      </w:r>
      <w:r w:rsidRPr="00D145A9">
        <w:rPr>
          <w:rFonts w:cs="Calibri"/>
          <w:szCs w:val="20"/>
          <w:lang w:val="en-IE"/>
        </w:rPr>
        <w:t xml:space="preserve"> working together in </w:t>
      </w:r>
      <w:r w:rsidRPr="00151B72">
        <w:rPr>
          <w:rFonts w:cs="Calibri"/>
          <w:szCs w:val="20"/>
          <w:lang w:val="en-IE"/>
        </w:rPr>
        <w:t>DS</w:t>
      </w:r>
      <w:r w:rsidRPr="00D145A9">
        <w:rPr>
          <w:rFonts w:cs="Calibri"/>
          <w:szCs w:val="20"/>
          <w:lang w:val="en-IE"/>
        </w:rPr>
        <w:t>GBV context</w:t>
      </w:r>
      <w:r w:rsidRPr="00151B72">
        <w:rPr>
          <w:rFonts w:cs="Calibri"/>
          <w:szCs w:val="20"/>
          <w:lang w:val="en-IE"/>
        </w:rPr>
        <w:t>s</w:t>
      </w:r>
      <w:r w:rsidRPr="00D145A9">
        <w:rPr>
          <w:rFonts w:cs="Calibri"/>
          <w:szCs w:val="20"/>
          <w:lang w:val="en-IE"/>
        </w:rPr>
        <w:t xml:space="preserve"> and</w:t>
      </w:r>
      <w:r w:rsidRPr="00151B72">
        <w:rPr>
          <w:rFonts w:cs="Calibri"/>
          <w:szCs w:val="20"/>
          <w:lang w:val="en-IE"/>
        </w:rPr>
        <w:t xml:space="preserve"> </w:t>
      </w:r>
      <w:r w:rsidRPr="00D145A9">
        <w:rPr>
          <w:rFonts w:cs="Calibri"/>
          <w:szCs w:val="20"/>
          <w:lang w:val="en-IE"/>
        </w:rPr>
        <w:t xml:space="preserve">lack familiarity with how to best work together. </w:t>
      </w:r>
      <w:r w:rsidRPr="00151B72">
        <w:rPr>
          <w:rFonts w:cs="Calibri"/>
          <w:szCs w:val="20"/>
          <w:lang w:val="en-IE"/>
        </w:rPr>
        <w:t xml:space="preserve">We identified some </w:t>
      </w:r>
      <w:r w:rsidRPr="00D145A9">
        <w:rPr>
          <w:rFonts w:cs="Calibri"/>
          <w:szCs w:val="20"/>
          <w:lang w:val="en-IE"/>
        </w:rPr>
        <w:t xml:space="preserve">contradictions </w:t>
      </w:r>
      <w:r w:rsidRPr="00151B72">
        <w:rPr>
          <w:rFonts w:cs="Calibri"/>
          <w:szCs w:val="20"/>
          <w:lang w:val="en-IE"/>
        </w:rPr>
        <w:t>across respondent groups</w:t>
      </w:r>
      <w:r w:rsidRPr="00D145A9">
        <w:rPr>
          <w:rFonts w:cs="Calibri"/>
          <w:szCs w:val="20"/>
          <w:lang w:val="en-IE"/>
        </w:rPr>
        <w:t xml:space="preserve"> </w:t>
      </w:r>
      <w:r w:rsidRPr="00151B72">
        <w:rPr>
          <w:rFonts w:cs="Calibri"/>
          <w:szCs w:val="20"/>
          <w:lang w:val="en-IE"/>
        </w:rPr>
        <w:t>e.g.</w:t>
      </w:r>
      <w:r w:rsidRPr="00D145A9">
        <w:rPr>
          <w:rFonts w:cs="Calibri"/>
          <w:szCs w:val="20"/>
          <w:lang w:val="en-IE"/>
        </w:rPr>
        <w:t xml:space="preserve">, support service providers </w:t>
      </w:r>
      <w:r w:rsidRPr="00151B72">
        <w:rPr>
          <w:rFonts w:cs="Calibri"/>
          <w:szCs w:val="20"/>
          <w:lang w:val="en-IE"/>
        </w:rPr>
        <w:t>say</w:t>
      </w:r>
      <w:r w:rsidRPr="00D145A9">
        <w:rPr>
          <w:rFonts w:cs="Calibri"/>
          <w:szCs w:val="20"/>
          <w:lang w:val="en-IE"/>
        </w:rPr>
        <w:t xml:space="preserve"> they mostly check interpreter credentials, but interpreters </w:t>
      </w:r>
      <w:r w:rsidRPr="00151B72">
        <w:rPr>
          <w:rFonts w:cs="Calibri"/>
          <w:szCs w:val="20"/>
          <w:lang w:val="en-IE"/>
        </w:rPr>
        <w:t>tell us that</w:t>
      </w:r>
      <w:r w:rsidRPr="00D145A9">
        <w:rPr>
          <w:rFonts w:cs="Calibri"/>
          <w:szCs w:val="20"/>
          <w:lang w:val="en-IE"/>
        </w:rPr>
        <w:t xml:space="preserve"> they are rarely asked to confirm their credentials. </w:t>
      </w:r>
      <w:r w:rsidRPr="00151B72">
        <w:rPr>
          <w:rFonts w:cs="Calibri"/>
          <w:szCs w:val="20"/>
          <w:lang w:val="en-IE"/>
        </w:rPr>
        <w:t xml:space="preserve">As another example, while </w:t>
      </w:r>
      <w:r w:rsidRPr="00D145A9">
        <w:rPr>
          <w:rFonts w:cs="Calibri"/>
          <w:szCs w:val="20"/>
          <w:lang w:val="en-IE"/>
        </w:rPr>
        <w:t xml:space="preserve">support service providers think they </w:t>
      </w:r>
      <w:r w:rsidRPr="00151B72">
        <w:rPr>
          <w:rFonts w:cs="Calibri"/>
          <w:szCs w:val="20"/>
          <w:lang w:val="en-IE"/>
        </w:rPr>
        <w:t>are briefing interpreters,</w:t>
      </w:r>
      <w:r w:rsidRPr="00D145A9">
        <w:rPr>
          <w:rFonts w:cs="Calibri"/>
          <w:szCs w:val="20"/>
          <w:lang w:val="en-IE"/>
        </w:rPr>
        <w:t xml:space="preserve"> interpreters do not feel </w:t>
      </w:r>
      <w:r w:rsidRPr="00151B72">
        <w:rPr>
          <w:rFonts w:cs="Calibri"/>
          <w:szCs w:val="20"/>
          <w:lang w:val="en-IE"/>
        </w:rPr>
        <w:t>that</w:t>
      </w:r>
      <w:r w:rsidRPr="00D145A9">
        <w:rPr>
          <w:rFonts w:cs="Calibri"/>
          <w:szCs w:val="20"/>
          <w:lang w:val="en-IE"/>
        </w:rPr>
        <w:t xml:space="preserve"> they are briefed. </w:t>
      </w:r>
      <w:r w:rsidRPr="00151B72">
        <w:rPr>
          <w:rFonts w:cs="Calibri"/>
          <w:szCs w:val="20"/>
          <w:lang w:val="en-IE"/>
        </w:rPr>
        <w:t>Our</w:t>
      </w:r>
      <w:r w:rsidRPr="00D145A9">
        <w:rPr>
          <w:rFonts w:cs="Calibri"/>
          <w:szCs w:val="20"/>
          <w:lang w:val="en-IE"/>
        </w:rPr>
        <w:t xml:space="preserve"> survey reveal</w:t>
      </w:r>
      <w:r w:rsidRPr="00151B72">
        <w:rPr>
          <w:rFonts w:cs="Calibri"/>
          <w:szCs w:val="20"/>
          <w:lang w:val="en-IE"/>
        </w:rPr>
        <w:t>ed</w:t>
      </w:r>
      <w:r w:rsidRPr="00D145A9">
        <w:rPr>
          <w:rFonts w:cs="Calibri"/>
          <w:szCs w:val="20"/>
          <w:lang w:val="en-IE"/>
        </w:rPr>
        <w:t xml:space="preserve"> that support service providers and interpreters have </w:t>
      </w:r>
      <w:r w:rsidRPr="00151B72">
        <w:rPr>
          <w:rFonts w:cs="Calibri"/>
          <w:szCs w:val="20"/>
          <w:lang w:val="en-IE"/>
        </w:rPr>
        <w:t xml:space="preserve">received </w:t>
      </w:r>
      <w:r w:rsidRPr="00D145A9">
        <w:rPr>
          <w:rFonts w:cs="Calibri"/>
          <w:szCs w:val="20"/>
          <w:lang w:val="en-IE"/>
        </w:rPr>
        <w:t xml:space="preserve">minimal training on how best to work together in </w:t>
      </w:r>
      <w:r w:rsidRPr="00151B72">
        <w:rPr>
          <w:rFonts w:cs="Calibri"/>
          <w:szCs w:val="20"/>
          <w:lang w:val="en-IE"/>
        </w:rPr>
        <w:t>DS</w:t>
      </w:r>
      <w:r w:rsidRPr="00D145A9">
        <w:rPr>
          <w:rFonts w:cs="Calibri"/>
          <w:szCs w:val="20"/>
          <w:lang w:val="en-IE"/>
        </w:rPr>
        <w:t xml:space="preserve">GBV contexts, and any training received has mostly been </w:t>
      </w:r>
      <w:r w:rsidRPr="00151B72">
        <w:rPr>
          <w:rFonts w:cs="Calibri"/>
          <w:szCs w:val="20"/>
          <w:lang w:val="en-IE"/>
        </w:rPr>
        <w:t>provided through</w:t>
      </w:r>
      <w:r w:rsidRPr="00D145A9">
        <w:rPr>
          <w:rFonts w:cs="Calibri"/>
          <w:szCs w:val="20"/>
          <w:lang w:val="en-IE"/>
        </w:rPr>
        <w:t xml:space="preserve"> professional development workshops. </w:t>
      </w:r>
      <w:r w:rsidRPr="00151B72">
        <w:rPr>
          <w:rFonts w:cs="Calibri"/>
          <w:szCs w:val="20"/>
          <w:lang w:val="en-IE"/>
        </w:rPr>
        <w:t xml:space="preserve">We noted </w:t>
      </w:r>
      <w:r w:rsidRPr="00D145A9">
        <w:rPr>
          <w:rFonts w:cs="Calibri"/>
          <w:szCs w:val="20"/>
          <w:lang w:val="en-IE"/>
        </w:rPr>
        <w:t xml:space="preserve">a juxtaposition between priorities for support service providers and interpreters and where there are mismatches concerning the ranking of language skills, people skills, and level of specialist information needed; with both </w:t>
      </w:r>
      <w:r w:rsidRPr="00151B72">
        <w:rPr>
          <w:rFonts w:cs="Calibri"/>
          <w:szCs w:val="20"/>
          <w:lang w:val="en-IE"/>
        </w:rPr>
        <w:t xml:space="preserve">groups considering </w:t>
      </w:r>
      <w:r w:rsidRPr="00D145A9">
        <w:rPr>
          <w:rFonts w:cs="Calibri"/>
          <w:szCs w:val="20"/>
          <w:lang w:val="en-IE"/>
        </w:rPr>
        <w:t>interpersonal skills</w:t>
      </w:r>
      <w:r w:rsidRPr="00151B72">
        <w:rPr>
          <w:rFonts w:cs="Calibri"/>
          <w:szCs w:val="20"/>
          <w:lang w:val="en-IE"/>
        </w:rPr>
        <w:t xml:space="preserve"> to be very important. This provided impetus for including checklists for stakeholders in our training manual.</w:t>
      </w:r>
    </w:p>
    <w:p w14:paraId="118191CA" w14:textId="77777777" w:rsidR="001D6B7D" w:rsidRPr="00D145A9" w:rsidRDefault="001D6B7D" w:rsidP="00F5794B">
      <w:pPr>
        <w:rPr>
          <w:rFonts w:cs="Calibri"/>
          <w:szCs w:val="20"/>
          <w:lang w:val="en-IE"/>
        </w:rPr>
      </w:pPr>
    </w:p>
    <w:p w14:paraId="32C2B452" w14:textId="77777777" w:rsidR="001D6B7D" w:rsidRPr="00151B72" w:rsidRDefault="001D6B7D" w:rsidP="00F5794B">
      <w:pPr>
        <w:rPr>
          <w:rFonts w:cs="Calibri"/>
          <w:szCs w:val="20"/>
          <w:lang w:val="en-US"/>
        </w:rPr>
      </w:pPr>
      <w:r w:rsidRPr="00D145A9">
        <w:rPr>
          <w:rFonts w:cs="Calibri"/>
          <w:szCs w:val="20"/>
          <w:lang w:val="en-IE"/>
        </w:rPr>
        <w:t xml:space="preserve">Both </w:t>
      </w:r>
      <w:r w:rsidRPr="00151B72">
        <w:rPr>
          <w:rFonts w:cs="Calibri"/>
          <w:szCs w:val="20"/>
          <w:lang w:val="en-IE"/>
        </w:rPr>
        <w:t>groups</w:t>
      </w:r>
      <w:r w:rsidRPr="00D145A9">
        <w:rPr>
          <w:rFonts w:cs="Calibri"/>
          <w:szCs w:val="20"/>
          <w:lang w:val="en-IE"/>
        </w:rPr>
        <w:t xml:space="preserve"> confirmed the need for specialist skills and competencies to work with women in </w:t>
      </w:r>
      <w:r w:rsidRPr="00151B72">
        <w:rPr>
          <w:rFonts w:cs="Calibri"/>
          <w:szCs w:val="20"/>
          <w:lang w:val="en-IE"/>
        </w:rPr>
        <w:t>DS</w:t>
      </w:r>
      <w:r w:rsidRPr="00D145A9">
        <w:rPr>
          <w:rFonts w:cs="Calibri"/>
          <w:szCs w:val="20"/>
          <w:lang w:val="en-IE"/>
        </w:rPr>
        <w:t xml:space="preserve">GBV contexts and the requirement for specialised training. Although support service providers and interpreters are expected to undertake general professional development, as the work with </w:t>
      </w:r>
      <w:r w:rsidRPr="00151B72">
        <w:rPr>
          <w:rFonts w:cs="Calibri"/>
          <w:szCs w:val="20"/>
          <w:lang w:val="en-IE"/>
        </w:rPr>
        <w:t>individuals</w:t>
      </w:r>
      <w:r w:rsidRPr="00D145A9">
        <w:rPr>
          <w:rFonts w:cs="Calibri"/>
          <w:szCs w:val="20"/>
          <w:lang w:val="en-IE"/>
        </w:rPr>
        <w:t xml:space="preserve"> who have experienced </w:t>
      </w:r>
      <w:r w:rsidRPr="00151B72">
        <w:rPr>
          <w:rFonts w:cs="Calibri"/>
          <w:szCs w:val="20"/>
          <w:lang w:val="en-IE"/>
        </w:rPr>
        <w:t>DS</w:t>
      </w:r>
      <w:r w:rsidRPr="00D145A9">
        <w:rPr>
          <w:rFonts w:cs="Calibri"/>
          <w:szCs w:val="20"/>
          <w:lang w:val="en-IE"/>
        </w:rPr>
        <w:t>GBV is such a specialised and sensitive area</w:t>
      </w:r>
      <w:r w:rsidRPr="00151B72">
        <w:rPr>
          <w:rFonts w:cs="Calibri"/>
          <w:szCs w:val="20"/>
          <w:lang w:val="en-IE"/>
        </w:rPr>
        <w:t>,</w:t>
      </w:r>
      <w:r w:rsidRPr="00D145A9">
        <w:rPr>
          <w:rFonts w:cs="Calibri"/>
          <w:szCs w:val="20"/>
          <w:lang w:val="en-IE"/>
        </w:rPr>
        <w:t xml:space="preserve"> both groups commented on the need to be trained on how to deal with emotional boundaries, managing emotional responses, empathy, and specific terminology, the nature of </w:t>
      </w:r>
      <w:r w:rsidRPr="00151B72">
        <w:rPr>
          <w:rFonts w:cs="Calibri"/>
          <w:szCs w:val="20"/>
          <w:lang w:val="en-IE"/>
        </w:rPr>
        <w:t>DS</w:t>
      </w:r>
      <w:r w:rsidRPr="00D145A9">
        <w:rPr>
          <w:rFonts w:cs="Calibri"/>
          <w:szCs w:val="20"/>
          <w:lang w:val="en-IE"/>
        </w:rPr>
        <w:t xml:space="preserve">GBV, and legislative processes. </w:t>
      </w:r>
      <w:r w:rsidRPr="00151B72">
        <w:rPr>
          <w:rFonts w:cs="Calibri"/>
          <w:szCs w:val="20"/>
          <w:lang w:val="en-IE"/>
        </w:rPr>
        <w:t>We offered masterclasses across 2021-4, drawing on consortium expertise. Additionally, the training manual and interpreter handbook offers specific guidance on self-care when working with DSGBV.</w:t>
      </w:r>
    </w:p>
    <w:p w14:paraId="13560782" w14:textId="77777777" w:rsidR="001D6B7D" w:rsidRPr="00151B72" w:rsidRDefault="001D6B7D" w:rsidP="00F5794B">
      <w:pPr>
        <w:rPr>
          <w:rFonts w:cs="Calibri"/>
          <w:szCs w:val="20"/>
          <w:lang w:val="en-IE"/>
        </w:rPr>
      </w:pPr>
    </w:p>
    <w:p w14:paraId="666AD007" w14:textId="3F896AFE" w:rsidR="001D6B7D" w:rsidRPr="00151B72" w:rsidRDefault="001D6B7D" w:rsidP="00F5794B">
      <w:pPr>
        <w:rPr>
          <w:rFonts w:cs="Calibri"/>
          <w:szCs w:val="20"/>
          <w:lang w:val="en-IE"/>
        </w:rPr>
      </w:pPr>
      <w:r w:rsidRPr="00151B72">
        <w:rPr>
          <w:rFonts w:cs="Calibri"/>
          <w:szCs w:val="20"/>
          <w:lang w:val="en-IE"/>
        </w:rPr>
        <w:t>Our</w:t>
      </w:r>
      <w:r w:rsidRPr="00D145A9">
        <w:rPr>
          <w:rFonts w:cs="Calibri"/>
          <w:szCs w:val="20"/>
          <w:lang w:val="en-IE"/>
        </w:rPr>
        <w:t xml:space="preserve"> results</w:t>
      </w:r>
      <w:r w:rsidRPr="00151B72">
        <w:rPr>
          <w:rFonts w:cs="Calibri"/>
          <w:szCs w:val="20"/>
          <w:lang w:val="en-IE"/>
        </w:rPr>
        <w:t xml:space="preserve"> indicated the need to localise many elements in training. </w:t>
      </w:r>
      <w:r w:rsidRPr="00D145A9">
        <w:rPr>
          <w:rFonts w:cs="Calibri"/>
          <w:szCs w:val="20"/>
          <w:lang w:val="en-IE"/>
        </w:rPr>
        <w:t>For example, support service providers in Ireland referred to their desire for more information on</w:t>
      </w:r>
      <w:r w:rsidRPr="00151B72">
        <w:rPr>
          <w:rFonts w:cs="Calibri"/>
          <w:szCs w:val="20"/>
          <w:lang w:val="en-IE"/>
        </w:rPr>
        <w:t xml:space="preserve"> the General Data Protection Regulation </w:t>
      </w:r>
      <w:r w:rsidRPr="00151B72">
        <w:rPr>
          <w:rFonts w:cs="Calibri"/>
          <w:noProof/>
          <w:szCs w:val="20"/>
          <w:lang w:val="en-IE"/>
        </w:rPr>
        <w:t>(European Union, 2016)</w:t>
      </w:r>
      <w:r w:rsidRPr="00D145A9">
        <w:rPr>
          <w:rFonts w:cs="Calibri"/>
          <w:szCs w:val="20"/>
          <w:lang w:val="en-IE"/>
        </w:rPr>
        <w:t xml:space="preserve">. This impacts on understanding of ethical guidelines and unanticipated consequences of other things in the system, e.g., citing GDPR as a reason for not giving information to interpreters. </w:t>
      </w:r>
      <w:r w:rsidRPr="00151B72">
        <w:rPr>
          <w:rFonts w:cs="Calibri"/>
          <w:szCs w:val="20"/>
          <w:lang w:val="en-IE"/>
        </w:rPr>
        <w:t>In this way</w:t>
      </w:r>
      <w:r w:rsidRPr="00D145A9">
        <w:rPr>
          <w:rFonts w:cs="Calibri"/>
          <w:szCs w:val="20"/>
          <w:lang w:val="en-IE"/>
        </w:rPr>
        <w:t>,</w:t>
      </w:r>
      <w:r w:rsidRPr="00151B72">
        <w:rPr>
          <w:rFonts w:cs="Calibri"/>
          <w:szCs w:val="20"/>
          <w:lang w:val="en-IE"/>
        </w:rPr>
        <w:t xml:space="preserve"> we note that</w:t>
      </w:r>
      <w:r w:rsidRPr="00D145A9">
        <w:rPr>
          <w:rFonts w:cs="Calibri"/>
          <w:szCs w:val="20"/>
          <w:lang w:val="en-IE"/>
        </w:rPr>
        <w:t xml:space="preserve"> guidance needs to be provided</w:t>
      </w:r>
      <w:r w:rsidRPr="00151B72">
        <w:rPr>
          <w:rFonts w:cs="Calibri"/>
          <w:szCs w:val="20"/>
          <w:lang w:val="en-IE"/>
        </w:rPr>
        <w:t xml:space="preserve"> to service providers</w:t>
      </w:r>
      <w:r w:rsidRPr="00D145A9">
        <w:rPr>
          <w:rFonts w:cs="Calibri"/>
          <w:szCs w:val="20"/>
          <w:lang w:val="en-IE"/>
        </w:rPr>
        <w:t xml:space="preserve"> that not only is it appropriate to give this information to interpreters for preparation purposes but that it is actually best practice to do so to protect human rights. </w:t>
      </w:r>
      <w:r w:rsidR="002D552D" w:rsidRPr="00151B72">
        <w:rPr>
          <w:rFonts w:cs="Calibri"/>
          <w:szCs w:val="20"/>
          <w:lang w:val="en-IE"/>
        </w:rPr>
        <w:t>Likewise</w:t>
      </w:r>
      <w:r w:rsidRPr="00151B72">
        <w:rPr>
          <w:rFonts w:cs="Calibri"/>
          <w:szCs w:val="20"/>
          <w:lang w:val="en-IE"/>
        </w:rPr>
        <w:t xml:space="preserve">, we note in Spain, </w:t>
      </w:r>
      <w:r w:rsidRPr="00D145A9">
        <w:rPr>
          <w:rFonts w:cs="Calibri"/>
          <w:szCs w:val="20"/>
          <w:lang w:val="en-IE"/>
        </w:rPr>
        <w:t xml:space="preserve">police </w:t>
      </w:r>
      <w:r w:rsidRPr="00151B72">
        <w:rPr>
          <w:rFonts w:cs="Calibri"/>
          <w:szCs w:val="20"/>
          <w:lang w:val="en-IE"/>
        </w:rPr>
        <w:t>must</w:t>
      </w:r>
      <w:r w:rsidRPr="00D145A9">
        <w:rPr>
          <w:rFonts w:cs="Calibri"/>
          <w:szCs w:val="20"/>
          <w:lang w:val="en-IE"/>
        </w:rPr>
        <w:t xml:space="preserve"> inform a suspect of all evidence they have against them before going to court. This is a fairly recently new directive, which is problematic when the victim is endangered as police do not want to hand over all information, including to interpreters</w:t>
      </w:r>
      <w:r w:rsidRPr="00151B72">
        <w:rPr>
          <w:rFonts w:cs="Calibri"/>
          <w:szCs w:val="20"/>
          <w:lang w:val="en-IE"/>
        </w:rPr>
        <w:t>, creating</w:t>
      </w:r>
      <w:r w:rsidRPr="00D145A9">
        <w:rPr>
          <w:rFonts w:cs="Calibri"/>
          <w:szCs w:val="20"/>
          <w:lang w:val="en-IE"/>
        </w:rPr>
        <w:t xml:space="preserve"> a tension between protecting victim rights (by ensuring that interpreters understand what has happened so they can interpret as effectively as possible) and protecting suspect rights. </w:t>
      </w:r>
      <w:r w:rsidRPr="00151B72">
        <w:rPr>
          <w:rFonts w:cs="Calibri"/>
          <w:szCs w:val="20"/>
          <w:lang w:val="en-IE"/>
        </w:rPr>
        <w:t xml:space="preserve">We have included language and country specific content in our manual to support the issue of localisation, but note that much more work is needed yet in this regard. </w:t>
      </w:r>
    </w:p>
    <w:p w14:paraId="2ABB9986" w14:textId="77777777" w:rsidR="001D6B7D" w:rsidRPr="00151B72" w:rsidRDefault="001D6B7D" w:rsidP="00F5794B">
      <w:pPr>
        <w:rPr>
          <w:rFonts w:cs="Calibri"/>
          <w:szCs w:val="20"/>
          <w:lang w:val="en-IE"/>
        </w:rPr>
      </w:pPr>
    </w:p>
    <w:p w14:paraId="79FD829E" w14:textId="77777777" w:rsidR="001D6B7D" w:rsidRPr="00151B72" w:rsidRDefault="001D6B7D" w:rsidP="00F5794B">
      <w:pPr>
        <w:rPr>
          <w:rFonts w:cs="Calibri"/>
          <w:szCs w:val="20"/>
          <w:lang w:val="en-IE"/>
        </w:rPr>
      </w:pPr>
      <w:r w:rsidRPr="00151B72">
        <w:rPr>
          <w:rFonts w:cs="Calibri"/>
          <w:szCs w:val="20"/>
          <w:lang w:val="en-IE"/>
        </w:rPr>
        <w:t xml:space="preserve">Our survey responses suggest that </w:t>
      </w:r>
      <w:r w:rsidRPr="00D145A9">
        <w:rPr>
          <w:rFonts w:cs="Calibri"/>
          <w:szCs w:val="20"/>
          <w:lang w:val="en-IE"/>
        </w:rPr>
        <w:t>existing training is repetitive, focussing primarily on terminology</w:t>
      </w:r>
      <w:r w:rsidRPr="00151B72">
        <w:rPr>
          <w:rFonts w:cs="Calibri"/>
          <w:szCs w:val="20"/>
          <w:lang w:val="en-IE"/>
        </w:rPr>
        <w:t xml:space="preserve"> and</w:t>
      </w:r>
      <w:r w:rsidRPr="00D145A9">
        <w:rPr>
          <w:rFonts w:cs="Calibri"/>
          <w:szCs w:val="20"/>
          <w:lang w:val="en-IE"/>
        </w:rPr>
        <w:t xml:space="preserve"> legislation</w:t>
      </w:r>
      <w:r w:rsidRPr="00151B72">
        <w:rPr>
          <w:rFonts w:cs="Calibri"/>
          <w:szCs w:val="20"/>
          <w:lang w:val="en-IE"/>
        </w:rPr>
        <w:t>. While</w:t>
      </w:r>
      <w:r w:rsidRPr="00D145A9">
        <w:rPr>
          <w:rFonts w:cs="Calibri"/>
          <w:szCs w:val="20"/>
          <w:lang w:val="en-IE"/>
        </w:rPr>
        <w:t xml:space="preserve"> these topics were noted by interpreters </w:t>
      </w:r>
      <w:r w:rsidRPr="00151B72">
        <w:rPr>
          <w:rFonts w:cs="Calibri"/>
          <w:szCs w:val="20"/>
          <w:lang w:val="en-IE"/>
        </w:rPr>
        <w:t xml:space="preserve">as </w:t>
      </w:r>
      <w:r w:rsidRPr="00D145A9">
        <w:rPr>
          <w:rFonts w:cs="Calibri"/>
          <w:szCs w:val="20"/>
          <w:lang w:val="en-IE"/>
        </w:rPr>
        <w:t>important</w:t>
      </w:r>
      <w:r w:rsidRPr="00151B72">
        <w:rPr>
          <w:rFonts w:cs="Calibri"/>
          <w:szCs w:val="20"/>
          <w:lang w:val="en-IE"/>
        </w:rPr>
        <w:t>, we suggest that</w:t>
      </w:r>
      <w:r w:rsidRPr="00D145A9">
        <w:rPr>
          <w:rFonts w:cs="Calibri"/>
          <w:szCs w:val="20"/>
          <w:lang w:val="en-IE"/>
        </w:rPr>
        <w:t xml:space="preserve"> more in-depth training across a range of issues that are particularly pertinent to support service providers and interpreters working together</w:t>
      </w:r>
      <w:r w:rsidRPr="00151B72">
        <w:rPr>
          <w:rFonts w:cs="Calibri"/>
          <w:szCs w:val="20"/>
          <w:lang w:val="en-IE"/>
        </w:rPr>
        <w:t xml:space="preserve">, </w:t>
      </w:r>
      <w:r w:rsidRPr="00D145A9">
        <w:rPr>
          <w:rFonts w:cs="Calibri"/>
          <w:szCs w:val="20"/>
          <w:lang w:val="en-IE"/>
        </w:rPr>
        <w:t xml:space="preserve">e.g. cultural  and emotional issues </w:t>
      </w:r>
      <w:r w:rsidRPr="00151B72">
        <w:rPr>
          <w:rFonts w:cs="Calibri"/>
          <w:szCs w:val="20"/>
          <w:lang w:val="en-IE"/>
        </w:rPr>
        <w:t>that require a broader lens, and go beyond</w:t>
      </w:r>
      <w:r w:rsidRPr="00D145A9">
        <w:rPr>
          <w:rFonts w:cs="Calibri"/>
          <w:szCs w:val="20"/>
          <w:lang w:val="en-IE"/>
        </w:rPr>
        <w:t xml:space="preserve"> general explanations of </w:t>
      </w:r>
      <w:r w:rsidRPr="00151B72">
        <w:rPr>
          <w:rFonts w:cs="Calibri"/>
          <w:szCs w:val="20"/>
          <w:lang w:val="en-IE"/>
        </w:rPr>
        <w:t>DS</w:t>
      </w:r>
      <w:r w:rsidRPr="00D145A9">
        <w:rPr>
          <w:rFonts w:cs="Calibri"/>
          <w:szCs w:val="20"/>
          <w:lang w:val="en-IE"/>
        </w:rPr>
        <w:t xml:space="preserve">GBV. </w:t>
      </w:r>
    </w:p>
    <w:p w14:paraId="0D88D88B" w14:textId="77777777" w:rsidR="001D6B7D" w:rsidRPr="00D145A9" w:rsidRDefault="001D6B7D" w:rsidP="00F5794B">
      <w:pPr>
        <w:rPr>
          <w:rFonts w:cs="Calibri"/>
          <w:szCs w:val="20"/>
          <w:lang w:val="en-IE"/>
        </w:rPr>
      </w:pPr>
    </w:p>
    <w:p w14:paraId="55E80A9C" w14:textId="77777777" w:rsidR="001D6B7D" w:rsidRPr="00151B72" w:rsidRDefault="001D6B7D" w:rsidP="00F5794B">
      <w:pPr>
        <w:rPr>
          <w:rFonts w:cs="Calibri"/>
          <w:szCs w:val="20"/>
          <w:lang w:val="en-IE"/>
        </w:rPr>
      </w:pPr>
      <w:r w:rsidRPr="00151B72">
        <w:rPr>
          <w:rFonts w:cs="Calibri"/>
          <w:szCs w:val="20"/>
          <w:lang w:val="en-IE"/>
        </w:rPr>
        <w:t>British deaf women who were interviewed also raised t</w:t>
      </w:r>
      <w:r w:rsidRPr="00D145A9">
        <w:rPr>
          <w:rFonts w:cs="Calibri"/>
          <w:szCs w:val="20"/>
          <w:lang w:val="en-IE"/>
        </w:rPr>
        <w:t xml:space="preserve">he issue of cultural awareness, understanding of </w:t>
      </w:r>
      <w:r w:rsidRPr="00151B72">
        <w:rPr>
          <w:rFonts w:cs="Calibri"/>
          <w:szCs w:val="20"/>
          <w:lang w:val="en-IE"/>
        </w:rPr>
        <w:t>DS</w:t>
      </w:r>
      <w:r w:rsidRPr="00D145A9">
        <w:rPr>
          <w:rFonts w:cs="Calibri"/>
          <w:szCs w:val="20"/>
          <w:lang w:val="en-IE"/>
        </w:rPr>
        <w:t>GBV related issues and the need for training for support service providers and interpreters</w:t>
      </w:r>
      <w:r w:rsidRPr="00151B72">
        <w:rPr>
          <w:rFonts w:cs="Calibri"/>
          <w:szCs w:val="20"/>
          <w:lang w:val="en-IE"/>
        </w:rPr>
        <w:t>. Deaf women also raised</w:t>
      </w:r>
      <w:r w:rsidRPr="00D145A9">
        <w:rPr>
          <w:rFonts w:cs="Calibri"/>
          <w:szCs w:val="20"/>
          <w:lang w:val="en-IE"/>
        </w:rPr>
        <w:t xml:space="preserve"> </w:t>
      </w:r>
      <w:r w:rsidRPr="00D145A9">
        <w:rPr>
          <w:rFonts w:cs="Calibri"/>
          <w:szCs w:val="20"/>
          <w:lang w:val="en-IE"/>
        </w:rPr>
        <w:lastRenderedPageBreak/>
        <w:t>their</w:t>
      </w:r>
      <w:r w:rsidRPr="00151B72">
        <w:rPr>
          <w:rFonts w:cs="Calibri"/>
          <w:szCs w:val="20"/>
          <w:lang w:val="en-IE"/>
        </w:rPr>
        <w:t xml:space="preserve"> own</w:t>
      </w:r>
      <w:r w:rsidRPr="00D145A9">
        <w:rPr>
          <w:rFonts w:cs="Calibri"/>
          <w:szCs w:val="20"/>
          <w:lang w:val="en-IE"/>
        </w:rPr>
        <w:t xml:space="preserve"> need for</w:t>
      </w:r>
      <w:r w:rsidRPr="00151B72">
        <w:rPr>
          <w:rFonts w:cs="Calibri"/>
          <w:szCs w:val="20"/>
          <w:lang w:val="en-IE"/>
        </w:rPr>
        <w:t xml:space="preserve"> clear communication, information in their own language(s), and</w:t>
      </w:r>
      <w:r w:rsidRPr="00D145A9">
        <w:rPr>
          <w:rFonts w:cs="Calibri"/>
          <w:szCs w:val="20"/>
          <w:lang w:val="en-IE"/>
        </w:rPr>
        <w:t xml:space="preserve"> specific on-going support, a</w:t>
      </w:r>
      <w:r w:rsidRPr="00151B72">
        <w:rPr>
          <w:rFonts w:cs="Calibri"/>
          <w:szCs w:val="20"/>
          <w:lang w:val="en-IE"/>
        </w:rPr>
        <w:t>s well as</w:t>
      </w:r>
      <w:r w:rsidRPr="00D145A9">
        <w:rPr>
          <w:rFonts w:cs="Calibri"/>
          <w:szCs w:val="20"/>
          <w:lang w:val="en-IE"/>
        </w:rPr>
        <w:t xml:space="preserve"> recognition of the needs of women from diverse minority ethnic backgrounds. </w:t>
      </w:r>
      <w:r w:rsidRPr="00151B72">
        <w:rPr>
          <w:rFonts w:cs="Calibri"/>
          <w:szCs w:val="20"/>
          <w:lang w:val="en-IE"/>
        </w:rPr>
        <w:t xml:space="preserve">Deaf women </w:t>
      </w:r>
      <w:r w:rsidRPr="00D145A9">
        <w:rPr>
          <w:rFonts w:cs="Calibri"/>
          <w:szCs w:val="20"/>
          <w:lang w:val="en-IE"/>
        </w:rPr>
        <w:t>highlighted concerns</w:t>
      </w:r>
      <w:r w:rsidRPr="00151B72">
        <w:rPr>
          <w:rFonts w:cs="Calibri"/>
          <w:szCs w:val="20"/>
          <w:lang w:val="en-IE"/>
        </w:rPr>
        <w:t xml:space="preserve"> around</w:t>
      </w:r>
      <w:r w:rsidRPr="00D145A9">
        <w:rPr>
          <w:rFonts w:cs="Calibri"/>
          <w:szCs w:val="20"/>
          <w:lang w:val="en-IE"/>
        </w:rPr>
        <w:t xml:space="preserve"> confidentiality</w:t>
      </w:r>
      <w:r w:rsidRPr="00151B72">
        <w:rPr>
          <w:rFonts w:cs="Calibri"/>
          <w:szCs w:val="20"/>
          <w:lang w:val="en-IE"/>
        </w:rPr>
        <w:t>, noting</w:t>
      </w:r>
      <w:r w:rsidRPr="00D145A9">
        <w:rPr>
          <w:rFonts w:cs="Calibri"/>
          <w:szCs w:val="20"/>
          <w:lang w:val="en-IE"/>
        </w:rPr>
        <w:t xml:space="preserve"> that deaf communities are small and highly networked. As such, rather than assuming that deaf women would automatically prefer deaf-specific, language concordant (e.g., BSL</w:t>
      </w:r>
      <w:r w:rsidRPr="00151B72">
        <w:rPr>
          <w:rFonts w:cs="Calibri"/>
          <w:szCs w:val="20"/>
          <w:lang w:val="en-IE"/>
        </w:rPr>
        <w:t>/ISL/SSL</w:t>
      </w:r>
      <w:r w:rsidRPr="00D145A9">
        <w:rPr>
          <w:rFonts w:cs="Calibri"/>
          <w:szCs w:val="20"/>
          <w:lang w:val="en-IE"/>
        </w:rPr>
        <w:t xml:space="preserve">) services, there may be times when they </w:t>
      </w:r>
      <w:r w:rsidRPr="00151B72">
        <w:rPr>
          <w:rFonts w:cs="Calibri"/>
          <w:szCs w:val="20"/>
          <w:lang w:val="en-IE"/>
        </w:rPr>
        <w:t xml:space="preserve">would prefer to access mainstream services via interpretation. However, some deaf women felt better able to express themselves when receiving support from a deaf-specific service. This highlights two things: the need to fund deaf-specific services and the need to train more interpreters for work in GBV settings in order to provide deaf women with the choice of which service to approach. This same principle applies to the provision of support services for women who are migrants, asylum seekers or refugees as they may also experience similar issues concerning small, networked communities and feelings of safety. We built on this information by creating a short documentary, “Silent Harm”, highlighting key concerns and offering guidance on best practice approaches. </w:t>
      </w:r>
    </w:p>
    <w:p w14:paraId="41EBF2C4" w14:textId="77777777" w:rsidR="001D6B7D" w:rsidRPr="00151B72" w:rsidRDefault="001D6B7D" w:rsidP="00F5794B">
      <w:pPr>
        <w:rPr>
          <w:rFonts w:cs="Calibri"/>
          <w:szCs w:val="20"/>
          <w:lang w:val="en-IE"/>
        </w:rPr>
      </w:pPr>
    </w:p>
    <w:p w14:paraId="13CD18DB" w14:textId="46F68EF4" w:rsidR="001D6B7D" w:rsidRPr="00151B72" w:rsidRDefault="001D6B7D" w:rsidP="00F5794B">
      <w:pPr>
        <w:rPr>
          <w:rFonts w:cs="Calibri"/>
          <w:szCs w:val="20"/>
          <w:lang w:val="en-IE"/>
        </w:rPr>
      </w:pPr>
      <w:r w:rsidRPr="00151B72">
        <w:rPr>
          <w:rFonts w:cs="Calibri"/>
          <w:szCs w:val="20"/>
          <w:lang w:val="en-IE"/>
        </w:rPr>
        <w:t xml:space="preserve">A final point to note here is that often a deaf interpreter (DI) is called on to work in contexts of DSGBV, working with deaf migrants, refugees and asylum seekers across two sign languages (e.g. </w:t>
      </w:r>
      <w:r w:rsidR="002D552D" w:rsidRPr="00151B72">
        <w:rPr>
          <w:rFonts w:cs="Calibri"/>
          <w:szCs w:val="20"/>
          <w:lang w:val="en-IE"/>
        </w:rPr>
        <w:t>Ukrainian</w:t>
      </w:r>
      <w:r w:rsidRPr="00151B72">
        <w:rPr>
          <w:rFonts w:cs="Calibri"/>
          <w:szCs w:val="20"/>
          <w:lang w:val="en-IE"/>
        </w:rPr>
        <w:t xml:space="preserve"> Sign Language and Irish Sign Language), or working with a deaf person who may have had limited exposure to a sign language and where language mediation can best be effected via a deaf interpreter working alongside a hearing interpreter. Considering and planning for contexts where multiple interpreters are required to support access is essential </w:t>
      </w:r>
      <w:r w:rsidRPr="00151B72">
        <w:rPr>
          <w:rFonts w:cs="Calibri"/>
          <w:noProof/>
          <w:szCs w:val="20"/>
          <w:lang w:val="en-IE"/>
        </w:rPr>
        <w:t>(Cabeza-Pereiro et al., 2023)</w:t>
      </w:r>
      <w:r w:rsidRPr="00151B72">
        <w:rPr>
          <w:rFonts w:cs="Calibri"/>
          <w:szCs w:val="20"/>
          <w:lang w:val="en-IE"/>
        </w:rPr>
        <w:t xml:space="preserve">. </w:t>
      </w:r>
    </w:p>
    <w:p w14:paraId="3E3F4042" w14:textId="77777777" w:rsidR="001D6B7D" w:rsidRPr="00151B72" w:rsidRDefault="001D6B7D" w:rsidP="00F5794B">
      <w:pPr>
        <w:rPr>
          <w:rFonts w:cs="Calibri"/>
          <w:szCs w:val="20"/>
          <w:lang w:val="en-IE"/>
        </w:rPr>
      </w:pPr>
    </w:p>
    <w:p w14:paraId="1B90EE62" w14:textId="3F239C2D" w:rsidR="001D6B7D" w:rsidRPr="00151B72" w:rsidRDefault="001D6B7D" w:rsidP="00F5794B">
      <w:pPr>
        <w:pStyle w:val="Heading1"/>
        <w:jc w:val="both"/>
        <w:rPr>
          <w:rFonts w:cs="Calibri"/>
          <w:sz w:val="20"/>
          <w:szCs w:val="20"/>
        </w:rPr>
      </w:pPr>
      <w:r w:rsidRPr="00151B72">
        <w:rPr>
          <w:rFonts w:cs="Calibri"/>
          <w:sz w:val="20"/>
          <w:szCs w:val="20"/>
        </w:rPr>
        <w:t>The Justisigns 2 training suite</w:t>
      </w:r>
    </w:p>
    <w:p w14:paraId="2215E73E" w14:textId="77777777" w:rsidR="001D6B7D" w:rsidRPr="00151B72" w:rsidRDefault="001D6B7D" w:rsidP="00F5794B">
      <w:pPr>
        <w:rPr>
          <w:rFonts w:cs="Calibri"/>
          <w:szCs w:val="20"/>
        </w:rPr>
      </w:pPr>
      <w:r w:rsidRPr="00151B72">
        <w:rPr>
          <w:rFonts w:cs="Calibri"/>
          <w:szCs w:val="20"/>
        </w:rPr>
        <w:t>As a result of our survey and review of the literature as outlined above, we worked to create a series of trauma-informed materials for service providers and interpreters, all provided on an open-access basis at https://justisigns2.com/outputs. These include:</w:t>
      </w:r>
    </w:p>
    <w:p w14:paraId="3D54ED7F" w14:textId="77777777" w:rsidR="001D6B7D" w:rsidRPr="00151B72" w:rsidRDefault="001D6B7D" w:rsidP="00F5794B">
      <w:pPr>
        <w:rPr>
          <w:rFonts w:cs="Calibri"/>
          <w:szCs w:val="20"/>
        </w:rPr>
      </w:pPr>
    </w:p>
    <w:p w14:paraId="7E27EEE9" w14:textId="77777777" w:rsidR="001D6B7D" w:rsidRPr="00151B72" w:rsidRDefault="001D6B7D" w:rsidP="00F5794B">
      <w:pPr>
        <w:numPr>
          <w:ilvl w:val="0"/>
          <w:numId w:val="20"/>
        </w:numPr>
        <w:rPr>
          <w:rFonts w:cs="Calibri"/>
          <w:szCs w:val="20"/>
        </w:rPr>
      </w:pPr>
      <w:r w:rsidRPr="00151B72">
        <w:rPr>
          <w:rFonts w:cs="Calibri"/>
          <w:szCs w:val="20"/>
        </w:rPr>
        <w:t>An evidence-based trauma informed training manual for service providers and interpreters who work with deaf, refugee, and migrant women and girls who have experienced gender-based violence</w:t>
      </w:r>
    </w:p>
    <w:p w14:paraId="5D054F50" w14:textId="77777777" w:rsidR="001D6B7D" w:rsidRPr="00151B72" w:rsidRDefault="001D6B7D" w:rsidP="00F5794B">
      <w:pPr>
        <w:numPr>
          <w:ilvl w:val="0"/>
          <w:numId w:val="20"/>
        </w:numPr>
        <w:rPr>
          <w:rFonts w:cs="Calibri"/>
          <w:szCs w:val="20"/>
        </w:rPr>
      </w:pPr>
      <w:r w:rsidRPr="00151B72">
        <w:rPr>
          <w:rFonts w:cs="Calibri"/>
          <w:szCs w:val="20"/>
        </w:rPr>
        <w:t>A handbook for interpreters who are working in situations of DSGBV</w:t>
      </w:r>
    </w:p>
    <w:p w14:paraId="2FC094D8" w14:textId="01B04691" w:rsidR="001D6B7D" w:rsidRPr="00151B72" w:rsidRDefault="001D6B7D" w:rsidP="00F5794B">
      <w:pPr>
        <w:numPr>
          <w:ilvl w:val="0"/>
          <w:numId w:val="20"/>
        </w:numPr>
        <w:rPr>
          <w:rFonts w:cs="Calibri"/>
          <w:szCs w:val="20"/>
        </w:rPr>
      </w:pPr>
      <w:r w:rsidRPr="00151B72">
        <w:rPr>
          <w:rFonts w:cs="Calibri"/>
          <w:szCs w:val="20"/>
        </w:rPr>
        <w:t xml:space="preserve">Localised guidance for police officers in Ireland, Spain and the UK when communicating </w:t>
      </w:r>
      <w:r w:rsidR="002D552D" w:rsidRPr="00151B72">
        <w:rPr>
          <w:rFonts w:cs="Calibri"/>
          <w:szCs w:val="20"/>
        </w:rPr>
        <w:t>with deaf</w:t>
      </w:r>
      <w:r w:rsidRPr="00151B72">
        <w:rPr>
          <w:rFonts w:cs="Calibri"/>
          <w:szCs w:val="20"/>
        </w:rPr>
        <w:t xml:space="preserve"> people who have experienced DSGBV</w:t>
      </w:r>
    </w:p>
    <w:p w14:paraId="0A1AE1B6" w14:textId="77777777" w:rsidR="001D6B7D" w:rsidRPr="00151B72" w:rsidRDefault="001D6B7D" w:rsidP="00F5794B">
      <w:pPr>
        <w:numPr>
          <w:ilvl w:val="0"/>
          <w:numId w:val="20"/>
        </w:numPr>
        <w:rPr>
          <w:rFonts w:cs="Calibri"/>
          <w:szCs w:val="20"/>
        </w:rPr>
      </w:pPr>
      <w:r w:rsidRPr="00151B72">
        <w:rPr>
          <w:rFonts w:cs="Calibri"/>
          <w:szCs w:val="20"/>
        </w:rPr>
        <w:t>A glossary of terms in British Sign Language and Irish Sign Language to support the lexical and conceptual gaps identified in the literature and by interpreters.</w:t>
      </w:r>
    </w:p>
    <w:p w14:paraId="4451C248" w14:textId="77777777" w:rsidR="001D6B7D" w:rsidRPr="00151B72" w:rsidRDefault="001D6B7D" w:rsidP="00F5794B">
      <w:pPr>
        <w:numPr>
          <w:ilvl w:val="0"/>
          <w:numId w:val="20"/>
        </w:numPr>
        <w:rPr>
          <w:rFonts w:cs="Calibri"/>
          <w:szCs w:val="20"/>
        </w:rPr>
      </w:pPr>
      <w:r w:rsidRPr="00151B72">
        <w:rPr>
          <w:rFonts w:cs="Calibri"/>
          <w:szCs w:val="20"/>
        </w:rPr>
        <w:t xml:space="preserve">A documentary, “Silent Harm” that recounts the experiences of deaf survivors of DSGBV in different scenarios, all based on true stories. </w:t>
      </w:r>
    </w:p>
    <w:p w14:paraId="0F9722B8" w14:textId="77777777" w:rsidR="001D6B7D" w:rsidRPr="00151B72" w:rsidRDefault="001D6B7D" w:rsidP="00F5794B">
      <w:pPr>
        <w:numPr>
          <w:ilvl w:val="0"/>
          <w:numId w:val="20"/>
        </w:numPr>
        <w:rPr>
          <w:rFonts w:cs="Calibri"/>
          <w:szCs w:val="20"/>
        </w:rPr>
      </w:pPr>
      <w:r w:rsidRPr="00151B72">
        <w:rPr>
          <w:rFonts w:cs="Calibri"/>
          <w:szCs w:val="20"/>
        </w:rPr>
        <w:t xml:space="preserve">A GBV toolkit for spoken and sign language interpreters who work in triadic interactions between victims and support professionals such as police, counsellors and legal professionals. </w:t>
      </w:r>
    </w:p>
    <w:p w14:paraId="341BA929" w14:textId="77777777" w:rsidR="001D6B7D" w:rsidRPr="00151B72" w:rsidRDefault="001D6B7D" w:rsidP="00F5794B">
      <w:pPr>
        <w:rPr>
          <w:rFonts w:cs="Calibri"/>
          <w:szCs w:val="20"/>
        </w:rPr>
      </w:pPr>
    </w:p>
    <w:p w14:paraId="24356C34" w14:textId="272FC235" w:rsidR="001D6B7D" w:rsidRPr="00151B72" w:rsidRDefault="00F5794B" w:rsidP="00F5794B">
      <w:pPr>
        <w:pStyle w:val="Heading1"/>
        <w:jc w:val="both"/>
        <w:rPr>
          <w:rFonts w:cs="Calibri"/>
          <w:sz w:val="20"/>
          <w:szCs w:val="20"/>
        </w:rPr>
      </w:pPr>
      <w:r>
        <w:rPr>
          <w:rFonts w:cs="Calibri"/>
          <w:sz w:val="20"/>
          <w:szCs w:val="20"/>
        </w:rPr>
        <w:t>Conclusions and some recommendations</w:t>
      </w:r>
    </w:p>
    <w:p w14:paraId="3084C65B" w14:textId="7BA3E058" w:rsidR="001D6B7D" w:rsidRPr="00151B72" w:rsidRDefault="001D6B7D" w:rsidP="00F5794B">
      <w:pPr>
        <w:rPr>
          <w:rFonts w:cs="Calibri"/>
          <w:szCs w:val="20"/>
        </w:rPr>
      </w:pPr>
      <w:r w:rsidRPr="00151B72">
        <w:rPr>
          <w:rFonts w:cs="Calibri"/>
          <w:szCs w:val="20"/>
        </w:rPr>
        <w:t xml:space="preserve">While we have made great strides in raising awareness of the need to consider language concordant services for those engaging with DSGBV services and beyond, and </w:t>
      </w:r>
      <w:r w:rsidR="000A169A" w:rsidRPr="00151B72">
        <w:rPr>
          <w:rFonts w:cs="Calibri"/>
          <w:szCs w:val="20"/>
        </w:rPr>
        <w:t>regarding</w:t>
      </w:r>
      <w:r w:rsidRPr="00151B72">
        <w:rPr>
          <w:rFonts w:cs="Calibri"/>
          <w:szCs w:val="20"/>
        </w:rPr>
        <w:t xml:space="preserve"> interpreter-mediated DSGBV related encounters, much work remains. Here, offer some recommendations on the back of our Justisigns 2 work aimed at supporting the translation of our findings to policy, practice and pedagogy. We also indicate further research needs. </w:t>
      </w:r>
    </w:p>
    <w:p w14:paraId="70BA6520" w14:textId="77777777" w:rsidR="001D6B7D" w:rsidRPr="00151B72" w:rsidRDefault="001D6B7D" w:rsidP="00F5794B">
      <w:pPr>
        <w:pStyle w:val="Heading2"/>
        <w:jc w:val="both"/>
        <w:rPr>
          <w:rFonts w:cs="Calibri"/>
          <w:sz w:val="20"/>
          <w:szCs w:val="20"/>
        </w:rPr>
      </w:pPr>
      <w:r w:rsidRPr="00151B72">
        <w:rPr>
          <w:rFonts w:cs="Calibri"/>
          <w:sz w:val="20"/>
          <w:szCs w:val="20"/>
        </w:rPr>
        <w:t>Policy</w:t>
      </w:r>
    </w:p>
    <w:p w14:paraId="39C6752F" w14:textId="77777777" w:rsidR="001D6B7D" w:rsidRPr="00151B72" w:rsidRDefault="001D6B7D" w:rsidP="00F5794B">
      <w:pPr>
        <w:spacing w:before="100" w:beforeAutospacing="1" w:after="100" w:afterAutospacing="1"/>
        <w:rPr>
          <w:rFonts w:cs="Calibri"/>
          <w:szCs w:val="20"/>
          <w:lang w:val="en-IE" w:eastAsia="en-GB"/>
        </w:rPr>
      </w:pPr>
      <w:r w:rsidRPr="00305D3E">
        <w:rPr>
          <w:rFonts w:cs="Calibri"/>
          <w:szCs w:val="20"/>
          <w:lang w:val="en-IE" w:eastAsia="en-GB"/>
        </w:rPr>
        <w:t xml:space="preserve">Submissions to government, public service and charity consultations concerning legislation or strategies related to </w:t>
      </w:r>
      <w:r w:rsidRPr="00151B72">
        <w:rPr>
          <w:rFonts w:cs="Calibri"/>
          <w:szCs w:val="20"/>
          <w:lang w:val="en-IE" w:eastAsia="en-GB"/>
        </w:rPr>
        <w:t>DS</w:t>
      </w:r>
      <w:r w:rsidRPr="00305D3E">
        <w:rPr>
          <w:rFonts w:cs="Calibri"/>
          <w:szCs w:val="20"/>
          <w:lang w:val="en-IE" w:eastAsia="en-GB"/>
        </w:rPr>
        <w:t>GBV against women who are migrants, asylum seekers, refugees or deaf signers</w:t>
      </w:r>
      <w:r w:rsidRPr="00151B72">
        <w:rPr>
          <w:rFonts w:cs="Calibri"/>
          <w:szCs w:val="20"/>
          <w:lang w:val="en-IE" w:eastAsia="en-GB"/>
        </w:rPr>
        <w:t xml:space="preserve"> are required</w:t>
      </w:r>
      <w:r w:rsidRPr="00305D3E">
        <w:rPr>
          <w:rFonts w:cs="Calibri"/>
          <w:szCs w:val="20"/>
          <w:lang w:val="en-IE" w:eastAsia="en-GB"/>
        </w:rPr>
        <w:t xml:space="preserve"> to articulate the need for specific services tailored to meet the needs of linguistic and cultural minorities, particularly deaf women</w:t>
      </w:r>
      <w:r w:rsidRPr="00151B72">
        <w:rPr>
          <w:rFonts w:cs="Calibri"/>
          <w:szCs w:val="20"/>
          <w:lang w:val="en-IE" w:eastAsia="en-GB"/>
        </w:rPr>
        <w:t>, given</w:t>
      </w:r>
      <w:r w:rsidRPr="00305D3E">
        <w:rPr>
          <w:rFonts w:cs="Calibri"/>
          <w:szCs w:val="20"/>
          <w:lang w:val="en-IE" w:eastAsia="en-GB"/>
        </w:rPr>
        <w:t xml:space="preserve"> a particular dearth of direct service provision</w:t>
      </w:r>
      <w:r w:rsidRPr="00151B72">
        <w:rPr>
          <w:rFonts w:cs="Calibri"/>
          <w:szCs w:val="20"/>
          <w:lang w:val="en-IE" w:eastAsia="en-GB"/>
        </w:rPr>
        <w:t>.</w:t>
      </w:r>
      <w:r w:rsidRPr="00305D3E">
        <w:rPr>
          <w:rFonts w:cs="Calibri"/>
          <w:szCs w:val="20"/>
          <w:lang w:val="en-IE" w:eastAsia="en-GB"/>
        </w:rPr>
        <w:t xml:space="preserve"> </w:t>
      </w:r>
    </w:p>
    <w:p w14:paraId="12F5C25A" w14:textId="77777777" w:rsidR="001D6B7D" w:rsidRPr="00151B72" w:rsidRDefault="001D6B7D" w:rsidP="00F5794B">
      <w:pPr>
        <w:spacing w:before="100" w:beforeAutospacing="1" w:after="100" w:afterAutospacing="1"/>
        <w:rPr>
          <w:rFonts w:cs="Calibri"/>
          <w:szCs w:val="20"/>
          <w:lang w:val="en-IE" w:eastAsia="en-GB"/>
        </w:rPr>
      </w:pPr>
      <w:r w:rsidRPr="00151B72">
        <w:rPr>
          <w:rFonts w:cs="Calibri"/>
          <w:szCs w:val="20"/>
          <w:lang w:val="en-IE" w:eastAsia="en-GB"/>
        </w:rPr>
        <w:lastRenderedPageBreak/>
        <w:t>M</w:t>
      </w:r>
      <w:r w:rsidRPr="00305D3E">
        <w:rPr>
          <w:rFonts w:cs="Calibri"/>
          <w:szCs w:val="20"/>
          <w:lang w:val="en-IE" w:eastAsia="en-GB"/>
        </w:rPr>
        <w:t xml:space="preserve">ultilingual factsheets for police officers, social workers, healthcare professionals, and other </w:t>
      </w:r>
      <w:r w:rsidRPr="00151B72">
        <w:rPr>
          <w:rFonts w:cs="Calibri"/>
          <w:szCs w:val="20"/>
          <w:lang w:val="en-IE" w:eastAsia="en-GB"/>
        </w:rPr>
        <w:t>DS</w:t>
      </w:r>
      <w:r w:rsidRPr="00305D3E">
        <w:rPr>
          <w:rFonts w:cs="Calibri"/>
          <w:szCs w:val="20"/>
          <w:lang w:val="en-IE" w:eastAsia="en-GB"/>
        </w:rPr>
        <w:t>GBV support service providers</w:t>
      </w:r>
      <w:r w:rsidRPr="00151B72">
        <w:rPr>
          <w:rFonts w:cs="Calibri"/>
          <w:szCs w:val="20"/>
          <w:lang w:val="en-IE" w:eastAsia="en-GB"/>
        </w:rPr>
        <w:t xml:space="preserve"> and interpreters are needed, containing</w:t>
      </w:r>
      <w:r w:rsidRPr="00305D3E">
        <w:rPr>
          <w:rFonts w:cs="Calibri"/>
          <w:szCs w:val="20"/>
          <w:lang w:val="en-IE" w:eastAsia="en-GB"/>
        </w:rPr>
        <w:t xml:space="preserve"> </w:t>
      </w:r>
      <w:r w:rsidRPr="00151B72">
        <w:rPr>
          <w:rFonts w:cs="Calibri"/>
          <w:szCs w:val="20"/>
          <w:lang w:val="en-IE" w:eastAsia="en-GB"/>
        </w:rPr>
        <w:t>guidance</w:t>
      </w:r>
      <w:r w:rsidRPr="00305D3E">
        <w:rPr>
          <w:rFonts w:cs="Calibri"/>
          <w:szCs w:val="20"/>
          <w:lang w:val="en-IE" w:eastAsia="en-GB"/>
        </w:rPr>
        <w:t xml:space="preserve"> on working with women who are migrants, asylum seekers, refugees or deaf signers. </w:t>
      </w:r>
    </w:p>
    <w:p w14:paraId="792DC0F2" w14:textId="77777777" w:rsidR="001D6B7D" w:rsidRPr="00151B72" w:rsidRDefault="001D6B7D" w:rsidP="00F5794B">
      <w:pPr>
        <w:pStyle w:val="Heading2"/>
        <w:jc w:val="both"/>
        <w:rPr>
          <w:rFonts w:cs="Calibri"/>
          <w:sz w:val="20"/>
          <w:szCs w:val="20"/>
          <w:lang w:val="en-IE" w:eastAsia="en-GB"/>
        </w:rPr>
      </w:pPr>
      <w:r w:rsidRPr="00151B72">
        <w:rPr>
          <w:rFonts w:cs="Calibri"/>
          <w:sz w:val="20"/>
          <w:szCs w:val="20"/>
          <w:lang w:val="en-IE" w:eastAsia="en-GB"/>
        </w:rPr>
        <w:t>Practice</w:t>
      </w:r>
    </w:p>
    <w:p w14:paraId="6B500457" w14:textId="479433C7" w:rsidR="001D6B7D" w:rsidRPr="00305D3E" w:rsidRDefault="001D6B7D" w:rsidP="00F5794B">
      <w:pPr>
        <w:spacing w:before="100" w:beforeAutospacing="1" w:after="100" w:afterAutospacing="1"/>
        <w:rPr>
          <w:rFonts w:cs="Calibri"/>
          <w:szCs w:val="20"/>
          <w:lang w:val="en-IE" w:eastAsia="en-GB"/>
        </w:rPr>
      </w:pPr>
      <w:r w:rsidRPr="00151B72">
        <w:rPr>
          <w:rFonts w:cs="Calibri"/>
          <w:szCs w:val="20"/>
          <w:lang w:val="en-IE" w:eastAsia="en-GB"/>
        </w:rPr>
        <w:t>M</w:t>
      </w:r>
      <w:r w:rsidRPr="00305D3E">
        <w:rPr>
          <w:rFonts w:cs="Calibri"/>
          <w:szCs w:val="20"/>
          <w:lang w:val="en-IE" w:eastAsia="en-GB"/>
        </w:rPr>
        <w:t xml:space="preserve">ultilingual resources for deaf and linguistic minority communities providing information in </w:t>
      </w:r>
      <w:r w:rsidRPr="00151B72">
        <w:rPr>
          <w:rFonts w:cs="Calibri"/>
          <w:szCs w:val="20"/>
          <w:lang w:val="en-IE" w:eastAsia="en-GB"/>
        </w:rPr>
        <w:t xml:space="preserve">a range of </w:t>
      </w:r>
      <w:r w:rsidRPr="00305D3E">
        <w:rPr>
          <w:rFonts w:cs="Calibri"/>
          <w:szCs w:val="20"/>
          <w:lang w:val="en-IE" w:eastAsia="en-GB"/>
        </w:rPr>
        <w:t>languages</w:t>
      </w:r>
      <w:r w:rsidRPr="00151B72">
        <w:rPr>
          <w:rFonts w:cs="Calibri"/>
          <w:szCs w:val="20"/>
          <w:lang w:val="en-IE" w:eastAsia="en-GB"/>
        </w:rPr>
        <w:t xml:space="preserve"> </w:t>
      </w:r>
      <w:r w:rsidRPr="00305D3E">
        <w:rPr>
          <w:rFonts w:cs="Calibri"/>
          <w:szCs w:val="20"/>
          <w:lang w:val="en-IE" w:eastAsia="en-GB"/>
        </w:rPr>
        <w:t xml:space="preserve">about </w:t>
      </w:r>
      <w:r w:rsidRPr="00151B72">
        <w:rPr>
          <w:rFonts w:cs="Calibri"/>
          <w:szCs w:val="20"/>
          <w:lang w:val="en-IE" w:eastAsia="en-GB"/>
        </w:rPr>
        <w:t>DS</w:t>
      </w:r>
      <w:r w:rsidRPr="00305D3E">
        <w:rPr>
          <w:rFonts w:cs="Calibri"/>
          <w:szCs w:val="20"/>
          <w:lang w:val="en-IE" w:eastAsia="en-GB"/>
        </w:rPr>
        <w:t xml:space="preserve">GBV, e.g., glossaries of GBV terms in different languages, website information, information videos, all of which could also be used as resources by interpreters. </w:t>
      </w:r>
    </w:p>
    <w:p w14:paraId="77C3642E" w14:textId="77777777" w:rsidR="001D6B7D" w:rsidRPr="00151B72" w:rsidRDefault="001D6B7D" w:rsidP="00F5794B">
      <w:pPr>
        <w:pStyle w:val="Heading2"/>
        <w:jc w:val="both"/>
        <w:rPr>
          <w:rFonts w:cs="Calibri"/>
          <w:sz w:val="20"/>
          <w:szCs w:val="20"/>
          <w:lang w:val="en-IE" w:eastAsia="en-GB"/>
        </w:rPr>
      </w:pPr>
      <w:r w:rsidRPr="00151B72">
        <w:rPr>
          <w:rFonts w:cs="Calibri"/>
          <w:sz w:val="20"/>
          <w:szCs w:val="20"/>
          <w:lang w:val="en-IE" w:eastAsia="en-GB"/>
        </w:rPr>
        <w:t>Pedagogy</w:t>
      </w:r>
    </w:p>
    <w:p w14:paraId="1DE72C2E" w14:textId="781ABCA9" w:rsidR="001D6B7D" w:rsidRPr="00151B72" w:rsidRDefault="001D6B7D" w:rsidP="00F5794B">
      <w:pPr>
        <w:spacing w:before="100" w:beforeAutospacing="1" w:after="100" w:afterAutospacing="1"/>
        <w:rPr>
          <w:rFonts w:cs="Calibri"/>
          <w:szCs w:val="20"/>
          <w:lang w:val="en-IE" w:eastAsia="en-GB"/>
        </w:rPr>
      </w:pPr>
      <w:r w:rsidRPr="00151B72">
        <w:rPr>
          <w:rFonts w:cs="Calibri"/>
          <w:szCs w:val="20"/>
          <w:lang w:val="en-IE" w:eastAsia="en-GB"/>
        </w:rPr>
        <w:t>Our</w:t>
      </w:r>
      <w:r w:rsidRPr="00305D3E">
        <w:rPr>
          <w:rFonts w:cs="Calibri"/>
          <w:szCs w:val="20"/>
          <w:lang w:val="en-IE" w:eastAsia="en-GB"/>
        </w:rPr>
        <w:t xml:space="preserve"> training handbook </w:t>
      </w:r>
      <w:r w:rsidRPr="00151B72">
        <w:rPr>
          <w:rFonts w:cs="Calibri"/>
          <w:szCs w:val="20"/>
          <w:lang w:val="en-IE" w:eastAsia="en-GB"/>
        </w:rPr>
        <w:t>includes</w:t>
      </w:r>
      <w:r w:rsidRPr="00305D3E">
        <w:rPr>
          <w:rFonts w:cs="Calibri"/>
          <w:szCs w:val="20"/>
          <w:lang w:val="en-IE" w:eastAsia="en-GB"/>
        </w:rPr>
        <w:t xml:space="preserve"> a range of information about working with women who are migrants, asylum seekers, refugees or deaf signers</w:t>
      </w:r>
      <w:r w:rsidRPr="00151B72">
        <w:rPr>
          <w:rFonts w:cs="Calibri"/>
          <w:szCs w:val="20"/>
          <w:lang w:val="en-IE" w:eastAsia="en-GB"/>
        </w:rPr>
        <w:t>.</w:t>
      </w:r>
      <w:r w:rsidRPr="00305D3E">
        <w:rPr>
          <w:rFonts w:cs="Calibri"/>
          <w:szCs w:val="20"/>
          <w:lang w:val="en-IE" w:eastAsia="en-GB"/>
        </w:rPr>
        <w:t xml:space="preserve"> </w:t>
      </w:r>
      <w:r w:rsidRPr="00151B72">
        <w:rPr>
          <w:rFonts w:cs="Calibri"/>
          <w:szCs w:val="20"/>
          <w:lang w:val="en-IE" w:eastAsia="en-GB"/>
        </w:rPr>
        <w:t>We note the need for d</w:t>
      </w:r>
      <w:r w:rsidRPr="00305D3E">
        <w:rPr>
          <w:rFonts w:cs="Calibri"/>
          <w:szCs w:val="20"/>
          <w:lang w:val="en-IE" w:eastAsia="en-GB"/>
        </w:rPr>
        <w:t xml:space="preserve">elivery of educational workshops for deaf and linguistic minority communities in their own languages about how to recognise and report </w:t>
      </w:r>
      <w:r w:rsidRPr="00151B72">
        <w:rPr>
          <w:rFonts w:cs="Calibri"/>
          <w:szCs w:val="20"/>
          <w:lang w:val="en-IE" w:eastAsia="en-GB"/>
        </w:rPr>
        <w:t>DS</w:t>
      </w:r>
      <w:r w:rsidRPr="00305D3E">
        <w:rPr>
          <w:rFonts w:cs="Calibri"/>
          <w:szCs w:val="20"/>
          <w:lang w:val="en-IE" w:eastAsia="en-GB"/>
        </w:rPr>
        <w:t>GBV and</w:t>
      </w:r>
      <w:r w:rsidRPr="00151B72">
        <w:rPr>
          <w:rFonts w:cs="Calibri"/>
          <w:szCs w:val="20"/>
          <w:lang w:val="en-IE" w:eastAsia="en-GB"/>
        </w:rPr>
        <w:t xml:space="preserve">, more broadly, around </w:t>
      </w:r>
      <w:r w:rsidRPr="00305D3E">
        <w:rPr>
          <w:rFonts w:cs="Calibri"/>
          <w:szCs w:val="20"/>
          <w:lang w:val="en-IE" w:eastAsia="en-GB"/>
        </w:rPr>
        <w:t>women’s rights</w:t>
      </w:r>
      <w:r w:rsidRPr="00151B72">
        <w:rPr>
          <w:rFonts w:cs="Calibri"/>
          <w:szCs w:val="20"/>
          <w:lang w:val="en-IE" w:eastAsia="en-GB"/>
        </w:rPr>
        <w:t>.</w:t>
      </w:r>
    </w:p>
    <w:p w14:paraId="489690BD" w14:textId="77777777" w:rsidR="001D6B7D" w:rsidRPr="00151B72" w:rsidRDefault="001D6B7D" w:rsidP="00F5794B">
      <w:pPr>
        <w:spacing w:before="100" w:beforeAutospacing="1" w:after="100" w:afterAutospacing="1"/>
        <w:rPr>
          <w:rFonts w:cs="Calibri"/>
          <w:szCs w:val="20"/>
          <w:lang w:val="en-IE" w:eastAsia="en-GB"/>
        </w:rPr>
      </w:pPr>
      <w:r w:rsidRPr="00151B72">
        <w:rPr>
          <w:rFonts w:cs="Calibri"/>
          <w:szCs w:val="20"/>
          <w:lang w:val="en-IE" w:eastAsia="en-GB"/>
        </w:rPr>
        <w:t>Masterclasses offer a mechanism for increasing shared understanding of best practice approaches to working in DSGBV related interpreter mediated settings, bringing together</w:t>
      </w:r>
      <w:r w:rsidRPr="00305D3E">
        <w:rPr>
          <w:rFonts w:cs="Calibri"/>
          <w:szCs w:val="20"/>
          <w:lang w:val="en-IE" w:eastAsia="en-GB"/>
        </w:rPr>
        <w:t xml:space="preserve"> support service providers, interpreters and women from linguistic minority communities, with combined and tailored breakout sessions for each group</w:t>
      </w:r>
      <w:r w:rsidRPr="00151B72">
        <w:rPr>
          <w:rFonts w:cs="Calibri"/>
          <w:szCs w:val="20"/>
          <w:lang w:val="en-IE" w:eastAsia="en-GB"/>
        </w:rPr>
        <w:t xml:space="preserve">, an approach we have successfully applied. </w:t>
      </w:r>
    </w:p>
    <w:p w14:paraId="533B8D0F" w14:textId="77777777" w:rsidR="001D6B7D" w:rsidRPr="00151B72" w:rsidRDefault="001D6B7D" w:rsidP="00F5794B">
      <w:pPr>
        <w:spacing w:before="100" w:beforeAutospacing="1" w:after="100" w:afterAutospacing="1"/>
        <w:rPr>
          <w:rFonts w:cs="Calibri"/>
          <w:szCs w:val="20"/>
          <w:lang w:val="en-IE" w:eastAsia="en-GB"/>
        </w:rPr>
      </w:pPr>
      <w:r w:rsidRPr="00151B72">
        <w:rPr>
          <w:rFonts w:cs="Calibri"/>
          <w:szCs w:val="20"/>
          <w:lang w:val="en-IE" w:eastAsia="en-GB"/>
        </w:rPr>
        <w:t>We strongly recommend the t</w:t>
      </w:r>
      <w:r w:rsidRPr="00305D3E">
        <w:rPr>
          <w:rFonts w:cs="Calibri"/>
          <w:szCs w:val="20"/>
          <w:lang w:val="en-IE" w:eastAsia="en-GB"/>
        </w:rPr>
        <w:t xml:space="preserve">raining of Independent Domestic Violence Advisors (in the UK) or equivalent </w:t>
      </w:r>
      <w:r w:rsidRPr="00151B72">
        <w:rPr>
          <w:rFonts w:cs="Calibri"/>
          <w:szCs w:val="20"/>
          <w:lang w:val="en-IE" w:eastAsia="en-GB"/>
        </w:rPr>
        <w:t>DS</w:t>
      </w:r>
      <w:r w:rsidRPr="00305D3E">
        <w:rPr>
          <w:rFonts w:cs="Calibri"/>
          <w:szCs w:val="20"/>
          <w:lang w:val="en-IE" w:eastAsia="en-GB"/>
        </w:rPr>
        <w:t>GBV support workers in other countries, who are deaf or themselves migrants, asylum seekers, refugees or deaf signers in order to be able to provide language concordant support</w:t>
      </w:r>
      <w:r w:rsidRPr="00151B72">
        <w:rPr>
          <w:rFonts w:cs="Calibri"/>
          <w:szCs w:val="20"/>
          <w:lang w:val="en-IE" w:eastAsia="en-GB"/>
        </w:rPr>
        <w:t>.</w:t>
      </w:r>
    </w:p>
    <w:p w14:paraId="2E9F4F98" w14:textId="66753B89" w:rsidR="001D6B7D" w:rsidRPr="00151B72" w:rsidRDefault="00F5794B" w:rsidP="00F5794B">
      <w:pPr>
        <w:spacing w:before="100" w:beforeAutospacing="1" w:after="100" w:afterAutospacing="1"/>
        <w:rPr>
          <w:rFonts w:cs="Calibri"/>
          <w:szCs w:val="20"/>
          <w:lang w:val="en-IE" w:eastAsia="en-GB"/>
        </w:rPr>
      </w:pPr>
      <w:r>
        <w:rPr>
          <w:rFonts w:cs="Calibri"/>
          <w:szCs w:val="20"/>
          <w:lang w:val="en-IE" w:eastAsia="en-GB"/>
        </w:rPr>
        <w:t>More</w:t>
      </w:r>
      <w:r w:rsidR="001D6B7D" w:rsidRPr="00305D3E">
        <w:rPr>
          <w:rFonts w:cs="Calibri"/>
          <w:szCs w:val="20"/>
          <w:lang w:val="en-IE" w:eastAsia="en-GB"/>
        </w:rPr>
        <w:t xml:space="preserve"> </w:t>
      </w:r>
      <w:r w:rsidR="001D6B7D" w:rsidRPr="00151B72">
        <w:rPr>
          <w:rFonts w:cs="Calibri"/>
          <w:szCs w:val="20"/>
          <w:lang w:val="en-IE" w:eastAsia="en-GB"/>
        </w:rPr>
        <w:t>DIs</w:t>
      </w:r>
      <w:r>
        <w:rPr>
          <w:rFonts w:cs="Calibri"/>
          <w:szCs w:val="20"/>
          <w:lang w:val="en-IE" w:eastAsia="en-GB"/>
        </w:rPr>
        <w:t xml:space="preserve"> are also needed</w:t>
      </w:r>
      <w:r w:rsidR="001D6B7D" w:rsidRPr="00305D3E">
        <w:rPr>
          <w:rFonts w:cs="Calibri"/>
          <w:szCs w:val="20"/>
          <w:lang w:val="en-IE" w:eastAsia="en-GB"/>
        </w:rPr>
        <w:t xml:space="preserve"> to work with deaf women in </w:t>
      </w:r>
      <w:r>
        <w:rPr>
          <w:rFonts w:cs="Calibri"/>
          <w:szCs w:val="20"/>
          <w:lang w:val="en-IE" w:eastAsia="en-GB"/>
        </w:rPr>
        <w:t>DS</w:t>
      </w:r>
      <w:r w:rsidR="001D6B7D" w:rsidRPr="00305D3E">
        <w:rPr>
          <w:rFonts w:cs="Calibri"/>
          <w:szCs w:val="20"/>
          <w:lang w:val="en-IE" w:eastAsia="en-GB"/>
        </w:rPr>
        <w:t xml:space="preserve">GBV contexts. </w:t>
      </w:r>
    </w:p>
    <w:p w14:paraId="15C54498" w14:textId="77777777" w:rsidR="00151B72" w:rsidRPr="00151B72" w:rsidRDefault="001D6B7D" w:rsidP="00F5794B">
      <w:pPr>
        <w:pStyle w:val="Heading2"/>
        <w:spacing w:before="0" w:after="0"/>
        <w:jc w:val="both"/>
        <w:rPr>
          <w:rFonts w:cs="Calibri"/>
          <w:sz w:val="20"/>
          <w:szCs w:val="20"/>
          <w:lang w:val="en-IE" w:eastAsia="en-GB"/>
        </w:rPr>
      </w:pPr>
      <w:r w:rsidRPr="00151B72">
        <w:rPr>
          <w:rFonts w:cs="Calibri"/>
          <w:sz w:val="20"/>
          <w:szCs w:val="20"/>
          <w:lang w:val="en-IE" w:eastAsia="en-GB"/>
        </w:rPr>
        <w:t>Further research</w:t>
      </w:r>
    </w:p>
    <w:p w14:paraId="3A23F9D4" w14:textId="16249DC5" w:rsidR="001D6B7D" w:rsidRPr="00151B72" w:rsidRDefault="001D6B7D" w:rsidP="00F5794B">
      <w:pPr>
        <w:pStyle w:val="Heading2"/>
        <w:numPr>
          <w:ilvl w:val="0"/>
          <w:numId w:val="0"/>
        </w:numPr>
        <w:spacing w:before="0" w:after="0"/>
        <w:jc w:val="both"/>
        <w:rPr>
          <w:rFonts w:cs="Calibri"/>
          <w:b w:val="0"/>
          <w:bCs w:val="0"/>
          <w:sz w:val="20"/>
          <w:szCs w:val="20"/>
          <w:lang w:val="en-IE" w:eastAsia="en-GB"/>
        </w:rPr>
      </w:pPr>
      <w:r w:rsidRPr="00151B72">
        <w:rPr>
          <w:rFonts w:cs="Calibri"/>
          <w:b w:val="0"/>
          <w:bCs w:val="0"/>
          <w:sz w:val="20"/>
          <w:szCs w:val="20"/>
          <w:lang w:val="en-IE" w:eastAsia="en-GB"/>
        </w:rPr>
        <w:t xml:space="preserve">There is a dearth of research on the experiences of women who are migrants, asylum seekers, refugees of deaf signers in reporting incidences of DSGBV and accessing DSGBV support services either directly or through interpreters. While our work has contributed new knowledge, significant gaps remain. We see a clear need for more direct co-designed participatory research with migrants, refugees, asylum seekers and deaf signers who are survivors of DSGBV with a focus on their lived experiences of interpreting in DSGBV contexts. Further research on interpreter preparedness towards enhanced understanding of its impact on disclosures by victims and survivors of DSGBV is required. The issue of vicarious trauma for interpreters and gaps in understanding on the parts of law enforcement and support agencies about what constitutes positive interpreting experiences for all parties, are among the areas most urgently requiring further research. </w:t>
      </w:r>
    </w:p>
    <w:p w14:paraId="60015434" w14:textId="77777777" w:rsidR="00F5794B" w:rsidRDefault="00F5794B" w:rsidP="00F5794B">
      <w:pPr>
        <w:rPr>
          <w:rFonts w:cs="Calibri"/>
          <w:b/>
          <w:bCs/>
          <w:szCs w:val="20"/>
        </w:rPr>
      </w:pPr>
    </w:p>
    <w:p w14:paraId="301B1B3E" w14:textId="77777777" w:rsidR="00151235" w:rsidRDefault="00151235" w:rsidP="00F5794B">
      <w:pPr>
        <w:rPr>
          <w:rFonts w:cs="Calibri"/>
          <w:szCs w:val="20"/>
        </w:rPr>
      </w:pPr>
    </w:p>
    <w:p w14:paraId="045D4BBE" w14:textId="0A2F7924" w:rsidR="00355B8C" w:rsidRPr="00355B8C" w:rsidRDefault="00355B8C" w:rsidP="00F5794B">
      <w:pPr>
        <w:rPr>
          <w:rFonts w:cs="Calibri"/>
          <w:b/>
          <w:bCs/>
          <w:szCs w:val="20"/>
        </w:rPr>
      </w:pPr>
      <w:r w:rsidRPr="00355B8C">
        <w:rPr>
          <w:rFonts w:cs="Calibri"/>
          <w:b/>
          <w:bCs/>
          <w:szCs w:val="20"/>
        </w:rPr>
        <w:t>Acknowledgements</w:t>
      </w:r>
    </w:p>
    <w:p w14:paraId="4832723F" w14:textId="62236EC4" w:rsidR="001D6B7D" w:rsidRPr="00151B72" w:rsidRDefault="00151235" w:rsidP="00F5794B">
      <w:pPr>
        <w:rPr>
          <w:rFonts w:cs="Calibri"/>
          <w:color w:val="000000"/>
          <w:szCs w:val="20"/>
        </w:rPr>
      </w:pPr>
      <w:r w:rsidRPr="00151235">
        <w:rPr>
          <w:rFonts w:cs="Calibri"/>
          <w:szCs w:val="20"/>
        </w:rPr>
        <w:t>We would like to acknowledge</w:t>
      </w:r>
      <w:r w:rsidR="001D6B7D" w:rsidRPr="00151B72">
        <w:rPr>
          <w:rFonts w:cs="Calibri"/>
          <w:szCs w:val="20"/>
        </w:rPr>
        <w:t xml:space="preserve"> our colleagues on the Justisigns 2 project team: Carmen </w:t>
      </w:r>
      <w:r w:rsidR="001D6B7D" w:rsidRPr="00151B72">
        <w:rPr>
          <w:rFonts w:cs="Calibri"/>
          <w:color w:val="000000"/>
          <w:szCs w:val="20"/>
        </w:rPr>
        <w:t>Cabeza-Pereiro, David Casado-Neira, Brian Conway, Lucy Clark, Maribel Del-Pozo-Trivinõ, John Flanagan, Caitriona Freir, Lucy Garahan, Beatriz Longa-Alsono, Leonie O’Dowd, Silvia Pérez-Freire, Frankie Picron, and Haaris Sheikh.</w:t>
      </w:r>
    </w:p>
    <w:p w14:paraId="5255A43E" w14:textId="77777777" w:rsidR="001D6B7D" w:rsidRPr="00151B72" w:rsidRDefault="001D6B7D" w:rsidP="00F5794B">
      <w:pPr>
        <w:rPr>
          <w:rFonts w:cs="Calibri"/>
          <w:szCs w:val="20"/>
        </w:rPr>
      </w:pPr>
    </w:p>
    <w:p w14:paraId="3A8AB1B2" w14:textId="77777777" w:rsidR="001D6B7D" w:rsidRPr="00151B72" w:rsidRDefault="001D6B7D" w:rsidP="00F5794B">
      <w:pPr>
        <w:rPr>
          <w:rFonts w:cs="Calibri"/>
          <w:szCs w:val="20"/>
        </w:rPr>
      </w:pPr>
      <w:r w:rsidRPr="00151B72">
        <w:rPr>
          <w:rFonts w:cs="Calibri"/>
          <w:szCs w:val="20"/>
        </w:rPr>
        <w:t xml:space="preserve">This research was co-funded by the Erasmus+ Programme of the European Union. </w:t>
      </w:r>
    </w:p>
    <w:p w14:paraId="75CFC4F7" w14:textId="77777777" w:rsidR="001D6B7D" w:rsidRPr="00151B72" w:rsidRDefault="001D6B7D" w:rsidP="00F5794B">
      <w:pPr>
        <w:rPr>
          <w:rFonts w:cs="Calibri"/>
          <w:szCs w:val="20"/>
        </w:rPr>
      </w:pPr>
    </w:p>
    <w:p w14:paraId="3EC426A0" w14:textId="77777777" w:rsidR="001D6B7D" w:rsidRPr="00151B72" w:rsidRDefault="001D6B7D" w:rsidP="00F5794B">
      <w:pPr>
        <w:rPr>
          <w:rFonts w:cs="Calibri"/>
          <w:szCs w:val="20"/>
        </w:rPr>
      </w:pPr>
      <w:r w:rsidRPr="00151B72">
        <w:rPr>
          <w:rFonts w:cs="Calibri"/>
          <w:szCs w:val="20"/>
        </w:rPr>
        <w:t>This research was conducted with the financial support of Science Foundation Ireland at ADAPT, the SFI Research Centre for AI-Driven Digital Content Technology at Trinity College Dublin [13/RC/2106_P2]. For the purpose of Open Access, the author has applied a CC BY public copyright licence to any Author Accepted Manuscript version arising from this submission.</w:t>
      </w:r>
    </w:p>
    <w:p w14:paraId="060A9B60" w14:textId="77777777" w:rsidR="001D6B7D" w:rsidRPr="00151B72" w:rsidRDefault="001D6B7D" w:rsidP="0004679A">
      <w:pPr>
        <w:rPr>
          <w:rFonts w:cs="Calibri"/>
          <w:szCs w:val="20"/>
        </w:rPr>
      </w:pPr>
    </w:p>
    <w:p w14:paraId="2FD5AC6E" w14:textId="77777777" w:rsidR="001D6B7D" w:rsidRPr="00151B72" w:rsidRDefault="001D6B7D" w:rsidP="005D7F68">
      <w:pPr>
        <w:rPr>
          <w:rFonts w:cs="Calibri"/>
          <w:szCs w:val="20"/>
        </w:rPr>
      </w:pPr>
    </w:p>
    <w:p w14:paraId="7142E1E0" w14:textId="2A7BD214" w:rsidR="001D6B7D" w:rsidRPr="00151B72" w:rsidRDefault="001D6B7D" w:rsidP="00CD5BD0">
      <w:pPr>
        <w:rPr>
          <w:rFonts w:cs="Calibri"/>
          <w:b/>
          <w:bCs/>
          <w:szCs w:val="20"/>
        </w:rPr>
      </w:pPr>
      <w:r w:rsidRPr="00151B72">
        <w:rPr>
          <w:rFonts w:cs="Calibri"/>
          <w:b/>
          <w:bCs/>
          <w:szCs w:val="20"/>
        </w:rPr>
        <w:t>References</w:t>
      </w:r>
    </w:p>
    <w:p w14:paraId="2DE04AE8" w14:textId="3053E29D" w:rsidR="001D6B7D" w:rsidRPr="00151B72" w:rsidRDefault="001D6B7D" w:rsidP="00C83E10">
      <w:pPr>
        <w:pStyle w:val="EndNoteBibliography"/>
        <w:ind w:left="720" w:hanging="720"/>
        <w:rPr>
          <w:noProof/>
          <w:szCs w:val="20"/>
        </w:rPr>
      </w:pPr>
      <w:r w:rsidRPr="00151B72">
        <w:rPr>
          <w:noProof/>
          <w:szCs w:val="20"/>
        </w:rPr>
        <w:lastRenderedPageBreak/>
        <w:t xml:space="preserve">Admire, A., &amp; Ramirez, B. (2021) </w:t>
      </w:r>
      <w:r w:rsidR="00CD3018" w:rsidRPr="00151B72">
        <w:rPr>
          <w:noProof/>
          <w:szCs w:val="20"/>
        </w:rPr>
        <w:t>“</w:t>
      </w:r>
      <w:r w:rsidRPr="00151B72">
        <w:rPr>
          <w:noProof/>
          <w:szCs w:val="20"/>
        </w:rPr>
        <w:t>Violence and disability: Experiences and perceptions of victimization among deaf people</w:t>
      </w:r>
      <w:r w:rsidR="00CD3018" w:rsidRPr="00151B72">
        <w:rPr>
          <w:noProof/>
          <w:szCs w:val="20"/>
        </w:rPr>
        <w:t xml:space="preserve">”, </w:t>
      </w:r>
      <w:r w:rsidRPr="00151B72">
        <w:rPr>
          <w:i/>
          <w:noProof/>
          <w:szCs w:val="20"/>
        </w:rPr>
        <w:t xml:space="preserve">Journal of Interpersonal Violence, </w:t>
      </w:r>
      <w:r w:rsidR="00CD3018" w:rsidRPr="00151B72">
        <w:rPr>
          <w:iCs/>
          <w:noProof/>
          <w:szCs w:val="20"/>
        </w:rPr>
        <w:t xml:space="preserve">Vol </w:t>
      </w:r>
      <w:r w:rsidRPr="00151B72">
        <w:rPr>
          <w:iCs/>
          <w:noProof/>
          <w:szCs w:val="20"/>
        </w:rPr>
        <w:t>36</w:t>
      </w:r>
      <w:r w:rsidR="00CD3018" w:rsidRPr="00151B72">
        <w:rPr>
          <w:i/>
          <w:noProof/>
          <w:szCs w:val="20"/>
        </w:rPr>
        <w:t xml:space="preserve">, </w:t>
      </w:r>
      <w:r w:rsidR="00CD3018" w:rsidRPr="00151B72">
        <w:rPr>
          <w:noProof/>
          <w:szCs w:val="20"/>
        </w:rPr>
        <w:t xml:space="preserve">No. </w:t>
      </w:r>
      <w:r w:rsidRPr="00151B72">
        <w:rPr>
          <w:noProof/>
          <w:szCs w:val="20"/>
        </w:rPr>
        <w:t xml:space="preserve">1-2, </w:t>
      </w:r>
      <w:r w:rsidR="00CD3018" w:rsidRPr="00151B72">
        <w:rPr>
          <w:noProof/>
          <w:szCs w:val="20"/>
        </w:rPr>
        <w:t>pp1-25.</w:t>
      </w:r>
      <w:r w:rsidRPr="00151B72">
        <w:rPr>
          <w:noProof/>
          <w:szCs w:val="20"/>
        </w:rPr>
        <w:t xml:space="preserve">. </w:t>
      </w:r>
    </w:p>
    <w:p w14:paraId="10A67BC7" w14:textId="3036AD95" w:rsidR="001D6B7D" w:rsidRPr="00151B72" w:rsidRDefault="001D6B7D" w:rsidP="00C83E10">
      <w:pPr>
        <w:pStyle w:val="EndNoteBibliography"/>
        <w:ind w:left="720" w:hanging="720"/>
        <w:rPr>
          <w:noProof/>
          <w:szCs w:val="20"/>
        </w:rPr>
      </w:pPr>
      <w:r w:rsidRPr="00151B72">
        <w:rPr>
          <w:noProof/>
          <w:szCs w:val="20"/>
        </w:rPr>
        <w:t xml:space="preserve">Bontempo, K., Napier, J., Hayes, L., &amp; Brashear, V. (2014) </w:t>
      </w:r>
      <w:r w:rsidR="00CD3018" w:rsidRPr="00151B72">
        <w:rPr>
          <w:noProof/>
          <w:szCs w:val="20"/>
        </w:rPr>
        <w:t>“</w:t>
      </w:r>
      <w:r w:rsidRPr="00151B72">
        <w:rPr>
          <w:noProof/>
          <w:szCs w:val="20"/>
        </w:rPr>
        <w:t>Does Personality Matter? An international study of sign language interpreter disposition</w:t>
      </w:r>
      <w:r w:rsidR="00CD3018" w:rsidRPr="00151B72">
        <w:rPr>
          <w:noProof/>
          <w:szCs w:val="20"/>
        </w:rPr>
        <w:t>”,</w:t>
      </w:r>
      <w:r w:rsidRPr="00151B72">
        <w:rPr>
          <w:noProof/>
          <w:szCs w:val="20"/>
        </w:rPr>
        <w:t xml:space="preserve">  </w:t>
      </w:r>
      <w:r w:rsidRPr="00151B72">
        <w:rPr>
          <w:i/>
          <w:noProof/>
          <w:szCs w:val="20"/>
        </w:rPr>
        <w:t xml:space="preserve">Translating and Interpreting, </w:t>
      </w:r>
      <w:r w:rsidR="00CD3018" w:rsidRPr="00151B72">
        <w:rPr>
          <w:iCs/>
          <w:noProof/>
          <w:szCs w:val="20"/>
        </w:rPr>
        <w:t xml:space="preserve">Vol </w:t>
      </w:r>
      <w:r w:rsidRPr="00151B72">
        <w:rPr>
          <w:iCs/>
          <w:noProof/>
          <w:szCs w:val="20"/>
        </w:rPr>
        <w:t>6</w:t>
      </w:r>
      <w:r w:rsidR="00CD3018" w:rsidRPr="00151B72">
        <w:rPr>
          <w:iCs/>
          <w:noProof/>
          <w:szCs w:val="20"/>
        </w:rPr>
        <w:t>,</w:t>
      </w:r>
      <w:r w:rsidR="00CD3018" w:rsidRPr="00151B72">
        <w:rPr>
          <w:noProof/>
          <w:szCs w:val="20"/>
        </w:rPr>
        <w:t xml:space="preserve"> No. </w:t>
      </w:r>
      <w:r w:rsidRPr="00151B72">
        <w:rPr>
          <w:noProof/>
          <w:szCs w:val="20"/>
        </w:rPr>
        <w:t>1,</w:t>
      </w:r>
      <w:r w:rsidR="00CD3018" w:rsidRPr="00151B72">
        <w:rPr>
          <w:noProof/>
          <w:szCs w:val="20"/>
        </w:rPr>
        <w:t xml:space="preserve"> pp</w:t>
      </w:r>
      <w:r w:rsidRPr="00151B72">
        <w:rPr>
          <w:noProof/>
          <w:szCs w:val="20"/>
        </w:rPr>
        <w:t xml:space="preserve"> 23-47. </w:t>
      </w:r>
    </w:p>
    <w:p w14:paraId="5DE73E6F" w14:textId="4BA1433B" w:rsidR="001D6B7D" w:rsidRPr="00151B72" w:rsidRDefault="001D6B7D" w:rsidP="00894B5A">
      <w:pPr>
        <w:pStyle w:val="EndNoteBibliography"/>
        <w:ind w:left="720" w:hanging="720"/>
        <w:rPr>
          <w:noProof/>
          <w:szCs w:val="20"/>
        </w:rPr>
      </w:pPr>
      <w:r w:rsidRPr="00151B72">
        <w:rPr>
          <w:noProof/>
          <w:szCs w:val="20"/>
        </w:rPr>
        <w:t xml:space="preserve">Cabeza-Pereiro, C., Casado-Neira, D., Conway, B., Clark, L., Del-Pozo-Trivinõ, M., Flanagan, J., </w:t>
      </w:r>
      <w:r w:rsidR="00894B5A" w:rsidRPr="00894B5A">
        <w:rPr>
          <w:noProof/>
          <w:szCs w:val="20"/>
          <w:lang w:val="en-GB"/>
        </w:rPr>
        <w:t>Freir, C</w:t>
      </w:r>
      <w:r w:rsidR="00894B5A" w:rsidRPr="00151B72">
        <w:rPr>
          <w:noProof/>
          <w:szCs w:val="20"/>
          <w:lang w:val="en-GB"/>
        </w:rPr>
        <w:t xml:space="preserve">., </w:t>
      </w:r>
      <w:r w:rsidR="00894B5A" w:rsidRPr="00894B5A">
        <w:rPr>
          <w:noProof/>
          <w:szCs w:val="20"/>
          <w:lang w:val="en-GB"/>
        </w:rPr>
        <w:t xml:space="preserve"> Garahan, L</w:t>
      </w:r>
      <w:r w:rsidR="00894B5A" w:rsidRPr="00151B72">
        <w:rPr>
          <w:noProof/>
          <w:szCs w:val="20"/>
          <w:lang w:val="en-GB"/>
        </w:rPr>
        <w:t xml:space="preserve">., </w:t>
      </w:r>
      <w:r w:rsidR="00894B5A" w:rsidRPr="00894B5A">
        <w:rPr>
          <w:noProof/>
          <w:szCs w:val="20"/>
          <w:lang w:val="en-GB"/>
        </w:rPr>
        <w:t>Leeson, L</w:t>
      </w:r>
      <w:r w:rsidR="00894B5A" w:rsidRPr="00151B72">
        <w:rPr>
          <w:noProof/>
          <w:szCs w:val="20"/>
          <w:lang w:val="en-GB"/>
        </w:rPr>
        <w:t xml:space="preserve">., </w:t>
      </w:r>
      <w:r w:rsidR="00894B5A" w:rsidRPr="00894B5A">
        <w:rPr>
          <w:noProof/>
          <w:szCs w:val="20"/>
          <w:lang w:val="en-GB"/>
        </w:rPr>
        <w:t>Longa-Alsono, B</w:t>
      </w:r>
      <w:r w:rsidR="00894B5A" w:rsidRPr="00151B72">
        <w:rPr>
          <w:noProof/>
          <w:szCs w:val="20"/>
          <w:lang w:val="en-GB"/>
        </w:rPr>
        <w:t xml:space="preserve">., </w:t>
      </w:r>
      <w:r w:rsidR="00894B5A" w:rsidRPr="00894B5A">
        <w:rPr>
          <w:noProof/>
          <w:szCs w:val="20"/>
          <w:lang w:val="en-GB"/>
        </w:rPr>
        <w:t>Napier, J</w:t>
      </w:r>
      <w:r w:rsidR="00894B5A" w:rsidRPr="00151B72">
        <w:rPr>
          <w:noProof/>
          <w:szCs w:val="20"/>
          <w:lang w:val="en-GB"/>
        </w:rPr>
        <w:t>.,</w:t>
      </w:r>
      <w:r w:rsidR="00894B5A" w:rsidRPr="00151B72">
        <w:rPr>
          <w:noProof/>
          <w:szCs w:val="20"/>
        </w:rPr>
        <w:t xml:space="preserve"> </w:t>
      </w:r>
      <w:r w:rsidR="00894B5A" w:rsidRPr="00894B5A">
        <w:rPr>
          <w:noProof/>
          <w:szCs w:val="20"/>
          <w:lang w:val="en-GB"/>
        </w:rPr>
        <w:t>O’Dowd, L</w:t>
      </w:r>
      <w:r w:rsidR="00894B5A" w:rsidRPr="00151B72">
        <w:rPr>
          <w:noProof/>
          <w:szCs w:val="20"/>
          <w:lang w:val="en-GB"/>
        </w:rPr>
        <w:t>.,</w:t>
      </w:r>
      <w:r w:rsidR="00894B5A" w:rsidRPr="00151B72">
        <w:rPr>
          <w:noProof/>
          <w:szCs w:val="20"/>
        </w:rPr>
        <w:t xml:space="preserve"> </w:t>
      </w:r>
      <w:r w:rsidR="00894B5A" w:rsidRPr="00894B5A">
        <w:rPr>
          <w:noProof/>
          <w:szCs w:val="20"/>
          <w:lang w:val="en-GB"/>
        </w:rPr>
        <w:t>Pérez-Freire, S</w:t>
      </w:r>
      <w:r w:rsidR="00894B5A" w:rsidRPr="00151B72">
        <w:rPr>
          <w:noProof/>
          <w:szCs w:val="20"/>
          <w:lang w:val="en-GB"/>
        </w:rPr>
        <w:t>.,</w:t>
      </w:r>
      <w:r w:rsidR="00894B5A" w:rsidRPr="00151B72">
        <w:rPr>
          <w:noProof/>
          <w:szCs w:val="20"/>
        </w:rPr>
        <w:t xml:space="preserve"> </w:t>
      </w:r>
      <w:r w:rsidR="00894B5A" w:rsidRPr="00894B5A">
        <w:rPr>
          <w:noProof/>
          <w:szCs w:val="20"/>
          <w:lang w:val="en-GB"/>
        </w:rPr>
        <w:t>Quigley, L</w:t>
      </w:r>
      <w:r w:rsidR="00894B5A" w:rsidRPr="00151B72">
        <w:rPr>
          <w:noProof/>
          <w:szCs w:val="20"/>
          <w:lang w:val="en-GB"/>
        </w:rPr>
        <w:t>.,</w:t>
      </w:r>
      <w:r w:rsidR="00894B5A" w:rsidRPr="00151B72">
        <w:rPr>
          <w:noProof/>
          <w:szCs w:val="20"/>
        </w:rPr>
        <w:t xml:space="preserve"> &amp; </w:t>
      </w:r>
      <w:r w:rsidR="00894B5A" w:rsidRPr="00151B72">
        <w:rPr>
          <w:noProof/>
          <w:szCs w:val="20"/>
          <w:lang w:val="en-GB"/>
        </w:rPr>
        <w:t>Sheikh, H.</w:t>
      </w:r>
      <w:r w:rsidR="00894B5A" w:rsidRPr="00151B72">
        <w:rPr>
          <w:iCs/>
          <w:noProof/>
          <w:szCs w:val="20"/>
        </w:rPr>
        <w:t>(2023)</w:t>
      </w:r>
      <w:r w:rsidR="00894B5A" w:rsidRPr="00151B72">
        <w:rPr>
          <w:i/>
          <w:noProof/>
          <w:szCs w:val="20"/>
        </w:rPr>
        <w:t xml:space="preserve"> </w:t>
      </w:r>
      <w:r w:rsidRPr="00151B72">
        <w:rPr>
          <w:i/>
          <w:noProof/>
          <w:szCs w:val="20"/>
        </w:rPr>
        <w:t>Silent Harm: A training manual for service providers and interpreters who work with deaf, refugee, and migrant women and girls who have experienced gender-based violence</w:t>
      </w:r>
      <w:r w:rsidR="00CD3018" w:rsidRPr="00151B72">
        <w:rPr>
          <w:noProof/>
          <w:szCs w:val="20"/>
        </w:rPr>
        <w:t>,</w:t>
      </w:r>
      <w:r w:rsidRPr="00151B72">
        <w:rPr>
          <w:noProof/>
          <w:szCs w:val="20"/>
        </w:rPr>
        <w:t xml:space="preserve"> Dublin</w:t>
      </w:r>
      <w:r w:rsidR="00CD3018" w:rsidRPr="00151B72">
        <w:rPr>
          <w:noProof/>
          <w:szCs w:val="20"/>
        </w:rPr>
        <w:t>,</w:t>
      </w:r>
      <w:r w:rsidRPr="00151B72">
        <w:rPr>
          <w:noProof/>
          <w:szCs w:val="20"/>
        </w:rPr>
        <w:t xml:space="preserve"> Interesource Group Ireland Limited.</w:t>
      </w:r>
    </w:p>
    <w:p w14:paraId="0B530A8F" w14:textId="17555B7D" w:rsidR="001D6B7D" w:rsidRPr="00151B72" w:rsidRDefault="001D6B7D" w:rsidP="00C83E10">
      <w:pPr>
        <w:pStyle w:val="EndNoteBibliography"/>
        <w:ind w:left="720" w:hanging="720"/>
        <w:rPr>
          <w:noProof/>
          <w:szCs w:val="20"/>
        </w:rPr>
      </w:pPr>
      <w:r w:rsidRPr="00151B72">
        <w:rPr>
          <w:noProof/>
          <w:szCs w:val="20"/>
        </w:rPr>
        <w:t>Council of Europe Convention on preventing and combating violence against women and domestic violence (CETS No. 210)</w:t>
      </w:r>
      <w:r w:rsidR="00CD3018" w:rsidRPr="00151B72">
        <w:rPr>
          <w:noProof/>
          <w:szCs w:val="20"/>
        </w:rPr>
        <w:t xml:space="preserve"> (2011), Strasbourg, Council of Europe.</w:t>
      </w:r>
    </w:p>
    <w:p w14:paraId="0BC8C873" w14:textId="54E4FA0D" w:rsidR="001D6B7D" w:rsidRPr="00151B72" w:rsidRDefault="001D6B7D" w:rsidP="00C83E10">
      <w:pPr>
        <w:pStyle w:val="EndNoteBibliography"/>
        <w:ind w:left="720" w:hanging="720"/>
        <w:rPr>
          <w:noProof/>
          <w:szCs w:val="20"/>
        </w:rPr>
      </w:pPr>
      <w:r w:rsidRPr="00151B72">
        <w:rPr>
          <w:noProof/>
          <w:szCs w:val="20"/>
        </w:rPr>
        <w:t>De Meulder, M., &amp; Haualand, H. (2019)</w:t>
      </w:r>
      <w:r w:rsidR="00CD3018" w:rsidRPr="00151B72">
        <w:rPr>
          <w:noProof/>
          <w:szCs w:val="20"/>
        </w:rPr>
        <w:t xml:space="preserve"> </w:t>
      </w:r>
      <w:r w:rsidRPr="00151B72">
        <w:rPr>
          <w:noProof/>
          <w:szCs w:val="20"/>
        </w:rPr>
        <w:t xml:space="preserve"> </w:t>
      </w:r>
      <w:r w:rsidR="00CD3018" w:rsidRPr="00151B72">
        <w:rPr>
          <w:noProof/>
          <w:szCs w:val="20"/>
        </w:rPr>
        <w:t>“</w:t>
      </w:r>
      <w:r w:rsidRPr="00151B72">
        <w:rPr>
          <w:noProof/>
          <w:szCs w:val="20"/>
        </w:rPr>
        <w:t>Sign language interpreting services: A quick fix for inclusion?</w:t>
      </w:r>
      <w:r w:rsidR="00CD3018" w:rsidRPr="00151B72">
        <w:rPr>
          <w:noProof/>
          <w:szCs w:val="20"/>
        </w:rPr>
        <w:t>”,</w:t>
      </w:r>
      <w:r w:rsidRPr="00151B72">
        <w:rPr>
          <w:noProof/>
          <w:szCs w:val="20"/>
        </w:rPr>
        <w:t xml:space="preserve"> </w:t>
      </w:r>
      <w:r w:rsidRPr="00151B72">
        <w:rPr>
          <w:i/>
          <w:noProof/>
          <w:szCs w:val="20"/>
        </w:rPr>
        <w:t>Translation and interpreting Studies. The Journal of the American Translation and Interpreting Studies Association</w:t>
      </w:r>
      <w:r w:rsidRPr="00151B72">
        <w:rPr>
          <w:noProof/>
          <w:szCs w:val="20"/>
        </w:rPr>
        <w:t>. doi:https://doi.org/10.1075/tis.18008.dem</w:t>
      </w:r>
    </w:p>
    <w:p w14:paraId="30BE959B" w14:textId="066BA3A4" w:rsidR="001D6B7D" w:rsidRPr="00151B72" w:rsidRDefault="001D6B7D" w:rsidP="00C83E10">
      <w:pPr>
        <w:pStyle w:val="EndNoteBibliography"/>
        <w:ind w:left="720" w:hanging="720"/>
        <w:rPr>
          <w:noProof/>
          <w:szCs w:val="20"/>
        </w:rPr>
      </w:pPr>
      <w:r w:rsidRPr="00151B72">
        <w:rPr>
          <w:noProof/>
          <w:szCs w:val="20"/>
        </w:rPr>
        <w:t xml:space="preserve">Dublin Rape Crisis Centre. (2024) </w:t>
      </w:r>
      <w:r w:rsidRPr="00151B72">
        <w:rPr>
          <w:i/>
          <w:noProof/>
          <w:szCs w:val="20"/>
        </w:rPr>
        <w:t>Interpreting in Situations of Domestic, Sexual and Gender-based Violence</w:t>
      </w:r>
      <w:r w:rsidR="00CD3018" w:rsidRPr="00151B72">
        <w:rPr>
          <w:noProof/>
          <w:szCs w:val="20"/>
        </w:rPr>
        <w:t>,</w:t>
      </w:r>
      <w:r w:rsidRPr="00151B72">
        <w:rPr>
          <w:noProof/>
          <w:szCs w:val="20"/>
        </w:rPr>
        <w:t xml:space="preserve"> Dublin</w:t>
      </w:r>
      <w:r w:rsidR="00CD3018" w:rsidRPr="00151B72">
        <w:rPr>
          <w:noProof/>
          <w:szCs w:val="20"/>
        </w:rPr>
        <w:t>,</w:t>
      </w:r>
      <w:r w:rsidRPr="00151B72">
        <w:rPr>
          <w:noProof/>
          <w:szCs w:val="20"/>
        </w:rPr>
        <w:t xml:space="preserve"> Dublin Rape Crisis Centre.</w:t>
      </w:r>
    </w:p>
    <w:p w14:paraId="1A7E2D22" w14:textId="7401FE70" w:rsidR="001D6B7D" w:rsidRPr="00151B72" w:rsidRDefault="001D6B7D" w:rsidP="00C83E10">
      <w:pPr>
        <w:pStyle w:val="EndNoteBibliography"/>
        <w:ind w:left="720" w:hanging="720"/>
        <w:rPr>
          <w:noProof/>
          <w:szCs w:val="20"/>
        </w:rPr>
      </w:pPr>
      <w:r w:rsidRPr="00151B72">
        <w:rPr>
          <w:noProof/>
          <w:szCs w:val="20"/>
        </w:rPr>
        <w:t xml:space="preserve">Directive 2012/29/EU of the European Parliament and of the Council of 25 October 2012 establishing minimum standards on the rights, support and protection of victims of crime, and replacing Council Framework Decision 2001/220/JHA, </w:t>
      </w:r>
      <w:r w:rsidR="00CD3018" w:rsidRPr="00151B72">
        <w:rPr>
          <w:noProof/>
          <w:szCs w:val="20"/>
        </w:rPr>
        <w:t xml:space="preserve">Directive 2012/29/EU of the European Parliament and of the Council. (2012), Brussels, Official Journal of the European Union. </w:t>
      </w:r>
    </w:p>
    <w:p w14:paraId="75963250" w14:textId="21A373FC" w:rsidR="001D6B7D" w:rsidRPr="00151B72" w:rsidRDefault="001D6B7D" w:rsidP="00C83E10">
      <w:pPr>
        <w:pStyle w:val="EndNoteBibliography"/>
        <w:ind w:left="720" w:hanging="720"/>
        <w:rPr>
          <w:noProof/>
          <w:szCs w:val="20"/>
        </w:rPr>
      </w:pPr>
      <w:r w:rsidRPr="00151B72">
        <w:rPr>
          <w:noProof/>
          <w:szCs w:val="20"/>
        </w:rPr>
        <w:t>Regulation (EU) 2016/679 of the European Parliament and of the Council of 27 April 2016 on the  protection of natural persons with regard to the processing of personal data and on the free movement of such data, and repealing Directive 95/46/EC (General Data Protection Regulation),  (2016)</w:t>
      </w:r>
      <w:r w:rsidR="00CD3018" w:rsidRPr="00151B72">
        <w:rPr>
          <w:noProof/>
          <w:szCs w:val="20"/>
        </w:rPr>
        <w:t>, Brussels, Official Journal of the European Union.</w:t>
      </w:r>
    </w:p>
    <w:p w14:paraId="1E151369" w14:textId="087F3F71" w:rsidR="001D6B7D" w:rsidRPr="00151B72" w:rsidRDefault="001D6B7D" w:rsidP="00C83E10">
      <w:pPr>
        <w:pStyle w:val="EndNoteBibliography"/>
        <w:ind w:left="720" w:hanging="720"/>
        <w:rPr>
          <w:noProof/>
          <w:szCs w:val="20"/>
        </w:rPr>
      </w:pPr>
      <w:r w:rsidRPr="00151B72">
        <w:rPr>
          <w:noProof/>
          <w:szCs w:val="20"/>
        </w:rPr>
        <w:t xml:space="preserve">Flynn, S., Lakkshme Sundaresan, S., Holt, S., Price, A., &amp; O’Neill, G. (2024) </w:t>
      </w:r>
      <w:r w:rsidRPr="00151B72">
        <w:rPr>
          <w:i/>
          <w:noProof/>
          <w:szCs w:val="20"/>
        </w:rPr>
        <w:t>Disabled women’s experiences of intimate partner abuse in Ireland:Research project report</w:t>
      </w:r>
      <w:r w:rsidR="00CD3018" w:rsidRPr="00151B72">
        <w:rPr>
          <w:noProof/>
          <w:szCs w:val="20"/>
        </w:rPr>
        <w:t>, Dublin, Womens Aid Ireland.</w:t>
      </w:r>
    </w:p>
    <w:p w14:paraId="54BA28DA" w14:textId="77777777" w:rsidR="00CD01AF" w:rsidRPr="00151B72" w:rsidRDefault="001D6B7D" w:rsidP="00CD01AF">
      <w:pPr>
        <w:pStyle w:val="EndNoteBibliography"/>
        <w:ind w:left="720" w:hanging="720"/>
        <w:rPr>
          <w:noProof/>
          <w:szCs w:val="20"/>
        </w:rPr>
      </w:pPr>
      <w:r w:rsidRPr="00151B72">
        <w:rPr>
          <w:noProof/>
          <w:szCs w:val="20"/>
        </w:rPr>
        <w:t xml:space="preserve">Napier, J., Clark, L., Leeson, L., &amp; Quigley, L. (2024) “I faced so many barriers”: Access to support for deaf female survivors of domestic violence in the UK. </w:t>
      </w:r>
      <w:r w:rsidRPr="00151B72">
        <w:rPr>
          <w:i/>
          <w:noProof/>
          <w:szCs w:val="20"/>
        </w:rPr>
        <w:t xml:space="preserve">Just. Journal of Language Rights and Minorities., </w:t>
      </w:r>
      <w:r w:rsidR="00CD3018" w:rsidRPr="00151B72">
        <w:rPr>
          <w:iCs/>
          <w:noProof/>
          <w:szCs w:val="20"/>
        </w:rPr>
        <w:t xml:space="preserve">Vol </w:t>
      </w:r>
      <w:r w:rsidRPr="00151B72">
        <w:rPr>
          <w:i/>
          <w:noProof/>
          <w:szCs w:val="20"/>
        </w:rPr>
        <w:t>3</w:t>
      </w:r>
      <w:r w:rsidR="00CD3018" w:rsidRPr="00151B72">
        <w:rPr>
          <w:noProof/>
          <w:szCs w:val="20"/>
        </w:rPr>
        <w:t xml:space="preserve">, No. </w:t>
      </w:r>
      <w:r w:rsidRPr="00151B72">
        <w:rPr>
          <w:noProof/>
          <w:szCs w:val="20"/>
        </w:rPr>
        <w:t xml:space="preserve">1, </w:t>
      </w:r>
      <w:r w:rsidR="00CD3018" w:rsidRPr="00151B72">
        <w:rPr>
          <w:noProof/>
          <w:szCs w:val="20"/>
        </w:rPr>
        <w:t xml:space="preserve">pp </w:t>
      </w:r>
      <w:r w:rsidRPr="00151B72">
        <w:rPr>
          <w:noProof/>
          <w:szCs w:val="20"/>
        </w:rPr>
        <w:t xml:space="preserve">97-141. </w:t>
      </w:r>
    </w:p>
    <w:p w14:paraId="0B45F83E" w14:textId="285B618D" w:rsidR="001D6B7D" w:rsidRPr="00151B72" w:rsidRDefault="001D6B7D" w:rsidP="00CD01AF">
      <w:pPr>
        <w:pStyle w:val="EndNoteBibliography"/>
        <w:ind w:left="720" w:hanging="720"/>
        <w:rPr>
          <w:noProof/>
          <w:szCs w:val="20"/>
        </w:rPr>
      </w:pPr>
      <w:r w:rsidRPr="00151B72">
        <w:rPr>
          <w:noProof/>
          <w:szCs w:val="20"/>
        </w:rPr>
        <w:t xml:space="preserve">Napier, J., Leeson, L., Del-Pozo-Triviño, M., Casado-Neira, D., Sheikh, H., Harold, G., </w:t>
      </w:r>
      <w:r w:rsidR="00CD01AF" w:rsidRPr="00CD01AF">
        <w:rPr>
          <w:i/>
          <w:noProof/>
          <w:szCs w:val="20"/>
          <w:lang w:val="en-GB"/>
        </w:rPr>
        <w:t>Clark, L</w:t>
      </w:r>
      <w:r w:rsidR="00CD01AF" w:rsidRPr="00151B72">
        <w:rPr>
          <w:i/>
          <w:noProof/>
          <w:szCs w:val="20"/>
          <w:lang w:val="en-GB"/>
        </w:rPr>
        <w:t>.,</w:t>
      </w:r>
      <w:r w:rsidR="00CD01AF" w:rsidRPr="00CD01AF">
        <w:rPr>
          <w:i/>
          <w:noProof/>
          <w:szCs w:val="20"/>
          <w:lang w:val="en-GB"/>
        </w:rPr>
        <w:t xml:space="preserve"> Quigley, L</w:t>
      </w:r>
      <w:r w:rsidR="00CD01AF" w:rsidRPr="00151B72">
        <w:rPr>
          <w:i/>
          <w:noProof/>
          <w:szCs w:val="20"/>
          <w:lang w:val="en-GB"/>
        </w:rPr>
        <w:t>.,</w:t>
      </w:r>
      <w:r w:rsidR="00CD01AF" w:rsidRPr="00CD01AF">
        <w:rPr>
          <w:i/>
          <w:noProof/>
          <w:szCs w:val="20"/>
          <w:lang w:val="en-GB"/>
        </w:rPr>
        <w:t xml:space="preserve"> O’Dowd, L</w:t>
      </w:r>
      <w:r w:rsidR="00CD01AF" w:rsidRPr="00151B72">
        <w:rPr>
          <w:i/>
          <w:noProof/>
          <w:szCs w:val="20"/>
          <w:lang w:val="en-GB"/>
        </w:rPr>
        <w:t>.,</w:t>
      </w:r>
      <w:r w:rsidR="00CD01AF" w:rsidRPr="00CD01AF">
        <w:rPr>
          <w:i/>
          <w:noProof/>
          <w:szCs w:val="20"/>
          <w:lang w:val="en-GB"/>
        </w:rPr>
        <w:t xml:space="preserve"> Longa-Alonso, B</w:t>
      </w:r>
      <w:r w:rsidR="00CD01AF" w:rsidRPr="00151B72">
        <w:rPr>
          <w:i/>
          <w:noProof/>
          <w:szCs w:val="20"/>
          <w:lang w:val="en-GB"/>
        </w:rPr>
        <w:t>.,</w:t>
      </w:r>
      <w:r w:rsidR="00CD01AF" w:rsidRPr="00151B72">
        <w:rPr>
          <w:noProof/>
          <w:szCs w:val="20"/>
        </w:rPr>
        <w:t xml:space="preserve"> </w:t>
      </w:r>
      <w:r w:rsidR="00CD01AF" w:rsidRPr="00CD01AF">
        <w:rPr>
          <w:i/>
          <w:noProof/>
          <w:szCs w:val="20"/>
          <w:lang w:val="en-GB"/>
        </w:rPr>
        <w:t>Pérez-Freire, S</w:t>
      </w:r>
      <w:r w:rsidR="00CD01AF" w:rsidRPr="00151B72">
        <w:rPr>
          <w:i/>
          <w:noProof/>
          <w:szCs w:val="20"/>
          <w:lang w:val="en-GB"/>
        </w:rPr>
        <w:t>. &amp;</w:t>
      </w:r>
      <w:r w:rsidR="00CD01AF" w:rsidRPr="00CD01AF">
        <w:rPr>
          <w:i/>
          <w:noProof/>
          <w:szCs w:val="20"/>
          <w:lang w:val="en-GB"/>
        </w:rPr>
        <w:t xml:space="preserve"> </w:t>
      </w:r>
      <w:r w:rsidRPr="00151B72">
        <w:rPr>
          <w:noProof/>
          <w:szCs w:val="20"/>
        </w:rPr>
        <w:t xml:space="preserve">Cabeza-Pereiro, C. (2023). </w:t>
      </w:r>
      <w:r w:rsidRPr="00151B72">
        <w:rPr>
          <w:i/>
          <w:noProof/>
          <w:szCs w:val="20"/>
        </w:rPr>
        <w:t>Silent Harm. A review of support for survivors of gender-based violence</w:t>
      </w:r>
      <w:r w:rsidR="00CD3018" w:rsidRPr="00151B72">
        <w:rPr>
          <w:noProof/>
          <w:szCs w:val="20"/>
        </w:rPr>
        <w:t xml:space="preserve">, CLCS/CDS Monograph Series </w:t>
      </w:r>
      <w:r w:rsidRPr="00151B72">
        <w:rPr>
          <w:noProof/>
          <w:szCs w:val="20"/>
        </w:rPr>
        <w:t>Vol 6</w:t>
      </w:r>
      <w:r w:rsidR="00CD3018" w:rsidRPr="00151B72">
        <w:rPr>
          <w:noProof/>
          <w:szCs w:val="20"/>
        </w:rPr>
        <w:t>,</w:t>
      </w:r>
      <w:r w:rsidRPr="00151B72">
        <w:rPr>
          <w:noProof/>
          <w:szCs w:val="20"/>
        </w:rPr>
        <w:t xml:space="preserve"> Dublin</w:t>
      </w:r>
      <w:r w:rsidR="00CD3018" w:rsidRPr="00151B72">
        <w:rPr>
          <w:noProof/>
          <w:szCs w:val="20"/>
        </w:rPr>
        <w:t>,</w:t>
      </w:r>
      <w:r w:rsidRPr="00151B72">
        <w:rPr>
          <w:noProof/>
          <w:szCs w:val="20"/>
        </w:rPr>
        <w:t xml:space="preserve"> Trinity College Dublin</w:t>
      </w:r>
      <w:r w:rsidR="00CD3018" w:rsidRPr="00151B72">
        <w:rPr>
          <w:noProof/>
          <w:szCs w:val="20"/>
        </w:rPr>
        <w:t>.</w:t>
      </w:r>
      <w:r w:rsidRPr="00151B72">
        <w:rPr>
          <w:noProof/>
          <w:szCs w:val="20"/>
        </w:rPr>
        <w:t xml:space="preserve"> </w:t>
      </w:r>
    </w:p>
    <w:p w14:paraId="16511A33" w14:textId="5AB382AB" w:rsidR="001D6B7D" w:rsidRPr="00151B72" w:rsidRDefault="001D6B7D" w:rsidP="00C83E10">
      <w:pPr>
        <w:pStyle w:val="EndNoteBibliography"/>
        <w:ind w:left="720" w:hanging="720"/>
        <w:rPr>
          <w:noProof/>
          <w:szCs w:val="20"/>
        </w:rPr>
      </w:pPr>
      <w:r w:rsidRPr="00151B72">
        <w:rPr>
          <w:noProof/>
          <w:szCs w:val="20"/>
        </w:rPr>
        <w:t xml:space="preserve">Napier, J., Webb, S., &amp; Adam, R. (Eds.). (2024) </w:t>
      </w:r>
      <w:r w:rsidRPr="00151B72">
        <w:rPr>
          <w:i/>
          <w:noProof/>
          <w:szCs w:val="20"/>
        </w:rPr>
        <w:t>International Perspectives on Sign Language Translator and Interpreter Education (2nd edition)</w:t>
      </w:r>
      <w:r w:rsidR="00CD3018" w:rsidRPr="00151B72">
        <w:rPr>
          <w:noProof/>
          <w:szCs w:val="20"/>
        </w:rPr>
        <w:t>,</w:t>
      </w:r>
      <w:r w:rsidRPr="00151B72">
        <w:rPr>
          <w:noProof/>
          <w:szCs w:val="20"/>
        </w:rPr>
        <w:t>Washington DC</w:t>
      </w:r>
      <w:r w:rsidR="00CD3018" w:rsidRPr="00151B72">
        <w:rPr>
          <w:noProof/>
          <w:szCs w:val="20"/>
        </w:rPr>
        <w:t>,</w:t>
      </w:r>
      <w:r w:rsidRPr="00151B72">
        <w:rPr>
          <w:noProof/>
          <w:szCs w:val="20"/>
        </w:rPr>
        <w:t xml:space="preserve"> Gallaudet University Press.</w:t>
      </w:r>
    </w:p>
    <w:p w14:paraId="4066C86E" w14:textId="2838B020" w:rsidR="001D6B7D" w:rsidRPr="00151B72" w:rsidRDefault="001D6B7D" w:rsidP="00C83E10">
      <w:pPr>
        <w:pStyle w:val="EndNoteBibliography"/>
        <w:ind w:left="720" w:hanging="720"/>
        <w:rPr>
          <w:noProof/>
          <w:szCs w:val="20"/>
        </w:rPr>
      </w:pPr>
      <w:r w:rsidRPr="00151B72">
        <w:rPr>
          <w:noProof/>
          <w:szCs w:val="20"/>
        </w:rPr>
        <w:t xml:space="preserve">Opsahl, N. l., &amp; Pick, L. H. (2017) Understanding the sexual assault disclosure experiences of deaf women. </w:t>
      </w:r>
      <w:r w:rsidRPr="00151B72">
        <w:rPr>
          <w:i/>
          <w:noProof/>
          <w:szCs w:val="20"/>
        </w:rPr>
        <w:t>JADARA</w:t>
      </w:r>
      <w:r w:rsidRPr="00151B72">
        <w:rPr>
          <w:iCs/>
          <w:noProof/>
          <w:szCs w:val="20"/>
        </w:rPr>
        <w:t xml:space="preserve">, </w:t>
      </w:r>
      <w:r w:rsidR="00CD3018" w:rsidRPr="00151B72">
        <w:rPr>
          <w:iCs/>
          <w:noProof/>
          <w:szCs w:val="20"/>
        </w:rPr>
        <w:t xml:space="preserve">Vol </w:t>
      </w:r>
      <w:r w:rsidRPr="00151B72">
        <w:rPr>
          <w:iCs/>
          <w:noProof/>
          <w:szCs w:val="20"/>
        </w:rPr>
        <w:t>51</w:t>
      </w:r>
      <w:r w:rsidR="00CD3018" w:rsidRPr="00151B72">
        <w:rPr>
          <w:iCs/>
          <w:noProof/>
          <w:szCs w:val="20"/>
        </w:rPr>
        <w:t>, No.</w:t>
      </w:r>
      <w:r w:rsidR="00CD3018" w:rsidRPr="00151B72">
        <w:rPr>
          <w:i/>
          <w:noProof/>
          <w:szCs w:val="20"/>
        </w:rPr>
        <w:t xml:space="preserve"> </w:t>
      </w:r>
      <w:r w:rsidRPr="00151B72">
        <w:rPr>
          <w:noProof/>
          <w:szCs w:val="20"/>
        </w:rPr>
        <w:t>3,</w:t>
      </w:r>
      <w:r w:rsidR="00CD3018" w:rsidRPr="00151B72">
        <w:rPr>
          <w:noProof/>
          <w:szCs w:val="20"/>
        </w:rPr>
        <w:t xml:space="preserve"> pp</w:t>
      </w:r>
      <w:r w:rsidRPr="00151B72">
        <w:rPr>
          <w:noProof/>
          <w:szCs w:val="20"/>
        </w:rPr>
        <w:t xml:space="preserve"> 44–67. </w:t>
      </w:r>
    </w:p>
    <w:p w14:paraId="4223FCC0" w14:textId="16199EAB" w:rsidR="001D6B7D" w:rsidRPr="00151B72" w:rsidRDefault="001D6B7D" w:rsidP="00C83E10">
      <w:pPr>
        <w:pStyle w:val="EndNoteBibliography"/>
        <w:ind w:left="720" w:hanging="720"/>
        <w:rPr>
          <w:noProof/>
          <w:szCs w:val="20"/>
        </w:rPr>
      </w:pPr>
      <w:r w:rsidRPr="00151B72">
        <w:rPr>
          <w:noProof/>
          <w:szCs w:val="20"/>
        </w:rPr>
        <w:t xml:space="preserve">Sheridan, S., Lynch, T., &amp; Leeson, L. (2024) </w:t>
      </w:r>
      <w:r w:rsidR="00CD3018" w:rsidRPr="00151B72">
        <w:rPr>
          <w:noProof/>
          <w:szCs w:val="20"/>
        </w:rPr>
        <w:t>“</w:t>
      </w:r>
      <w:r w:rsidRPr="00151B72">
        <w:rPr>
          <w:noProof/>
          <w:szCs w:val="20"/>
        </w:rPr>
        <w:t>Sign Language Interpreting in Ireland</w:t>
      </w:r>
      <w:r w:rsidR="00CD3018" w:rsidRPr="00151B72">
        <w:rPr>
          <w:noProof/>
          <w:szCs w:val="20"/>
        </w:rPr>
        <w:t xml:space="preserve">”, </w:t>
      </w:r>
      <w:r w:rsidRPr="00151B72">
        <w:rPr>
          <w:noProof/>
          <w:szCs w:val="20"/>
        </w:rPr>
        <w:t xml:space="preserve"> In J. Napier, S. Webb, &amp; R. Adam (Eds.), </w:t>
      </w:r>
      <w:r w:rsidRPr="00151B72">
        <w:rPr>
          <w:i/>
          <w:noProof/>
          <w:szCs w:val="20"/>
        </w:rPr>
        <w:t>International Perspectives on Sign Language Translator and Interpreter Education (2nd edition)</w:t>
      </w:r>
      <w:r w:rsidRPr="00151B72">
        <w:rPr>
          <w:noProof/>
          <w:szCs w:val="20"/>
        </w:rPr>
        <w:t xml:space="preserve"> (pp. 265-298)</w:t>
      </w:r>
      <w:r w:rsidR="00894B5A" w:rsidRPr="00151B72">
        <w:rPr>
          <w:noProof/>
          <w:szCs w:val="20"/>
        </w:rPr>
        <w:t xml:space="preserve">, </w:t>
      </w:r>
      <w:r w:rsidRPr="00151B72">
        <w:rPr>
          <w:noProof/>
          <w:szCs w:val="20"/>
        </w:rPr>
        <w:t>Washington DC</w:t>
      </w:r>
      <w:r w:rsidR="00894B5A" w:rsidRPr="00151B72">
        <w:rPr>
          <w:noProof/>
          <w:szCs w:val="20"/>
        </w:rPr>
        <w:t>,</w:t>
      </w:r>
      <w:r w:rsidRPr="00151B72">
        <w:rPr>
          <w:noProof/>
          <w:szCs w:val="20"/>
        </w:rPr>
        <w:t xml:space="preserve"> Gallaudet University Press.</w:t>
      </w:r>
    </w:p>
    <w:p w14:paraId="79A434F4" w14:textId="77777777" w:rsidR="001D6B7D" w:rsidRPr="00151B72" w:rsidRDefault="001D6B7D" w:rsidP="00CD5BD0">
      <w:pPr>
        <w:rPr>
          <w:rFonts w:cs="Calibri"/>
          <w:szCs w:val="20"/>
        </w:rPr>
      </w:pPr>
    </w:p>
    <w:p w14:paraId="2B90615D" w14:textId="77777777" w:rsidR="00FF033B" w:rsidRPr="00151B72" w:rsidRDefault="00FF033B">
      <w:pPr>
        <w:rPr>
          <w:rFonts w:cs="Calibri"/>
          <w:szCs w:val="20"/>
        </w:rPr>
      </w:pPr>
    </w:p>
    <w:sectPr w:rsidR="00FF033B" w:rsidRPr="00151B72" w:rsidSect="001D6B7D">
      <w:headerReference w:type="default" r:id="rId14"/>
      <w:footerReference w:type="firs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7F58B7" w14:textId="77777777" w:rsidR="00EA330D" w:rsidRDefault="00EA330D" w:rsidP="001D6B7D">
      <w:r>
        <w:separator/>
      </w:r>
    </w:p>
  </w:endnote>
  <w:endnote w:type="continuationSeparator" w:id="0">
    <w:p w14:paraId="20EB6855" w14:textId="77777777" w:rsidR="00EA330D" w:rsidRDefault="00EA330D" w:rsidP="001D6B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ITLUN+GillSans-SemiBold">
    <w:altName w:val="Calibri"/>
    <w:panose1 w:val="020B0604020202020204"/>
    <w:charset w:val="00"/>
    <w:family w:val="swiss"/>
    <w:notTrueType/>
    <w:pitch w:val="default"/>
    <w:sig w:usb0="00000003" w:usb1="00000000" w:usb2="00000000" w:usb3="00000000" w:csb0="00000001" w:csb1="00000000"/>
  </w:font>
  <w:font w:name="GillSans Light">
    <w:panose1 w:val="020B0302020104020203"/>
    <w:charset w:val="B1"/>
    <w:family w:val="swiss"/>
    <w:pitch w:val="variable"/>
    <w:sig w:usb0="80000A67" w:usb1="00000000" w:usb2="00000000" w:usb3="00000000" w:csb0="000001F7" w:csb1="00000000"/>
  </w:font>
  <w:font w:name="Aptos Display">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CB7" w14:textId="77777777" w:rsidR="007633A0" w:rsidRDefault="005E02C7" w:rsidP="00875210">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BBD30B" w14:textId="77777777" w:rsidR="00EA330D" w:rsidRDefault="00EA330D" w:rsidP="001D6B7D">
      <w:r>
        <w:separator/>
      </w:r>
    </w:p>
  </w:footnote>
  <w:footnote w:type="continuationSeparator" w:id="0">
    <w:p w14:paraId="4E42D4A6" w14:textId="77777777" w:rsidR="00EA330D" w:rsidRDefault="00EA330D" w:rsidP="001D6B7D">
      <w:r>
        <w:continuationSeparator/>
      </w:r>
    </w:p>
  </w:footnote>
  <w:footnote w:id="1">
    <w:p w14:paraId="35332CB7" w14:textId="77777777" w:rsidR="001D6B7D" w:rsidRDefault="001D6B7D">
      <w:pPr>
        <w:pStyle w:val="FootnoteText"/>
      </w:pPr>
      <w:r>
        <w:rPr>
          <w:rStyle w:val="FootnoteReference"/>
        </w:rPr>
        <w:footnoteRef/>
      </w:r>
      <w:r>
        <w:t xml:space="preserve"> </w:t>
      </w:r>
      <w:r w:rsidRPr="006D4206">
        <w:t>https://justisigns2.com</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D2841C" w14:textId="77777777" w:rsidR="007633A0" w:rsidRDefault="007633A0" w:rsidP="00875210"/>
  <w:p w14:paraId="1722E5A4" w14:textId="77777777" w:rsidR="007633A0" w:rsidRDefault="007633A0" w:rsidP="00875210"/>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E57ED0A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3C34F52E"/>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6B1EF7A0"/>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14D21AC6"/>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962236EA"/>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ED7671EA"/>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CC52DC8E"/>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3F0C2D5E"/>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B7CA2E7C"/>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B0F887A6"/>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C97075EE"/>
    <w:lvl w:ilvl="0">
      <w:start w:val="1"/>
      <w:numFmt w:val="bullet"/>
      <w:lvlText w:val=""/>
      <w:lvlJc w:val="left"/>
      <w:pPr>
        <w:tabs>
          <w:tab w:val="num" w:pos="360"/>
        </w:tabs>
        <w:ind w:left="360" w:hanging="360"/>
      </w:pPr>
      <w:rPr>
        <w:rFonts w:ascii="Wingdings" w:hAnsi="Wingdings" w:hint="default"/>
      </w:rPr>
    </w:lvl>
  </w:abstractNum>
  <w:abstractNum w:abstractNumId="11" w15:restartNumberingAfterBreak="0">
    <w:nsid w:val="17264168"/>
    <w:multiLevelType w:val="multilevel"/>
    <w:tmpl w:val="7B0CD6D4"/>
    <w:lvl w:ilvl="0">
      <w:start w:val="1"/>
      <w:numFmt w:val="decimal"/>
      <w:pStyle w:val="Heading1"/>
      <w:lvlText w:val="%1."/>
      <w:legacy w:legacy="1" w:legacySpace="144" w:legacyIndent="0"/>
      <w:lvlJc w:val="left"/>
    </w:lvl>
    <w:lvl w:ilvl="1">
      <w:start w:val="1"/>
      <w:numFmt w:val="decimal"/>
      <w:pStyle w:val="Heading2"/>
      <w:lvlText w:val="%1.%2"/>
      <w:legacy w:legacy="1" w:legacySpace="144" w:legacyIndent="0"/>
      <w:lvlJc w:val="left"/>
    </w:lvl>
    <w:lvl w:ilvl="2">
      <w:start w:val="1"/>
      <w:numFmt w:val="decimal"/>
      <w:pStyle w:val="Heading3"/>
      <w:lvlText w:val="%1.%2.%3"/>
      <w:legacy w:legacy="1" w:legacySpace="144" w:legacyIndent="0"/>
      <w:lvlJc w:val="left"/>
    </w:lvl>
    <w:lvl w:ilvl="3">
      <w:start w:val="1"/>
      <w:numFmt w:val="decimal"/>
      <w:pStyle w:val="Heading4"/>
      <w:lvlText w:val="%1.%2.%3.%4"/>
      <w:legacy w:legacy="1" w:legacySpace="144" w:legacyIndent="0"/>
      <w:lvlJc w:val="left"/>
    </w:lvl>
    <w:lvl w:ilvl="4">
      <w:start w:val="1"/>
      <w:numFmt w:val="decimal"/>
      <w:pStyle w:val="Heading5"/>
      <w:lvlText w:val="%1.%2.%3.%4.%5"/>
      <w:legacy w:legacy="1" w:legacySpace="144" w:legacyIndent="0"/>
      <w:lvlJc w:val="left"/>
    </w:lvl>
    <w:lvl w:ilvl="5">
      <w:start w:val="1"/>
      <w:numFmt w:val="decimal"/>
      <w:pStyle w:val="Heading6"/>
      <w:lvlText w:val="%1.%2.%3.%4.%5.%6"/>
      <w:legacy w:legacy="1" w:legacySpace="144" w:legacyIndent="0"/>
      <w:lvlJc w:val="left"/>
    </w:lvl>
    <w:lvl w:ilvl="6">
      <w:start w:val="1"/>
      <w:numFmt w:val="decimal"/>
      <w:pStyle w:val="Heading7"/>
      <w:lvlText w:val="%1.%2.%3.%4.%5.%6.%7"/>
      <w:legacy w:legacy="1" w:legacySpace="144" w:legacyIndent="0"/>
      <w:lvlJc w:val="left"/>
    </w:lvl>
    <w:lvl w:ilvl="7">
      <w:start w:val="1"/>
      <w:numFmt w:val="decimal"/>
      <w:pStyle w:val="Heading8"/>
      <w:lvlText w:val="%1.%2.%3.%4.%5.%6.%7.%8"/>
      <w:legacy w:legacy="1" w:legacySpace="144" w:legacyIndent="0"/>
      <w:lvlJc w:val="left"/>
    </w:lvl>
    <w:lvl w:ilvl="8">
      <w:start w:val="1"/>
      <w:numFmt w:val="decimal"/>
      <w:pStyle w:val="Heading9"/>
      <w:lvlText w:val="%1.%2.%3.%4.%5.%6.%7.%8.%9"/>
      <w:legacy w:legacy="1" w:legacySpace="144" w:legacyIndent="0"/>
      <w:lvlJc w:val="left"/>
    </w:lvl>
  </w:abstractNum>
  <w:abstractNum w:abstractNumId="12" w15:restartNumberingAfterBreak="0">
    <w:nsid w:val="1BA83310"/>
    <w:multiLevelType w:val="hybridMultilevel"/>
    <w:tmpl w:val="69EABB16"/>
    <w:lvl w:ilvl="0" w:tplc="D6728F78">
      <w:start w:val="1"/>
      <w:numFmt w:val="bullet"/>
      <w:lvlText w:val=""/>
      <w:lvlJc w:val="left"/>
      <w:pPr>
        <w:tabs>
          <w:tab w:val="num" w:pos="720"/>
        </w:tabs>
        <w:ind w:left="720" w:hanging="360"/>
      </w:pPr>
      <w:rPr>
        <w:rFonts w:ascii="Symbol" w:hAnsi="Symbol" w:hint="default"/>
      </w:rPr>
    </w:lvl>
    <w:lvl w:ilvl="1" w:tplc="8F1CD274" w:tentative="1">
      <w:start w:val="1"/>
      <w:numFmt w:val="bullet"/>
      <w:lvlText w:val=""/>
      <w:lvlJc w:val="left"/>
      <w:pPr>
        <w:tabs>
          <w:tab w:val="num" w:pos="1440"/>
        </w:tabs>
        <w:ind w:left="1440" w:hanging="360"/>
      </w:pPr>
      <w:rPr>
        <w:rFonts w:ascii="Symbol" w:hAnsi="Symbol" w:hint="default"/>
      </w:rPr>
    </w:lvl>
    <w:lvl w:ilvl="2" w:tplc="274261FA" w:tentative="1">
      <w:start w:val="1"/>
      <w:numFmt w:val="bullet"/>
      <w:lvlText w:val=""/>
      <w:lvlJc w:val="left"/>
      <w:pPr>
        <w:tabs>
          <w:tab w:val="num" w:pos="2160"/>
        </w:tabs>
        <w:ind w:left="2160" w:hanging="360"/>
      </w:pPr>
      <w:rPr>
        <w:rFonts w:ascii="Symbol" w:hAnsi="Symbol" w:hint="default"/>
      </w:rPr>
    </w:lvl>
    <w:lvl w:ilvl="3" w:tplc="382E9AC2" w:tentative="1">
      <w:start w:val="1"/>
      <w:numFmt w:val="bullet"/>
      <w:lvlText w:val=""/>
      <w:lvlJc w:val="left"/>
      <w:pPr>
        <w:tabs>
          <w:tab w:val="num" w:pos="2880"/>
        </w:tabs>
        <w:ind w:left="2880" w:hanging="360"/>
      </w:pPr>
      <w:rPr>
        <w:rFonts w:ascii="Symbol" w:hAnsi="Symbol" w:hint="default"/>
      </w:rPr>
    </w:lvl>
    <w:lvl w:ilvl="4" w:tplc="6DE8F892" w:tentative="1">
      <w:start w:val="1"/>
      <w:numFmt w:val="bullet"/>
      <w:lvlText w:val=""/>
      <w:lvlJc w:val="left"/>
      <w:pPr>
        <w:tabs>
          <w:tab w:val="num" w:pos="3600"/>
        </w:tabs>
        <w:ind w:left="3600" w:hanging="360"/>
      </w:pPr>
      <w:rPr>
        <w:rFonts w:ascii="Symbol" w:hAnsi="Symbol" w:hint="default"/>
      </w:rPr>
    </w:lvl>
    <w:lvl w:ilvl="5" w:tplc="A5D6AA1A" w:tentative="1">
      <w:start w:val="1"/>
      <w:numFmt w:val="bullet"/>
      <w:lvlText w:val=""/>
      <w:lvlJc w:val="left"/>
      <w:pPr>
        <w:tabs>
          <w:tab w:val="num" w:pos="4320"/>
        </w:tabs>
        <w:ind w:left="4320" w:hanging="360"/>
      </w:pPr>
      <w:rPr>
        <w:rFonts w:ascii="Symbol" w:hAnsi="Symbol" w:hint="default"/>
      </w:rPr>
    </w:lvl>
    <w:lvl w:ilvl="6" w:tplc="188058A2" w:tentative="1">
      <w:start w:val="1"/>
      <w:numFmt w:val="bullet"/>
      <w:lvlText w:val=""/>
      <w:lvlJc w:val="left"/>
      <w:pPr>
        <w:tabs>
          <w:tab w:val="num" w:pos="5040"/>
        </w:tabs>
        <w:ind w:left="5040" w:hanging="360"/>
      </w:pPr>
      <w:rPr>
        <w:rFonts w:ascii="Symbol" w:hAnsi="Symbol" w:hint="default"/>
      </w:rPr>
    </w:lvl>
    <w:lvl w:ilvl="7" w:tplc="B08A0BCE" w:tentative="1">
      <w:start w:val="1"/>
      <w:numFmt w:val="bullet"/>
      <w:lvlText w:val=""/>
      <w:lvlJc w:val="left"/>
      <w:pPr>
        <w:tabs>
          <w:tab w:val="num" w:pos="5760"/>
        </w:tabs>
        <w:ind w:left="5760" w:hanging="360"/>
      </w:pPr>
      <w:rPr>
        <w:rFonts w:ascii="Symbol" w:hAnsi="Symbol" w:hint="default"/>
      </w:rPr>
    </w:lvl>
    <w:lvl w:ilvl="8" w:tplc="52F4D8E4"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266C3302"/>
    <w:multiLevelType w:val="hybridMultilevel"/>
    <w:tmpl w:val="13E46348"/>
    <w:lvl w:ilvl="0" w:tplc="368E53A2">
      <w:start w:val="1"/>
      <w:numFmt w:val="bullet"/>
      <w:lvlText w:val="•"/>
      <w:lvlJc w:val="left"/>
      <w:pPr>
        <w:tabs>
          <w:tab w:val="num" w:pos="720"/>
        </w:tabs>
        <w:ind w:left="720" w:hanging="360"/>
      </w:pPr>
      <w:rPr>
        <w:rFonts w:ascii="Times New Roman" w:hAnsi="Times New Roman" w:hint="default"/>
      </w:rPr>
    </w:lvl>
    <w:lvl w:ilvl="1" w:tplc="012EAAB0" w:tentative="1">
      <w:start w:val="1"/>
      <w:numFmt w:val="bullet"/>
      <w:lvlText w:val="•"/>
      <w:lvlJc w:val="left"/>
      <w:pPr>
        <w:tabs>
          <w:tab w:val="num" w:pos="1440"/>
        </w:tabs>
        <w:ind w:left="1440" w:hanging="360"/>
      </w:pPr>
      <w:rPr>
        <w:rFonts w:ascii="Times New Roman" w:hAnsi="Times New Roman" w:hint="default"/>
      </w:rPr>
    </w:lvl>
    <w:lvl w:ilvl="2" w:tplc="94BC8B58" w:tentative="1">
      <w:start w:val="1"/>
      <w:numFmt w:val="bullet"/>
      <w:lvlText w:val="•"/>
      <w:lvlJc w:val="left"/>
      <w:pPr>
        <w:tabs>
          <w:tab w:val="num" w:pos="2160"/>
        </w:tabs>
        <w:ind w:left="2160" w:hanging="360"/>
      </w:pPr>
      <w:rPr>
        <w:rFonts w:ascii="Times New Roman" w:hAnsi="Times New Roman" w:hint="default"/>
      </w:rPr>
    </w:lvl>
    <w:lvl w:ilvl="3" w:tplc="58761AD8" w:tentative="1">
      <w:start w:val="1"/>
      <w:numFmt w:val="bullet"/>
      <w:lvlText w:val="•"/>
      <w:lvlJc w:val="left"/>
      <w:pPr>
        <w:tabs>
          <w:tab w:val="num" w:pos="2880"/>
        </w:tabs>
        <w:ind w:left="2880" w:hanging="360"/>
      </w:pPr>
      <w:rPr>
        <w:rFonts w:ascii="Times New Roman" w:hAnsi="Times New Roman" w:hint="default"/>
      </w:rPr>
    </w:lvl>
    <w:lvl w:ilvl="4" w:tplc="41A6DBC0" w:tentative="1">
      <w:start w:val="1"/>
      <w:numFmt w:val="bullet"/>
      <w:lvlText w:val="•"/>
      <w:lvlJc w:val="left"/>
      <w:pPr>
        <w:tabs>
          <w:tab w:val="num" w:pos="3600"/>
        </w:tabs>
        <w:ind w:left="3600" w:hanging="360"/>
      </w:pPr>
      <w:rPr>
        <w:rFonts w:ascii="Times New Roman" w:hAnsi="Times New Roman" w:hint="default"/>
      </w:rPr>
    </w:lvl>
    <w:lvl w:ilvl="5" w:tplc="D5EC7BCC" w:tentative="1">
      <w:start w:val="1"/>
      <w:numFmt w:val="bullet"/>
      <w:lvlText w:val="•"/>
      <w:lvlJc w:val="left"/>
      <w:pPr>
        <w:tabs>
          <w:tab w:val="num" w:pos="4320"/>
        </w:tabs>
        <w:ind w:left="4320" w:hanging="360"/>
      </w:pPr>
      <w:rPr>
        <w:rFonts w:ascii="Times New Roman" w:hAnsi="Times New Roman" w:hint="default"/>
      </w:rPr>
    </w:lvl>
    <w:lvl w:ilvl="6" w:tplc="9CA844F6" w:tentative="1">
      <w:start w:val="1"/>
      <w:numFmt w:val="bullet"/>
      <w:lvlText w:val="•"/>
      <w:lvlJc w:val="left"/>
      <w:pPr>
        <w:tabs>
          <w:tab w:val="num" w:pos="5040"/>
        </w:tabs>
        <w:ind w:left="5040" w:hanging="360"/>
      </w:pPr>
      <w:rPr>
        <w:rFonts w:ascii="Times New Roman" w:hAnsi="Times New Roman" w:hint="default"/>
      </w:rPr>
    </w:lvl>
    <w:lvl w:ilvl="7" w:tplc="FDA69206" w:tentative="1">
      <w:start w:val="1"/>
      <w:numFmt w:val="bullet"/>
      <w:lvlText w:val="•"/>
      <w:lvlJc w:val="left"/>
      <w:pPr>
        <w:tabs>
          <w:tab w:val="num" w:pos="5760"/>
        </w:tabs>
        <w:ind w:left="5760" w:hanging="360"/>
      </w:pPr>
      <w:rPr>
        <w:rFonts w:ascii="Times New Roman" w:hAnsi="Times New Roman" w:hint="default"/>
      </w:rPr>
    </w:lvl>
    <w:lvl w:ilvl="8" w:tplc="8904E23C"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3AF51B9A"/>
    <w:multiLevelType w:val="multilevel"/>
    <w:tmpl w:val="3EE2B3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D05261C"/>
    <w:multiLevelType w:val="hybridMultilevel"/>
    <w:tmpl w:val="972E5E48"/>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45E1E0D"/>
    <w:multiLevelType w:val="hybridMultilevel"/>
    <w:tmpl w:val="06789BA2"/>
    <w:lvl w:ilvl="0" w:tplc="375A0302">
      <w:start w:val="1"/>
      <w:numFmt w:val="bullet"/>
      <w:lvlText w:val="•"/>
      <w:lvlJc w:val="left"/>
      <w:pPr>
        <w:tabs>
          <w:tab w:val="num" w:pos="720"/>
        </w:tabs>
        <w:ind w:left="720" w:hanging="360"/>
      </w:pPr>
      <w:rPr>
        <w:rFonts w:ascii="Arial" w:hAnsi="Arial" w:hint="default"/>
      </w:rPr>
    </w:lvl>
    <w:lvl w:ilvl="1" w:tplc="DF1CF164" w:tentative="1">
      <w:start w:val="1"/>
      <w:numFmt w:val="bullet"/>
      <w:lvlText w:val="•"/>
      <w:lvlJc w:val="left"/>
      <w:pPr>
        <w:tabs>
          <w:tab w:val="num" w:pos="1440"/>
        </w:tabs>
        <w:ind w:left="1440" w:hanging="360"/>
      </w:pPr>
      <w:rPr>
        <w:rFonts w:ascii="Arial" w:hAnsi="Arial" w:hint="default"/>
      </w:rPr>
    </w:lvl>
    <w:lvl w:ilvl="2" w:tplc="435442A0" w:tentative="1">
      <w:start w:val="1"/>
      <w:numFmt w:val="bullet"/>
      <w:lvlText w:val="•"/>
      <w:lvlJc w:val="left"/>
      <w:pPr>
        <w:tabs>
          <w:tab w:val="num" w:pos="2160"/>
        </w:tabs>
        <w:ind w:left="2160" w:hanging="360"/>
      </w:pPr>
      <w:rPr>
        <w:rFonts w:ascii="Arial" w:hAnsi="Arial" w:hint="default"/>
      </w:rPr>
    </w:lvl>
    <w:lvl w:ilvl="3" w:tplc="5EE62FE8" w:tentative="1">
      <w:start w:val="1"/>
      <w:numFmt w:val="bullet"/>
      <w:lvlText w:val="•"/>
      <w:lvlJc w:val="left"/>
      <w:pPr>
        <w:tabs>
          <w:tab w:val="num" w:pos="2880"/>
        </w:tabs>
        <w:ind w:left="2880" w:hanging="360"/>
      </w:pPr>
      <w:rPr>
        <w:rFonts w:ascii="Arial" w:hAnsi="Arial" w:hint="default"/>
      </w:rPr>
    </w:lvl>
    <w:lvl w:ilvl="4" w:tplc="4716878E" w:tentative="1">
      <w:start w:val="1"/>
      <w:numFmt w:val="bullet"/>
      <w:lvlText w:val="•"/>
      <w:lvlJc w:val="left"/>
      <w:pPr>
        <w:tabs>
          <w:tab w:val="num" w:pos="3600"/>
        </w:tabs>
        <w:ind w:left="3600" w:hanging="360"/>
      </w:pPr>
      <w:rPr>
        <w:rFonts w:ascii="Arial" w:hAnsi="Arial" w:hint="default"/>
      </w:rPr>
    </w:lvl>
    <w:lvl w:ilvl="5" w:tplc="C0040242" w:tentative="1">
      <w:start w:val="1"/>
      <w:numFmt w:val="bullet"/>
      <w:lvlText w:val="•"/>
      <w:lvlJc w:val="left"/>
      <w:pPr>
        <w:tabs>
          <w:tab w:val="num" w:pos="4320"/>
        </w:tabs>
        <w:ind w:left="4320" w:hanging="360"/>
      </w:pPr>
      <w:rPr>
        <w:rFonts w:ascii="Arial" w:hAnsi="Arial" w:hint="default"/>
      </w:rPr>
    </w:lvl>
    <w:lvl w:ilvl="6" w:tplc="19CAB56A" w:tentative="1">
      <w:start w:val="1"/>
      <w:numFmt w:val="bullet"/>
      <w:lvlText w:val="•"/>
      <w:lvlJc w:val="left"/>
      <w:pPr>
        <w:tabs>
          <w:tab w:val="num" w:pos="5040"/>
        </w:tabs>
        <w:ind w:left="5040" w:hanging="360"/>
      </w:pPr>
      <w:rPr>
        <w:rFonts w:ascii="Arial" w:hAnsi="Arial" w:hint="default"/>
      </w:rPr>
    </w:lvl>
    <w:lvl w:ilvl="7" w:tplc="1AE2B8CC" w:tentative="1">
      <w:start w:val="1"/>
      <w:numFmt w:val="bullet"/>
      <w:lvlText w:val="•"/>
      <w:lvlJc w:val="left"/>
      <w:pPr>
        <w:tabs>
          <w:tab w:val="num" w:pos="5760"/>
        </w:tabs>
        <w:ind w:left="5760" w:hanging="360"/>
      </w:pPr>
      <w:rPr>
        <w:rFonts w:ascii="Arial" w:hAnsi="Arial" w:hint="default"/>
      </w:rPr>
    </w:lvl>
    <w:lvl w:ilvl="8" w:tplc="EABAA8BA"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53082692"/>
    <w:multiLevelType w:val="multilevel"/>
    <w:tmpl w:val="ADC4B4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76A0B54"/>
    <w:multiLevelType w:val="hybridMultilevel"/>
    <w:tmpl w:val="ABD0F1B4"/>
    <w:lvl w:ilvl="0" w:tplc="0B900578">
      <w:start w:val="1"/>
      <w:numFmt w:val="bullet"/>
      <w:lvlText w:val=""/>
      <w:lvlJc w:val="left"/>
      <w:pPr>
        <w:tabs>
          <w:tab w:val="num" w:pos="720"/>
        </w:tabs>
        <w:ind w:left="720" w:hanging="360"/>
      </w:pPr>
      <w:rPr>
        <w:rFonts w:ascii="Symbol" w:hAnsi="Symbol" w:hint="default"/>
      </w:rPr>
    </w:lvl>
    <w:lvl w:ilvl="1" w:tplc="4C9C90AC" w:tentative="1">
      <w:start w:val="1"/>
      <w:numFmt w:val="bullet"/>
      <w:lvlText w:val=""/>
      <w:lvlJc w:val="left"/>
      <w:pPr>
        <w:tabs>
          <w:tab w:val="num" w:pos="1440"/>
        </w:tabs>
        <w:ind w:left="1440" w:hanging="360"/>
      </w:pPr>
      <w:rPr>
        <w:rFonts w:ascii="Symbol" w:hAnsi="Symbol" w:hint="default"/>
      </w:rPr>
    </w:lvl>
    <w:lvl w:ilvl="2" w:tplc="BE6A772A" w:tentative="1">
      <w:start w:val="1"/>
      <w:numFmt w:val="bullet"/>
      <w:lvlText w:val=""/>
      <w:lvlJc w:val="left"/>
      <w:pPr>
        <w:tabs>
          <w:tab w:val="num" w:pos="2160"/>
        </w:tabs>
        <w:ind w:left="2160" w:hanging="360"/>
      </w:pPr>
      <w:rPr>
        <w:rFonts w:ascii="Symbol" w:hAnsi="Symbol" w:hint="default"/>
      </w:rPr>
    </w:lvl>
    <w:lvl w:ilvl="3" w:tplc="FF04EBDE" w:tentative="1">
      <w:start w:val="1"/>
      <w:numFmt w:val="bullet"/>
      <w:lvlText w:val=""/>
      <w:lvlJc w:val="left"/>
      <w:pPr>
        <w:tabs>
          <w:tab w:val="num" w:pos="2880"/>
        </w:tabs>
        <w:ind w:left="2880" w:hanging="360"/>
      </w:pPr>
      <w:rPr>
        <w:rFonts w:ascii="Symbol" w:hAnsi="Symbol" w:hint="default"/>
      </w:rPr>
    </w:lvl>
    <w:lvl w:ilvl="4" w:tplc="485A3A44" w:tentative="1">
      <w:start w:val="1"/>
      <w:numFmt w:val="bullet"/>
      <w:lvlText w:val=""/>
      <w:lvlJc w:val="left"/>
      <w:pPr>
        <w:tabs>
          <w:tab w:val="num" w:pos="3600"/>
        </w:tabs>
        <w:ind w:left="3600" w:hanging="360"/>
      </w:pPr>
      <w:rPr>
        <w:rFonts w:ascii="Symbol" w:hAnsi="Symbol" w:hint="default"/>
      </w:rPr>
    </w:lvl>
    <w:lvl w:ilvl="5" w:tplc="C95675AE" w:tentative="1">
      <w:start w:val="1"/>
      <w:numFmt w:val="bullet"/>
      <w:lvlText w:val=""/>
      <w:lvlJc w:val="left"/>
      <w:pPr>
        <w:tabs>
          <w:tab w:val="num" w:pos="4320"/>
        </w:tabs>
        <w:ind w:left="4320" w:hanging="360"/>
      </w:pPr>
      <w:rPr>
        <w:rFonts w:ascii="Symbol" w:hAnsi="Symbol" w:hint="default"/>
      </w:rPr>
    </w:lvl>
    <w:lvl w:ilvl="6" w:tplc="010C7118" w:tentative="1">
      <w:start w:val="1"/>
      <w:numFmt w:val="bullet"/>
      <w:lvlText w:val=""/>
      <w:lvlJc w:val="left"/>
      <w:pPr>
        <w:tabs>
          <w:tab w:val="num" w:pos="5040"/>
        </w:tabs>
        <w:ind w:left="5040" w:hanging="360"/>
      </w:pPr>
      <w:rPr>
        <w:rFonts w:ascii="Symbol" w:hAnsi="Symbol" w:hint="default"/>
      </w:rPr>
    </w:lvl>
    <w:lvl w:ilvl="7" w:tplc="3D1812EA" w:tentative="1">
      <w:start w:val="1"/>
      <w:numFmt w:val="bullet"/>
      <w:lvlText w:val=""/>
      <w:lvlJc w:val="left"/>
      <w:pPr>
        <w:tabs>
          <w:tab w:val="num" w:pos="5760"/>
        </w:tabs>
        <w:ind w:left="5760" w:hanging="360"/>
      </w:pPr>
      <w:rPr>
        <w:rFonts w:ascii="Symbol" w:hAnsi="Symbol" w:hint="default"/>
      </w:rPr>
    </w:lvl>
    <w:lvl w:ilvl="8" w:tplc="0EE6F16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7C5760F3"/>
    <w:multiLevelType w:val="hybridMultilevel"/>
    <w:tmpl w:val="093A7700"/>
    <w:lvl w:ilvl="0" w:tplc="CBDA08E0">
      <w:start w:val="1"/>
      <w:numFmt w:val="bullet"/>
      <w:lvlText w:val="•"/>
      <w:lvlJc w:val="left"/>
      <w:pPr>
        <w:tabs>
          <w:tab w:val="num" w:pos="720"/>
        </w:tabs>
        <w:ind w:left="720" w:hanging="360"/>
      </w:pPr>
      <w:rPr>
        <w:rFonts w:ascii="Arial" w:hAnsi="Arial" w:hint="default"/>
      </w:rPr>
    </w:lvl>
    <w:lvl w:ilvl="1" w:tplc="DD663DA4" w:tentative="1">
      <w:start w:val="1"/>
      <w:numFmt w:val="bullet"/>
      <w:lvlText w:val="•"/>
      <w:lvlJc w:val="left"/>
      <w:pPr>
        <w:tabs>
          <w:tab w:val="num" w:pos="1440"/>
        </w:tabs>
        <w:ind w:left="1440" w:hanging="360"/>
      </w:pPr>
      <w:rPr>
        <w:rFonts w:ascii="Arial" w:hAnsi="Arial" w:hint="default"/>
      </w:rPr>
    </w:lvl>
    <w:lvl w:ilvl="2" w:tplc="318C289E" w:tentative="1">
      <w:start w:val="1"/>
      <w:numFmt w:val="bullet"/>
      <w:lvlText w:val="•"/>
      <w:lvlJc w:val="left"/>
      <w:pPr>
        <w:tabs>
          <w:tab w:val="num" w:pos="2160"/>
        </w:tabs>
        <w:ind w:left="2160" w:hanging="360"/>
      </w:pPr>
      <w:rPr>
        <w:rFonts w:ascii="Arial" w:hAnsi="Arial" w:hint="default"/>
      </w:rPr>
    </w:lvl>
    <w:lvl w:ilvl="3" w:tplc="9724DB90" w:tentative="1">
      <w:start w:val="1"/>
      <w:numFmt w:val="bullet"/>
      <w:lvlText w:val="•"/>
      <w:lvlJc w:val="left"/>
      <w:pPr>
        <w:tabs>
          <w:tab w:val="num" w:pos="2880"/>
        </w:tabs>
        <w:ind w:left="2880" w:hanging="360"/>
      </w:pPr>
      <w:rPr>
        <w:rFonts w:ascii="Arial" w:hAnsi="Arial" w:hint="default"/>
      </w:rPr>
    </w:lvl>
    <w:lvl w:ilvl="4" w:tplc="D9B44684" w:tentative="1">
      <w:start w:val="1"/>
      <w:numFmt w:val="bullet"/>
      <w:lvlText w:val="•"/>
      <w:lvlJc w:val="left"/>
      <w:pPr>
        <w:tabs>
          <w:tab w:val="num" w:pos="3600"/>
        </w:tabs>
        <w:ind w:left="3600" w:hanging="360"/>
      </w:pPr>
      <w:rPr>
        <w:rFonts w:ascii="Arial" w:hAnsi="Arial" w:hint="default"/>
      </w:rPr>
    </w:lvl>
    <w:lvl w:ilvl="5" w:tplc="BD46C7E6" w:tentative="1">
      <w:start w:val="1"/>
      <w:numFmt w:val="bullet"/>
      <w:lvlText w:val="•"/>
      <w:lvlJc w:val="left"/>
      <w:pPr>
        <w:tabs>
          <w:tab w:val="num" w:pos="4320"/>
        </w:tabs>
        <w:ind w:left="4320" w:hanging="360"/>
      </w:pPr>
      <w:rPr>
        <w:rFonts w:ascii="Arial" w:hAnsi="Arial" w:hint="default"/>
      </w:rPr>
    </w:lvl>
    <w:lvl w:ilvl="6" w:tplc="58902086" w:tentative="1">
      <w:start w:val="1"/>
      <w:numFmt w:val="bullet"/>
      <w:lvlText w:val="•"/>
      <w:lvlJc w:val="left"/>
      <w:pPr>
        <w:tabs>
          <w:tab w:val="num" w:pos="5040"/>
        </w:tabs>
        <w:ind w:left="5040" w:hanging="360"/>
      </w:pPr>
      <w:rPr>
        <w:rFonts w:ascii="Arial" w:hAnsi="Arial" w:hint="default"/>
      </w:rPr>
    </w:lvl>
    <w:lvl w:ilvl="7" w:tplc="0B90E8EC" w:tentative="1">
      <w:start w:val="1"/>
      <w:numFmt w:val="bullet"/>
      <w:lvlText w:val="•"/>
      <w:lvlJc w:val="left"/>
      <w:pPr>
        <w:tabs>
          <w:tab w:val="num" w:pos="5760"/>
        </w:tabs>
        <w:ind w:left="5760" w:hanging="360"/>
      </w:pPr>
      <w:rPr>
        <w:rFonts w:ascii="Arial" w:hAnsi="Arial" w:hint="default"/>
      </w:rPr>
    </w:lvl>
    <w:lvl w:ilvl="8" w:tplc="58B44D10"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7EF96230"/>
    <w:multiLevelType w:val="hybridMultilevel"/>
    <w:tmpl w:val="2ACE711E"/>
    <w:lvl w:ilvl="0" w:tplc="08090001">
      <w:start w:val="3"/>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49028875">
    <w:abstractNumId w:val="10"/>
  </w:num>
  <w:num w:numId="2" w16cid:durableId="2104186757">
    <w:abstractNumId w:val="11"/>
  </w:num>
  <w:num w:numId="3" w16cid:durableId="1176727181">
    <w:abstractNumId w:val="15"/>
  </w:num>
  <w:num w:numId="4" w16cid:durableId="1736853546">
    <w:abstractNumId w:val="8"/>
  </w:num>
  <w:num w:numId="5" w16cid:durableId="1077172336">
    <w:abstractNumId w:val="7"/>
  </w:num>
  <w:num w:numId="6" w16cid:durableId="2071800716">
    <w:abstractNumId w:val="9"/>
  </w:num>
  <w:num w:numId="7" w16cid:durableId="1135025895">
    <w:abstractNumId w:val="4"/>
  </w:num>
  <w:num w:numId="8" w16cid:durableId="1155757848">
    <w:abstractNumId w:val="3"/>
  </w:num>
  <w:num w:numId="9" w16cid:durableId="692655753">
    <w:abstractNumId w:val="2"/>
  </w:num>
  <w:num w:numId="10" w16cid:durableId="1191067045">
    <w:abstractNumId w:val="1"/>
  </w:num>
  <w:num w:numId="11" w16cid:durableId="724066291">
    <w:abstractNumId w:val="6"/>
  </w:num>
  <w:num w:numId="12" w16cid:durableId="949749730">
    <w:abstractNumId w:val="5"/>
  </w:num>
  <w:num w:numId="13" w16cid:durableId="126972842">
    <w:abstractNumId w:val="0"/>
  </w:num>
  <w:num w:numId="14" w16cid:durableId="1449200100">
    <w:abstractNumId w:val="13"/>
  </w:num>
  <w:num w:numId="15" w16cid:durableId="1850749465">
    <w:abstractNumId w:val="19"/>
  </w:num>
  <w:num w:numId="16" w16cid:durableId="848327741">
    <w:abstractNumId w:val="16"/>
  </w:num>
  <w:num w:numId="17" w16cid:durableId="1565263309">
    <w:abstractNumId w:val="18"/>
  </w:num>
  <w:num w:numId="18" w16cid:durableId="628901559">
    <w:abstractNumId w:val="12"/>
  </w:num>
  <w:num w:numId="19" w16cid:durableId="9990572">
    <w:abstractNumId w:val="11"/>
    <w:lvlOverride w:ilvl="0">
      <w:startOverride w:val="2"/>
    </w:lvlOverride>
    <w:lvlOverride w:ilvl="1">
      <w:startOverride w:val="3"/>
    </w:lvlOverride>
  </w:num>
  <w:num w:numId="20" w16cid:durableId="1508863110">
    <w:abstractNumId w:val="20"/>
  </w:num>
  <w:num w:numId="21" w16cid:durableId="1710566428">
    <w:abstractNumId w:val="17"/>
  </w:num>
  <w:num w:numId="22" w16cid:durableId="94885838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9"/>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s>
  <w:rsids>
    <w:rsidRoot w:val="001D6B7D"/>
    <w:rsid w:val="000042A9"/>
    <w:rsid w:val="00007DE4"/>
    <w:rsid w:val="00010775"/>
    <w:rsid w:val="000248DD"/>
    <w:rsid w:val="00044419"/>
    <w:rsid w:val="00052D6D"/>
    <w:rsid w:val="000621DD"/>
    <w:rsid w:val="00072432"/>
    <w:rsid w:val="00075AC2"/>
    <w:rsid w:val="00093A6E"/>
    <w:rsid w:val="00093D6E"/>
    <w:rsid w:val="000A169A"/>
    <w:rsid w:val="000A3E13"/>
    <w:rsid w:val="000B17A7"/>
    <w:rsid w:val="000C02E8"/>
    <w:rsid w:val="000C61B4"/>
    <w:rsid w:val="000D2A6B"/>
    <w:rsid w:val="000E03B1"/>
    <w:rsid w:val="00103C48"/>
    <w:rsid w:val="00105840"/>
    <w:rsid w:val="00116AB8"/>
    <w:rsid w:val="00121F62"/>
    <w:rsid w:val="00126D59"/>
    <w:rsid w:val="001302B2"/>
    <w:rsid w:val="00135E27"/>
    <w:rsid w:val="00146096"/>
    <w:rsid w:val="0015078A"/>
    <w:rsid w:val="00151235"/>
    <w:rsid w:val="00151B72"/>
    <w:rsid w:val="001624F6"/>
    <w:rsid w:val="001C19F8"/>
    <w:rsid w:val="001C2980"/>
    <w:rsid w:val="001C5394"/>
    <w:rsid w:val="001D0633"/>
    <w:rsid w:val="001D43C3"/>
    <w:rsid w:val="001D6B7D"/>
    <w:rsid w:val="001E7801"/>
    <w:rsid w:val="001F2C11"/>
    <w:rsid w:val="001F52A2"/>
    <w:rsid w:val="00223AA9"/>
    <w:rsid w:val="00232FA4"/>
    <w:rsid w:val="00234868"/>
    <w:rsid w:val="00234C5F"/>
    <w:rsid w:val="00243262"/>
    <w:rsid w:val="002704A3"/>
    <w:rsid w:val="00284E55"/>
    <w:rsid w:val="0029778E"/>
    <w:rsid w:val="002A2EB9"/>
    <w:rsid w:val="002A5B8B"/>
    <w:rsid w:val="002A6094"/>
    <w:rsid w:val="002B3140"/>
    <w:rsid w:val="002D05D1"/>
    <w:rsid w:val="002D5055"/>
    <w:rsid w:val="002D552D"/>
    <w:rsid w:val="002D6452"/>
    <w:rsid w:val="002D7124"/>
    <w:rsid w:val="002E1BE1"/>
    <w:rsid w:val="002E34A6"/>
    <w:rsid w:val="002E596B"/>
    <w:rsid w:val="002F4FB7"/>
    <w:rsid w:val="002F55DF"/>
    <w:rsid w:val="00315338"/>
    <w:rsid w:val="00323A7A"/>
    <w:rsid w:val="00336BB5"/>
    <w:rsid w:val="00355384"/>
    <w:rsid w:val="00355B8C"/>
    <w:rsid w:val="0036691A"/>
    <w:rsid w:val="00387794"/>
    <w:rsid w:val="00397176"/>
    <w:rsid w:val="003A4790"/>
    <w:rsid w:val="003B361D"/>
    <w:rsid w:val="003B43EC"/>
    <w:rsid w:val="003E50A6"/>
    <w:rsid w:val="003F041D"/>
    <w:rsid w:val="00431713"/>
    <w:rsid w:val="0043334E"/>
    <w:rsid w:val="00434497"/>
    <w:rsid w:val="00473CCA"/>
    <w:rsid w:val="00477C2E"/>
    <w:rsid w:val="00494005"/>
    <w:rsid w:val="004B26E6"/>
    <w:rsid w:val="004B6407"/>
    <w:rsid w:val="004C200E"/>
    <w:rsid w:val="004C3452"/>
    <w:rsid w:val="004C45F6"/>
    <w:rsid w:val="004D08A7"/>
    <w:rsid w:val="004D1B3A"/>
    <w:rsid w:val="004D2E8F"/>
    <w:rsid w:val="004E3A1F"/>
    <w:rsid w:val="004F2D8A"/>
    <w:rsid w:val="004F469E"/>
    <w:rsid w:val="005075E1"/>
    <w:rsid w:val="00514ABE"/>
    <w:rsid w:val="005151E7"/>
    <w:rsid w:val="00517F63"/>
    <w:rsid w:val="0052428E"/>
    <w:rsid w:val="005337BF"/>
    <w:rsid w:val="00546E0D"/>
    <w:rsid w:val="005530BC"/>
    <w:rsid w:val="0056747F"/>
    <w:rsid w:val="00573A63"/>
    <w:rsid w:val="00581DD9"/>
    <w:rsid w:val="00584086"/>
    <w:rsid w:val="005B2FBF"/>
    <w:rsid w:val="005C61E5"/>
    <w:rsid w:val="005E02C7"/>
    <w:rsid w:val="005E3101"/>
    <w:rsid w:val="005F7C75"/>
    <w:rsid w:val="006033A5"/>
    <w:rsid w:val="006143C8"/>
    <w:rsid w:val="0063202A"/>
    <w:rsid w:val="006408FD"/>
    <w:rsid w:val="00642748"/>
    <w:rsid w:val="00664EAC"/>
    <w:rsid w:val="00667195"/>
    <w:rsid w:val="0067063F"/>
    <w:rsid w:val="00671C58"/>
    <w:rsid w:val="00676C76"/>
    <w:rsid w:val="006773CB"/>
    <w:rsid w:val="0069347B"/>
    <w:rsid w:val="00694D51"/>
    <w:rsid w:val="00696318"/>
    <w:rsid w:val="006C4C2F"/>
    <w:rsid w:val="006F4C1F"/>
    <w:rsid w:val="006F7FB0"/>
    <w:rsid w:val="00712531"/>
    <w:rsid w:val="00714A51"/>
    <w:rsid w:val="007318CE"/>
    <w:rsid w:val="00751D9B"/>
    <w:rsid w:val="007633A0"/>
    <w:rsid w:val="00764A6F"/>
    <w:rsid w:val="00791387"/>
    <w:rsid w:val="007919EA"/>
    <w:rsid w:val="007B3B68"/>
    <w:rsid w:val="007C3AE8"/>
    <w:rsid w:val="007D2654"/>
    <w:rsid w:val="007E3CAE"/>
    <w:rsid w:val="007F386F"/>
    <w:rsid w:val="007F4DF5"/>
    <w:rsid w:val="007F5CEE"/>
    <w:rsid w:val="00821DEA"/>
    <w:rsid w:val="00832287"/>
    <w:rsid w:val="008560D0"/>
    <w:rsid w:val="0087021C"/>
    <w:rsid w:val="008708DD"/>
    <w:rsid w:val="00872069"/>
    <w:rsid w:val="008732C3"/>
    <w:rsid w:val="00874276"/>
    <w:rsid w:val="008744D4"/>
    <w:rsid w:val="008828D6"/>
    <w:rsid w:val="008907D3"/>
    <w:rsid w:val="00894B5A"/>
    <w:rsid w:val="0089592E"/>
    <w:rsid w:val="008D4D42"/>
    <w:rsid w:val="00906E5C"/>
    <w:rsid w:val="009073F5"/>
    <w:rsid w:val="00907D15"/>
    <w:rsid w:val="00915DC9"/>
    <w:rsid w:val="00923D55"/>
    <w:rsid w:val="009303A2"/>
    <w:rsid w:val="009345F1"/>
    <w:rsid w:val="00950188"/>
    <w:rsid w:val="00957B56"/>
    <w:rsid w:val="00957D0E"/>
    <w:rsid w:val="009703A5"/>
    <w:rsid w:val="00970E78"/>
    <w:rsid w:val="0097333E"/>
    <w:rsid w:val="00973A59"/>
    <w:rsid w:val="00976B3D"/>
    <w:rsid w:val="009B3514"/>
    <w:rsid w:val="009B48E3"/>
    <w:rsid w:val="009C13EB"/>
    <w:rsid w:val="009D767F"/>
    <w:rsid w:val="009E2B8B"/>
    <w:rsid w:val="009F05E3"/>
    <w:rsid w:val="00A40BCA"/>
    <w:rsid w:val="00A46895"/>
    <w:rsid w:val="00A474EF"/>
    <w:rsid w:val="00AA3762"/>
    <w:rsid w:val="00AD1232"/>
    <w:rsid w:val="00AF39C4"/>
    <w:rsid w:val="00B029BD"/>
    <w:rsid w:val="00B1582B"/>
    <w:rsid w:val="00B20794"/>
    <w:rsid w:val="00B41226"/>
    <w:rsid w:val="00B43646"/>
    <w:rsid w:val="00B46F3A"/>
    <w:rsid w:val="00B72203"/>
    <w:rsid w:val="00BA72FF"/>
    <w:rsid w:val="00BB226A"/>
    <w:rsid w:val="00C036B2"/>
    <w:rsid w:val="00C11BBB"/>
    <w:rsid w:val="00C21837"/>
    <w:rsid w:val="00C51775"/>
    <w:rsid w:val="00C55A61"/>
    <w:rsid w:val="00C765B7"/>
    <w:rsid w:val="00C81B4A"/>
    <w:rsid w:val="00C86E3D"/>
    <w:rsid w:val="00CA5096"/>
    <w:rsid w:val="00CB3FA6"/>
    <w:rsid w:val="00CC2FEE"/>
    <w:rsid w:val="00CC4F87"/>
    <w:rsid w:val="00CC64A7"/>
    <w:rsid w:val="00CC6928"/>
    <w:rsid w:val="00CD01AF"/>
    <w:rsid w:val="00CD3018"/>
    <w:rsid w:val="00CE2D10"/>
    <w:rsid w:val="00CE7E4A"/>
    <w:rsid w:val="00D0245F"/>
    <w:rsid w:val="00D16DDE"/>
    <w:rsid w:val="00D20D14"/>
    <w:rsid w:val="00D23F32"/>
    <w:rsid w:val="00D33095"/>
    <w:rsid w:val="00D43EFB"/>
    <w:rsid w:val="00D45D71"/>
    <w:rsid w:val="00D45F72"/>
    <w:rsid w:val="00D72E1E"/>
    <w:rsid w:val="00D75337"/>
    <w:rsid w:val="00D813EA"/>
    <w:rsid w:val="00D8307B"/>
    <w:rsid w:val="00D8654D"/>
    <w:rsid w:val="00D94257"/>
    <w:rsid w:val="00DA0565"/>
    <w:rsid w:val="00DA06D6"/>
    <w:rsid w:val="00DA3E42"/>
    <w:rsid w:val="00DB44A0"/>
    <w:rsid w:val="00DC0507"/>
    <w:rsid w:val="00DC2365"/>
    <w:rsid w:val="00DC5743"/>
    <w:rsid w:val="00DD209D"/>
    <w:rsid w:val="00DD5ADC"/>
    <w:rsid w:val="00DE6F4C"/>
    <w:rsid w:val="00E05558"/>
    <w:rsid w:val="00E061BE"/>
    <w:rsid w:val="00E42B42"/>
    <w:rsid w:val="00E432BF"/>
    <w:rsid w:val="00E4366A"/>
    <w:rsid w:val="00E4448E"/>
    <w:rsid w:val="00E45CEA"/>
    <w:rsid w:val="00E468AE"/>
    <w:rsid w:val="00E638B6"/>
    <w:rsid w:val="00E73103"/>
    <w:rsid w:val="00EA330D"/>
    <w:rsid w:val="00EC2330"/>
    <w:rsid w:val="00EF7DCF"/>
    <w:rsid w:val="00F07171"/>
    <w:rsid w:val="00F1378A"/>
    <w:rsid w:val="00F21B11"/>
    <w:rsid w:val="00F27A62"/>
    <w:rsid w:val="00F4188F"/>
    <w:rsid w:val="00F45E98"/>
    <w:rsid w:val="00F5169A"/>
    <w:rsid w:val="00F539F9"/>
    <w:rsid w:val="00F5794B"/>
    <w:rsid w:val="00F77036"/>
    <w:rsid w:val="00F819D8"/>
    <w:rsid w:val="00F83590"/>
    <w:rsid w:val="00F94D2B"/>
    <w:rsid w:val="00FA2637"/>
    <w:rsid w:val="00FA63D8"/>
    <w:rsid w:val="00FB7531"/>
    <w:rsid w:val="00FC7BA4"/>
    <w:rsid w:val="00FD28E0"/>
    <w:rsid w:val="00FE2843"/>
    <w:rsid w:val="00FF033B"/>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F5F9CD"/>
  <w15:chartTrackingRefBased/>
  <w15:docId w15:val="{F7CCA713-9F66-D94E-AC53-B6C9BF12B2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IE" w:eastAsia="en-US" w:bidi="ar-SA"/>
        <w14:ligatures w14:val="standardContextual"/>
      </w:rPr>
    </w:rPrDefault>
    <w:pPrDefault>
      <w:pPr>
        <w:spacing w:before="100" w:beforeAutospacing="1" w:after="100" w:afterAutospacing="1" w:line="360" w:lineRule="auto"/>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D6B7D"/>
    <w:pPr>
      <w:spacing w:before="0" w:beforeAutospacing="0" w:after="0" w:afterAutospacing="0" w:line="240" w:lineRule="auto"/>
    </w:pPr>
    <w:rPr>
      <w:rFonts w:ascii="Calibri" w:eastAsia="Times New Roman" w:hAnsi="Calibri" w:cs="Times New Roman"/>
      <w:kern w:val="0"/>
      <w:sz w:val="20"/>
      <w:lang w:val="en-GB"/>
      <w14:ligatures w14:val="none"/>
    </w:rPr>
  </w:style>
  <w:style w:type="paragraph" w:styleId="Heading1">
    <w:name w:val="heading 1"/>
    <w:basedOn w:val="Normal"/>
    <w:next w:val="Normal"/>
    <w:link w:val="Heading1Char"/>
    <w:qFormat/>
    <w:rsid w:val="001D6B7D"/>
    <w:pPr>
      <w:keepNext/>
      <w:numPr>
        <w:numId w:val="2"/>
      </w:numPr>
      <w:spacing w:before="240" w:after="120"/>
      <w:jc w:val="left"/>
      <w:outlineLvl w:val="0"/>
    </w:pPr>
    <w:rPr>
      <w:rFonts w:cs="Arial"/>
      <w:b/>
      <w:bCs/>
      <w:kern w:val="32"/>
      <w:sz w:val="24"/>
      <w:szCs w:val="32"/>
    </w:rPr>
  </w:style>
  <w:style w:type="paragraph" w:styleId="Heading2">
    <w:name w:val="heading 2"/>
    <w:basedOn w:val="Normal"/>
    <w:next w:val="Normal"/>
    <w:link w:val="Heading2Char"/>
    <w:qFormat/>
    <w:rsid w:val="001D6B7D"/>
    <w:pPr>
      <w:keepNext/>
      <w:numPr>
        <w:ilvl w:val="1"/>
        <w:numId w:val="2"/>
      </w:numPr>
      <w:spacing w:before="240" w:after="120"/>
      <w:jc w:val="left"/>
      <w:outlineLvl w:val="1"/>
    </w:pPr>
    <w:rPr>
      <w:rFonts w:cs="Arial"/>
      <w:b/>
      <w:bCs/>
      <w:iCs/>
      <w:sz w:val="22"/>
      <w:szCs w:val="28"/>
    </w:rPr>
  </w:style>
  <w:style w:type="paragraph" w:styleId="Heading3">
    <w:name w:val="heading 3"/>
    <w:basedOn w:val="Normal"/>
    <w:next w:val="Normal"/>
    <w:link w:val="Heading3Char"/>
    <w:qFormat/>
    <w:rsid w:val="001D6B7D"/>
    <w:pPr>
      <w:keepNext/>
      <w:numPr>
        <w:ilvl w:val="2"/>
        <w:numId w:val="2"/>
      </w:numPr>
      <w:spacing w:before="240" w:after="120"/>
      <w:jc w:val="left"/>
      <w:outlineLvl w:val="2"/>
    </w:pPr>
    <w:rPr>
      <w:rFonts w:cs="Arial"/>
      <w:bCs/>
      <w:i/>
      <w:sz w:val="22"/>
      <w:szCs w:val="26"/>
    </w:rPr>
  </w:style>
  <w:style w:type="paragraph" w:styleId="Heading4">
    <w:name w:val="heading 4"/>
    <w:basedOn w:val="Normal"/>
    <w:next w:val="Normal"/>
    <w:link w:val="Heading4Char"/>
    <w:qFormat/>
    <w:rsid w:val="001D6B7D"/>
    <w:pPr>
      <w:keepNext/>
      <w:numPr>
        <w:ilvl w:val="3"/>
        <w:numId w:val="2"/>
      </w:numPr>
      <w:spacing w:before="240" w:after="60"/>
      <w:outlineLvl w:val="3"/>
    </w:pPr>
    <w:rPr>
      <w:rFonts w:ascii="Times New Roman" w:hAnsi="Times New Roman"/>
      <w:b/>
      <w:bCs/>
      <w:sz w:val="28"/>
      <w:szCs w:val="28"/>
    </w:rPr>
  </w:style>
  <w:style w:type="paragraph" w:styleId="Heading5">
    <w:name w:val="heading 5"/>
    <w:basedOn w:val="Normal"/>
    <w:next w:val="Normal"/>
    <w:link w:val="Heading5Char"/>
    <w:qFormat/>
    <w:rsid w:val="001D6B7D"/>
    <w:pPr>
      <w:numPr>
        <w:ilvl w:val="4"/>
        <w:numId w:val="2"/>
      </w:numPr>
      <w:spacing w:before="240" w:after="60"/>
      <w:outlineLvl w:val="4"/>
    </w:pPr>
    <w:rPr>
      <w:b/>
      <w:bCs/>
      <w:i/>
      <w:iCs/>
      <w:sz w:val="26"/>
      <w:szCs w:val="26"/>
    </w:rPr>
  </w:style>
  <w:style w:type="paragraph" w:styleId="Heading6">
    <w:name w:val="heading 6"/>
    <w:basedOn w:val="Normal"/>
    <w:next w:val="Normal"/>
    <w:link w:val="Heading6Char"/>
    <w:qFormat/>
    <w:rsid w:val="001D6B7D"/>
    <w:pPr>
      <w:numPr>
        <w:ilvl w:val="5"/>
        <w:numId w:val="2"/>
      </w:numPr>
      <w:spacing w:before="240" w:after="60"/>
      <w:outlineLvl w:val="5"/>
    </w:pPr>
    <w:rPr>
      <w:rFonts w:ascii="Times New Roman" w:hAnsi="Times New Roman"/>
      <w:b/>
      <w:bCs/>
      <w:sz w:val="22"/>
      <w:szCs w:val="22"/>
    </w:rPr>
  </w:style>
  <w:style w:type="paragraph" w:styleId="Heading7">
    <w:name w:val="heading 7"/>
    <w:basedOn w:val="Normal"/>
    <w:next w:val="Normal"/>
    <w:link w:val="Heading7Char"/>
    <w:qFormat/>
    <w:rsid w:val="001D6B7D"/>
    <w:pPr>
      <w:numPr>
        <w:ilvl w:val="6"/>
        <w:numId w:val="2"/>
      </w:numPr>
      <w:spacing w:before="240" w:after="60"/>
      <w:outlineLvl w:val="6"/>
    </w:pPr>
    <w:rPr>
      <w:rFonts w:ascii="Times New Roman" w:hAnsi="Times New Roman"/>
      <w:sz w:val="24"/>
    </w:rPr>
  </w:style>
  <w:style w:type="paragraph" w:styleId="Heading8">
    <w:name w:val="heading 8"/>
    <w:basedOn w:val="Normal"/>
    <w:next w:val="Normal"/>
    <w:link w:val="Heading8Char"/>
    <w:qFormat/>
    <w:rsid w:val="001D6B7D"/>
    <w:pPr>
      <w:numPr>
        <w:ilvl w:val="7"/>
        <w:numId w:val="2"/>
      </w:numPr>
      <w:spacing w:before="240" w:after="60"/>
      <w:outlineLvl w:val="7"/>
    </w:pPr>
    <w:rPr>
      <w:rFonts w:ascii="Times New Roman" w:hAnsi="Times New Roman"/>
      <w:i/>
      <w:iCs/>
      <w:sz w:val="24"/>
    </w:rPr>
  </w:style>
  <w:style w:type="paragraph" w:styleId="Heading9">
    <w:name w:val="heading 9"/>
    <w:basedOn w:val="Normal"/>
    <w:next w:val="Normal"/>
    <w:link w:val="Heading9Char"/>
    <w:rsid w:val="001D6B7D"/>
    <w:pPr>
      <w:numPr>
        <w:ilvl w:val="8"/>
        <w:numId w:val="2"/>
      </w:numPr>
      <w:spacing w:before="240" w:after="60"/>
      <w:outlineLvl w:val="8"/>
    </w:pPr>
    <w:rPr>
      <w:rFonts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1D6B7D"/>
    <w:rPr>
      <w:rFonts w:ascii="Calibri" w:eastAsia="Times New Roman" w:hAnsi="Calibri" w:cs="Arial"/>
      <w:b/>
      <w:bCs/>
      <w:kern w:val="32"/>
      <w:szCs w:val="32"/>
      <w:lang w:val="en-GB"/>
      <w14:ligatures w14:val="none"/>
    </w:rPr>
  </w:style>
  <w:style w:type="character" w:customStyle="1" w:styleId="Heading2Char">
    <w:name w:val="Heading 2 Char"/>
    <w:basedOn w:val="DefaultParagraphFont"/>
    <w:link w:val="Heading2"/>
    <w:rsid w:val="001D6B7D"/>
    <w:rPr>
      <w:rFonts w:ascii="Calibri" w:eastAsia="Times New Roman" w:hAnsi="Calibri" w:cs="Arial"/>
      <w:b/>
      <w:bCs/>
      <w:iCs/>
      <w:kern w:val="0"/>
      <w:sz w:val="22"/>
      <w:szCs w:val="28"/>
      <w:lang w:val="en-GB"/>
      <w14:ligatures w14:val="none"/>
    </w:rPr>
  </w:style>
  <w:style w:type="character" w:customStyle="1" w:styleId="Heading3Char">
    <w:name w:val="Heading 3 Char"/>
    <w:basedOn w:val="DefaultParagraphFont"/>
    <w:link w:val="Heading3"/>
    <w:rsid w:val="001D6B7D"/>
    <w:rPr>
      <w:rFonts w:ascii="Calibri" w:eastAsia="Times New Roman" w:hAnsi="Calibri" w:cs="Arial"/>
      <w:bCs/>
      <w:i/>
      <w:kern w:val="0"/>
      <w:sz w:val="22"/>
      <w:szCs w:val="26"/>
      <w:lang w:val="en-GB"/>
      <w14:ligatures w14:val="none"/>
    </w:rPr>
  </w:style>
  <w:style w:type="character" w:customStyle="1" w:styleId="Heading4Char">
    <w:name w:val="Heading 4 Char"/>
    <w:basedOn w:val="DefaultParagraphFont"/>
    <w:link w:val="Heading4"/>
    <w:rsid w:val="001D6B7D"/>
    <w:rPr>
      <w:rFonts w:ascii="Times New Roman" w:eastAsia="Times New Roman" w:hAnsi="Times New Roman" w:cs="Times New Roman"/>
      <w:b/>
      <w:bCs/>
      <w:kern w:val="0"/>
      <w:sz w:val="28"/>
      <w:szCs w:val="28"/>
      <w:lang w:val="en-GB"/>
      <w14:ligatures w14:val="none"/>
    </w:rPr>
  </w:style>
  <w:style w:type="character" w:customStyle="1" w:styleId="Heading5Char">
    <w:name w:val="Heading 5 Char"/>
    <w:basedOn w:val="DefaultParagraphFont"/>
    <w:link w:val="Heading5"/>
    <w:rsid w:val="001D6B7D"/>
    <w:rPr>
      <w:rFonts w:ascii="Calibri" w:eastAsia="Times New Roman" w:hAnsi="Calibri" w:cs="Times New Roman"/>
      <w:b/>
      <w:bCs/>
      <w:i/>
      <w:iCs/>
      <w:kern w:val="0"/>
      <w:sz w:val="26"/>
      <w:szCs w:val="26"/>
      <w:lang w:val="en-GB"/>
      <w14:ligatures w14:val="none"/>
    </w:rPr>
  </w:style>
  <w:style w:type="character" w:customStyle="1" w:styleId="Heading6Char">
    <w:name w:val="Heading 6 Char"/>
    <w:basedOn w:val="DefaultParagraphFont"/>
    <w:link w:val="Heading6"/>
    <w:rsid w:val="001D6B7D"/>
    <w:rPr>
      <w:rFonts w:ascii="Times New Roman" w:eastAsia="Times New Roman" w:hAnsi="Times New Roman" w:cs="Times New Roman"/>
      <w:b/>
      <w:bCs/>
      <w:kern w:val="0"/>
      <w:sz w:val="22"/>
      <w:szCs w:val="22"/>
      <w:lang w:val="en-GB"/>
      <w14:ligatures w14:val="none"/>
    </w:rPr>
  </w:style>
  <w:style w:type="character" w:customStyle="1" w:styleId="Heading7Char">
    <w:name w:val="Heading 7 Char"/>
    <w:basedOn w:val="DefaultParagraphFont"/>
    <w:link w:val="Heading7"/>
    <w:rsid w:val="001D6B7D"/>
    <w:rPr>
      <w:rFonts w:ascii="Times New Roman" w:eastAsia="Times New Roman" w:hAnsi="Times New Roman" w:cs="Times New Roman"/>
      <w:kern w:val="0"/>
      <w:lang w:val="en-GB"/>
      <w14:ligatures w14:val="none"/>
    </w:rPr>
  </w:style>
  <w:style w:type="character" w:customStyle="1" w:styleId="Heading8Char">
    <w:name w:val="Heading 8 Char"/>
    <w:basedOn w:val="DefaultParagraphFont"/>
    <w:link w:val="Heading8"/>
    <w:rsid w:val="001D6B7D"/>
    <w:rPr>
      <w:rFonts w:ascii="Times New Roman" w:eastAsia="Times New Roman" w:hAnsi="Times New Roman" w:cs="Times New Roman"/>
      <w:i/>
      <w:iCs/>
      <w:kern w:val="0"/>
      <w:lang w:val="en-GB"/>
      <w14:ligatures w14:val="none"/>
    </w:rPr>
  </w:style>
  <w:style w:type="character" w:customStyle="1" w:styleId="Heading9Char">
    <w:name w:val="Heading 9 Char"/>
    <w:basedOn w:val="DefaultParagraphFont"/>
    <w:link w:val="Heading9"/>
    <w:rsid w:val="001D6B7D"/>
    <w:rPr>
      <w:rFonts w:ascii="Calibri" w:eastAsia="Times New Roman" w:hAnsi="Calibri" w:cs="Arial"/>
      <w:kern w:val="0"/>
      <w:sz w:val="22"/>
      <w:szCs w:val="22"/>
      <w:lang w:val="en-GB"/>
      <w14:ligatures w14:val="none"/>
    </w:rPr>
  </w:style>
  <w:style w:type="paragraph" w:styleId="Title">
    <w:name w:val="Title"/>
    <w:basedOn w:val="Normal"/>
    <w:next w:val="Normal"/>
    <w:link w:val="TitleChar"/>
    <w:qFormat/>
    <w:rsid w:val="001D6B7D"/>
    <w:pPr>
      <w:spacing w:before="240" w:after="60"/>
      <w:jc w:val="center"/>
      <w:outlineLvl w:val="0"/>
    </w:pPr>
    <w:rPr>
      <w:rFonts w:ascii="Calibri Light" w:hAnsi="Calibri Light"/>
      <w:b/>
      <w:bCs/>
      <w:kern w:val="28"/>
      <w:sz w:val="32"/>
      <w:szCs w:val="32"/>
    </w:rPr>
  </w:style>
  <w:style w:type="character" w:customStyle="1" w:styleId="TitleChar">
    <w:name w:val="Title Char"/>
    <w:link w:val="Title"/>
    <w:rsid w:val="001D6B7D"/>
    <w:rPr>
      <w:rFonts w:ascii="Calibri Light" w:eastAsia="Times New Roman" w:hAnsi="Calibri Light" w:cs="Times New Roman"/>
      <w:b/>
      <w:bCs/>
      <w:kern w:val="28"/>
      <w:sz w:val="32"/>
      <w:szCs w:val="32"/>
      <w:lang w:val="en-GB"/>
      <w14:ligatures w14:val="none"/>
    </w:rPr>
  </w:style>
  <w:style w:type="paragraph" w:styleId="Subtitle">
    <w:name w:val="Subtitle"/>
    <w:basedOn w:val="Normal"/>
    <w:next w:val="Normal"/>
    <w:link w:val="SubtitleChar"/>
    <w:uiPriority w:val="11"/>
    <w:qFormat/>
    <w:rsid w:val="001D6B7D"/>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D6B7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D6B7D"/>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1D6B7D"/>
    <w:rPr>
      <w:i/>
      <w:iCs/>
      <w:color w:val="404040" w:themeColor="text1" w:themeTint="BF"/>
    </w:rPr>
  </w:style>
  <w:style w:type="paragraph" w:styleId="ListParagraph">
    <w:name w:val="List Paragraph"/>
    <w:basedOn w:val="Normal"/>
    <w:uiPriority w:val="34"/>
    <w:qFormat/>
    <w:rsid w:val="001D6B7D"/>
    <w:pPr>
      <w:ind w:left="720"/>
      <w:contextualSpacing/>
    </w:pPr>
  </w:style>
  <w:style w:type="character" w:styleId="IntenseEmphasis">
    <w:name w:val="Intense Emphasis"/>
    <w:basedOn w:val="DefaultParagraphFont"/>
    <w:uiPriority w:val="21"/>
    <w:qFormat/>
    <w:rsid w:val="001D6B7D"/>
    <w:rPr>
      <w:i/>
      <w:iCs/>
      <w:color w:val="0F4761" w:themeColor="accent1" w:themeShade="BF"/>
    </w:rPr>
  </w:style>
  <w:style w:type="paragraph" w:styleId="IntenseQuote">
    <w:name w:val="Intense Quote"/>
    <w:basedOn w:val="Normal"/>
    <w:next w:val="Normal"/>
    <w:link w:val="IntenseQuoteChar"/>
    <w:uiPriority w:val="30"/>
    <w:qFormat/>
    <w:rsid w:val="001D6B7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D6B7D"/>
    <w:rPr>
      <w:i/>
      <w:iCs/>
      <w:color w:val="0F4761" w:themeColor="accent1" w:themeShade="BF"/>
    </w:rPr>
  </w:style>
  <w:style w:type="character" w:styleId="IntenseReference">
    <w:name w:val="Intense Reference"/>
    <w:basedOn w:val="DefaultParagraphFont"/>
    <w:uiPriority w:val="32"/>
    <w:qFormat/>
    <w:rsid w:val="001D6B7D"/>
    <w:rPr>
      <w:b/>
      <w:bCs/>
      <w:smallCaps/>
      <w:color w:val="0F4761" w:themeColor="accent1" w:themeShade="BF"/>
      <w:spacing w:val="5"/>
    </w:rPr>
  </w:style>
  <w:style w:type="paragraph" w:customStyle="1" w:styleId="Bullets">
    <w:name w:val="Bullets"/>
    <w:basedOn w:val="ListBullet"/>
    <w:rsid w:val="001D6B7D"/>
    <w:pPr>
      <w:tabs>
        <w:tab w:val="clear" w:pos="360"/>
        <w:tab w:val="left" w:pos="284"/>
      </w:tabs>
      <w:spacing w:after="60"/>
      <w:ind w:left="284" w:hanging="284"/>
    </w:pPr>
  </w:style>
  <w:style w:type="paragraph" w:styleId="ListBullet">
    <w:name w:val="List Bullet"/>
    <w:basedOn w:val="Normal"/>
    <w:rsid w:val="001D6B7D"/>
    <w:pPr>
      <w:tabs>
        <w:tab w:val="num" w:pos="360"/>
      </w:tabs>
      <w:ind w:left="360" w:hanging="360"/>
    </w:pPr>
  </w:style>
  <w:style w:type="character" w:styleId="Hyperlink">
    <w:name w:val="Hyperlink"/>
    <w:rsid w:val="001D6B7D"/>
    <w:rPr>
      <w:color w:val="0000FF"/>
      <w:u w:val="single"/>
    </w:rPr>
  </w:style>
  <w:style w:type="paragraph" w:styleId="Footer">
    <w:name w:val="footer"/>
    <w:basedOn w:val="Normal"/>
    <w:link w:val="FooterChar"/>
    <w:rsid w:val="001D6B7D"/>
    <w:pPr>
      <w:tabs>
        <w:tab w:val="center" w:pos="4513"/>
        <w:tab w:val="right" w:pos="9026"/>
      </w:tabs>
    </w:pPr>
  </w:style>
  <w:style w:type="character" w:customStyle="1" w:styleId="FooterChar">
    <w:name w:val="Footer Char"/>
    <w:link w:val="Footer"/>
    <w:rsid w:val="001D6B7D"/>
    <w:rPr>
      <w:rFonts w:ascii="Calibri" w:eastAsia="Times New Roman" w:hAnsi="Calibri" w:cs="Times New Roman"/>
      <w:kern w:val="0"/>
      <w:sz w:val="20"/>
      <w:lang w:val="en-GB"/>
      <w14:ligatures w14:val="none"/>
    </w:rPr>
  </w:style>
  <w:style w:type="paragraph" w:styleId="Header">
    <w:name w:val="header"/>
    <w:basedOn w:val="Normal"/>
    <w:link w:val="HeaderChar"/>
    <w:rsid w:val="001D6B7D"/>
    <w:pPr>
      <w:tabs>
        <w:tab w:val="center" w:pos="4513"/>
        <w:tab w:val="right" w:pos="9026"/>
      </w:tabs>
    </w:pPr>
  </w:style>
  <w:style w:type="character" w:customStyle="1" w:styleId="HeaderChar">
    <w:name w:val="Header Char"/>
    <w:link w:val="Header"/>
    <w:rsid w:val="001D6B7D"/>
    <w:rPr>
      <w:rFonts w:ascii="Calibri" w:eastAsia="Times New Roman" w:hAnsi="Calibri" w:cs="Times New Roman"/>
      <w:kern w:val="0"/>
      <w:sz w:val="20"/>
      <w:lang w:val="en-GB"/>
      <w14:ligatures w14:val="none"/>
    </w:rPr>
  </w:style>
  <w:style w:type="character" w:styleId="UnresolvedMention">
    <w:name w:val="Unresolved Mention"/>
    <w:uiPriority w:val="99"/>
    <w:semiHidden/>
    <w:unhideWhenUsed/>
    <w:rsid w:val="001D6B7D"/>
    <w:rPr>
      <w:color w:val="605E5C"/>
      <w:shd w:val="clear" w:color="auto" w:fill="E1DFDD"/>
    </w:rPr>
  </w:style>
  <w:style w:type="paragraph" w:customStyle="1" w:styleId="Pa1">
    <w:name w:val="Pa1"/>
    <w:basedOn w:val="Normal"/>
    <w:next w:val="Normal"/>
    <w:uiPriority w:val="99"/>
    <w:rsid w:val="001D6B7D"/>
    <w:pPr>
      <w:autoSpaceDE w:val="0"/>
      <w:autoSpaceDN w:val="0"/>
      <w:adjustRightInd w:val="0"/>
      <w:spacing w:line="241" w:lineRule="atLeast"/>
      <w:jc w:val="left"/>
    </w:pPr>
    <w:rPr>
      <w:rFonts w:ascii="CITLUN+GillSans-SemiBold" w:hAnsi="CITLUN+GillSans-SemiBold"/>
      <w:sz w:val="24"/>
      <w:lang w:val="en-IE" w:eastAsia="en-IE"/>
    </w:rPr>
  </w:style>
  <w:style w:type="character" w:customStyle="1" w:styleId="A2">
    <w:name w:val="A2"/>
    <w:uiPriority w:val="99"/>
    <w:rsid w:val="001D6B7D"/>
    <w:rPr>
      <w:rFonts w:cs="CITLUN+GillSans-SemiBold"/>
      <w:color w:val="000000"/>
      <w:sz w:val="20"/>
      <w:szCs w:val="20"/>
    </w:rPr>
  </w:style>
  <w:style w:type="character" w:customStyle="1" w:styleId="A5">
    <w:name w:val="A5"/>
    <w:uiPriority w:val="99"/>
    <w:rsid w:val="001D6B7D"/>
    <w:rPr>
      <w:rFonts w:ascii="GillSans Light" w:hAnsi="GillSans Light" w:cs="GillSans Light"/>
      <w:color w:val="000000"/>
      <w:sz w:val="11"/>
      <w:szCs w:val="11"/>
    </w:rPr>
  </w:style>
  <w:style w:type="paragraph" w:styleId="Revision">
    <w:name w:val="Revision"/>
    <w:hidden/>
    <w:uiPriority w:val="99"/>
    <w:semiHidden/>
    <w:rsid w:val="001D6B7D"/>
    <w:pPr>
      <w:spacing w:before="0" w:beforeAutospacing="0" w:after="0" w:afterAutospacing="0" w:line="240" w:lineRule="auto"/>
      <w:jc w:val="left"/>
    </w:pPr>
    <w:rPr>
      <w:rFonts w:ascii="Calibri" w:eastAsia="Times New Roman" w:hAnsi="Calibri" w:cs="Times New Roman"/>
      <w:kern w:val="0"/>
      <w:sz w:val="20"/>
      <w:lang w:val="en-GB"/>
      <w14:ligatures w14:val="none"/>
    </w:rPr>
  </w:style>
  <w:style w:type="character" w:styleId="CommentReference">
    <w:name w:val="annotation reference"/>
    <w:rsid w:val="001D6B7D"/>
    <w:rPr>
      <w:sz w:val="16"/>
      <w:szCs w:val="16"/>
    </w:rPr>
  </w:style>
  <w:style w:type="paragraph" w:styleId="CommentText">
    <w:name w:val="annotation text"/>
    <w:basedOn w:val="Normal"/>
    <w:link w:val="CommentTextChar"/>
    <w:rsid w:val="001D6B7D"/>
    <w:rPr>
      <w:szCs w:val="20"/>
    </w:rPr>
  </w:style>
  <w:style w:type="character" w:customStyle="1" w:styleId="CommentTextChar">
    <w:name w:val="Comment Text Char"/>
    <w:link w:val="CommentText"/>
    <w:rsid w:val="001D6B7D"/>
    <w:rPr>
      <w:rFonts w:ascii="Calibri" w:eastAsia="Times New Roman" w:hAnsi="Calibri" w:cs="Times New Roman"/>
      <w:kern w:val="0"/>
      <w:sz w:val="20"/>
      <w:szCs w:val="20"/>
      <w:lang w:val="en-GB"/>
      <w14:ligatures w14:val="none"/>
    </w:rPr>
  </w:style>
  <w:style w:type="paragraph" w:styleId="CommentSubject">
    <w:name w:val="annotation subject"/>
    <w:basedOn w:val="CommentText"/>
    <w:next w:val="CommentText"/>
    <w:link w:val="CommentSubjectChar"/>
    <w:rsid w:val="001D6B7D"/>
    <w:rPr>
      <w:b/>
      <w:bCs/>
    </w:rPr>
  </w:style>
  <w:style w:type="character" w:customStyle="1" w:styleId="CommentSubjectChar">
    <w:name w:val="Comment Subject Char"/>
    <w:link w:val="CommentSubject"/>
    <w:rsid w:val="001D6B7D"/>
    <w:rPr>
      <w:rFonts w:ascii="Calibri" w:eastAsia="Times New Roman" w:hAnsi="Calibri" w:cs="Times New Roman"/>
      <w:b/>
      <w:bCs/>
      <w:kern w:val="0"/>
      <w:sz w:val="20"/>
      <w:szCs w:val="20"/>
      <w:lang w:val="en-GB"/>
      <w14:ligatures w14:val="none"/>
    </w:rPr>
  </w:style>
  <w:style w:type="paragraph" w:customStyle="1" w:styleId="EndNoteBibliographyTitle">
    <w:name w:val="EndNote Bibliography Title"/>
    <w:basedOn w:val="Normal"/>
    <w:link w:val="EndNoteBibliographyTitleChar"/>
    <w:rsid w:val="001D6B7D"/>
    <w:pPr>
      <w:jc w:val="center"/>
    </w:pPr>
    <w:rPr>
      <w:rFonts w:cs="Calibri"/>
      <w:lang w:val="en-US"/>
    </w:rPr>
  </w:style>
  <w:style w:type="character" w:customStyle="1" w:styleId="EndNoteBibliographyTitleChar">
    <w:name w:val="EndNote Bibliography Title Char"/>
    <w:basedOn w:val="DefaultParagraphFont"/>
    <w:link w:val="EndNoteBibliographyTitle"/>
    <w:rsid w:val="001D6B7D"/>
    <w:rPr>
      <w:rFonts w:ascii="Calibri" w:eastAsia="Times New Roman" w:hAnsi="Calibri" w:cs="Calibri"/>
      <w:kern w:val="0"/>
      <w:sz w:val="20"/>
      <w:lang w:val="en-US"/>
      <w14:ligatures w14:val="none"/>
    </w:rPr>
  </w:style>
  <w:style w:type="paragraph" w:customStyle="1" w:styleId="EndNoteBibliography">
    <w:name w:val="EndNote Bibliography"/>
    <w:basedOn w:val="Normal"/>
    <w:link w:val="EndNoteBibliographyChar"/>
    <w:rsid w:val="001D6B7D"/>
    <w:rPr>
      <w:rFonts w:cs="Calibri"/>
      <w:lang w:val="en-US"/>
    </w:rPr>
  </w:style>
  <w:style w:type="character" w:customStyle="1" w:styleId="EndNoteBibliographyChar">
    <w:name w:val="EndNote Bibliography Char"/>
    <w:basedOn w:val="DefaultParagraphFont"/>
    <w:link w:val="EndNoteBibliography"/>
    <w:rsid w:val="001D6B7D"/>
    <w:rPr>
      <w:rFonts w:ascii="Calibri" w:eastAsia="Times New Roman" w:hAnsi="Calibri" w:cs="Calibri"/>
      <w:kern w:val="0"/>
      <w:sz w:val="20"/>
      <w:lang w:val="en-US"/>
      <w14:ligatures w14:val="none"/>
    </w:rPr>
  </w:style>
  <w:style w:type="paragraph" w:styleId="NormalWeb">
    <w:name w:val="Normal (Web)"/>
    <w:basedOn w:val="Normal"/>
    <w:uiPriority w:val="99"/>
    <w:rsid w:val="001D6B7D"/>
    <w:rPr>
      <w:rFonts w:ascii="Times New Roman" w:hAnsi="Times New Roman"/>
      <w:sz w:val="24"/>
    </w:rPr>
  </w:style>
  <w:style w:type="table" w:styleId="TableGrid">
    <w:name w:val="Table Grid"/>
    <w:basedOn w:val="TableNormal"/>
    <w:rsid w:val="001D6B7D"/>
    <w:pPr>
      <w:spacing w:before="0" w:beforeAutospacing="0" w:after="0" w:afterAutospacing="0" w:line="240" w:lineRule="auto"/>
      <w:jc w:val="left"/>
    </w:pPr>
    <w:rPr>
      <w:rFonts w:ascii="Times New Roman" w:eastAsia="Times New Roman" w:hAnsi="Times New Roman" w:cs="Times New Roman"/>
      <w:kern w:val="0"/>
      <w:sz w:val="20"/>
      <w:szCs w:val="20"/>
      <w:lang w:eastAsia="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rsid w:val="001D6B7D"/>
    <w:rPr>
      <w:szCs w:val="20"/>
    </w:rPr>
  </w:style>
  <w:style w:type="character" w:customStyle="1" w:styleId="FootnoteTextChar">
    <w:name w:val="Footnote Text Char"/>
    <w:basedOn w:val="DefaultParagraphFont"/>
    <w:link w:val="FootnoteText"/>
    <w:rsid w:val="001D6B7D"/>
    <w:rPr>
      <w:rFonts w:ascii="Calibri" w:eastAsia="Times New Roman" w:hAnsi="Calibri" w:cs="Times New Roman"/>
      <w:kern w:val="0"/>
      <w:sz w:val="20"/>
      <w:szCs w:val="20"/>
      <w:lang w:val="en-GB"/>
      <w14:ligatures w14:val="none"/>
    </w:rPr>
  </w:style>
  <w:style w:type="character" w:styleId="FootnoteReference">
    <w:name w:val="footnote reference"/>
    <w:basedOn w:val="DefaultParagraphFont"/>
    <w:rsid w:val="001D6B7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caitriona.freir@rcc.ie"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liannequigley@gmail.com"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j.napier@hw.ac.uk" TargetMode="External"/><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hyperlink" Target="mailto:leesonl@tcd.ie"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686051de-f70d-4c35-9570-0dd96066de21">
      <Terms xmlns="http://schemas.microsoft.com/office/infopath/2007/PartnerControls"/>
    </lcf76f155ced4ddcb4097134ff3c332f>
    <TaxCatchAll xmlns="5ace0d9a-63a6-4e53-b3ff-732e803e8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2B7811FFF3E5B4D869CE0BEEA6CACC7" ma:contentTypeVersion="13" ma:contentTypeDescription="Create a new document." ma:contentTypeScope="" ma:versionID="7e7e12e62fcceb3880bc54fd0c1f47fd">
  <xsd:schema xmlns:xsd="http://www.w3.org/2001/XMLSchema" xmlns:xs="http://www.w3.org/2001/XMLSchema" xmlns:p="http://schemas.microsoft.com/office/2006/metadata/properties" xmlns:ns2="686051de-f70d-4c35-9570-0dd96066de21" xmlns:ns3="5ace0d9a-63a6-4e53-b3ff-732e803e8e24" targetNamespace="http://schemas.microsoft.com/office/2006/metadata/properties" ma:root="true" ma:fieldsID="4da40b0781966a5f9f1b83d0a5908f9d" ns2:_="" ns3:_="">
    <xsd:import namespace="686051de-f70d-4c35-9570-0dd96066de21"/>
    <xsd:import namespace="5ace0d9a-63a6-4e53-b3ff-732e803e8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86051de-f70d-4c35-9570-0dd96066de2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bde7a3ad-b182-4452-baf9-258dd7500ff7"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ace0d9a-63a6-4e53-b3ff-732e803e8e24"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bd8e722c-0e3e-4049-b4a7-53cb67949c84}" ma:internalName="TaxCatchAll" ma:showField="CatchAllData" ma:web="5ace0d9a-63a6-4e53-b3ff-732e803e8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8F2FD66-6A48-437A-8298-C80A5CF6D9D3}">
  <ds:schemaRefs>
    <ds:schemaRef ds:uri="http://schemas.microsoft.com/office/2006/metadata/properties"/>
    <ds:schemaRef ds:uri="http://schemas.microsoft.com/office/infopath/2007/PartnerControls"/>
    <ds:schemaRef ds:uri="686051de-f70d-4c35-9570-0dd96066de21"/>
    <ds:schemaRef ds:uri="5ace0d9a-63a6-4e53-b3ff-732e803e8e24"/>
  </ds:schemaRefs>
</ds:datastoreItem>
</file>

<file path=customXml/itemProps2.xml><?xml version="1.0" encoding="utf-8"?>
<ds:datastoreItem xmlns:ds="http://schemas.openxmlformats.org/officeDocument/2006/customXml" ds:itemID="{D7F9CF9A-509C-458A-9887-FB7043C48815}">
  <ds:schemaRefs>
    <ds:schemaRef ds:uri="http://schemas.microsoft.com/sharepoint/v3/contenttype/forms"/>
  </ds:schemaRefs>
</ds:datastoreItem>
</file>

<file path=customXml/itemProps3.xml><?xml version="1.0" encoding="utf-8"?>
<ds:datastoreItem xmlns:ds="http://schemas.openxmlformats.org/officeDocument/2006/customXml" ds:itemID="{75FDB165-4996-49E0-9A7D-73914612F00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86051de-f70d-4c35-9570-0dd96066de21"/>
    <ds:schemaRef ds:uri="5ace0d9a-63a6-4e53-b3ff-732e803e8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9</Pages>
  <Words>5085</Words>
  <Characters>28990</Characters>
  <Application>Microsoft Office Word</Application>
  <DocSecurity>0</DocSecurity>
  <Lines>241</Lines>
  <Paragraphs>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34007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deafsign@ecml.at</dc:creator>
  <cp:keywords/>
  <dc:description/>
  <cp:lastModifiedBy>Lorraine Leeson</cp:lastModifiedBy>
  <cp:revision>3</cp:revision>
  <dcterms:created xsi:type="dcterms:W3CDTF">2025-01-21T06:08:00Z</dcterms:created>
  <dcterms:modified xsi:type="dcterms:W3CDTF">2025-01-21T16:38:00Z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0x010100C2B7811FFF3E5B4D869CE0BEEA6CACC7</vt:lpwstr>
  </property>
</Properties>
</file>