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DB82BB" w14:textId="4DD68F8F" w:rsidR="00BD625E" w:rsidRPr="00AD0D2F" w:rsidRDefault="003A17E8" w:rsidP="00D61140">
      <w:pPr>
        <w:spacing w:before="240" w:line="360" w:lineRule="auto"/>
        <w:jc w:val="both"/>
        <w:rPr>
          <w:rFonts w:ascii="Arial" w:hAnsi="Arial" w:cs="Arial"/>
          <w:b/>
          <w:sz w:val="20"/>
          <w:szCs w:val="20"/>
        </w:rPr>
      </w:pPr>
      <w:bookmarkStart w:id="0" w:name="_GoBack"/>
      <w:r w:rsidRPr="00AD0D2F">
        <w:rPr>
          <w:rFonts w:ascii="Arial" w:hAnsi="Arial" w:cs="Arial"/>
          <w:b/>
          <w:sz w:val="20"/>
          <w:szCs w:val="20"/>
        </w:rPr>
        <w:t>ORAL STAGE DYSPHAGIA IN ADULTS PRESENTING WITH TEMPOROMANDIBULAR DISORDERS</w:t>
      </w:r>
      <w:bookmarkEnd w:id="0"/>
      <w:r w:rsidR="00E2150D">
        <w:rPr>
          <w:rFonts w:ascii="Arial" w:hAnsi="Arial" w:cs="Arial"/>
          <w:b/>
          <w:sz w:val="20"/>
          <w:szCs w:val="20"/>
        </w:rPr>
        <w:t>.</w:t>
      </w:r>
    </w:p>
    <w:p w14:paraId="70331D11" w14:textId="77777777" w:rsidR="00BD625E" w:rsidRPr="00AD0D2F" w:rsidRDefault="003A17E8" w:rsidP="00D61140">
      <w:pPr>
        <w:spacing w:before="240" w:line="360" w:lineRule="auto"/>
        <w:jc w:val="both"/>
        <w:rPr>
          <w:sz w:val="20"/>
          <w:szCs w:val="20"/>
        </w:rPr>
      </w:pPr>
      <w:proofErr w:type="spellStart"/>
      <w:r w:rsidRPr="00AD0D2F">
        <w:rPr>
          <w:rFonts w:ascii="Arial" w:hAnsi="Arial" w:cs="Arial"/>
          <w:b/>
          <w:sz w:val="20"/>
          <w:szCs w:val="20"/>
        </w:rPr>
        <w:t>Gilheaney</w:t>
      </w:r>
      <w:proofErr w:type="spellEnd"/>
      <w:r w:rsidRPr="00AD0D2F">
        <w:rPr>
          <w:rFonts w:ascii="Arial" w:hAnsi="Arial" w:cs="Arial"/>
          <w:b/>
          <w:sz w:val="20"/>
          <w:szCs w:val="20"/>
        </w:rPr>
        <w:t xml:space="preserve">, </w:t>
      </w:r>
      <w:proofErr w:type="gramStart"/>
      <w:r w:rsidRPr="00AD0D2F">
        <w:rPr>
          <w:rFonts w:ascii="Arial" w:hAnsi="Arial" w:cs="Arial"/>
          <w:b/>
          <w:sz w:val="20"/>
          <w:szCs w:val="20"/>
        </w:rPr>
        <w:t>Ó.;</w:t>
      </w:r>
      <w:proofErr w:type="gramEnd"/>
      <w:r w:rsidRPr="00AD0D2F">
        <w:rPr>
          <w:rFonts w:ascii="Arial" w:hAnsi="Arial" w:cs="Arial"/>
          <w:b/>
          <w:sz w:val="20"/>
          <w:szCs w:val="20"/>
        </w:rPr>
        <w:t xml:space="preserve"> </w:t>
      </w:r>
      <w:proofErr w:type="spellStart"/>
      <w:r w:rsidRPr="00AD0D2F">
        <w:rPr>
          <w:rFonts w:ascii="Arial" w:hAnsi="Arial" w:cs="Arial"/>
          <w:b/>
          <w:sz w:val="20"/>
          <w:szCs w:val="20"/>
        </w:rPr>
        <w:t>Walshe</w:t>
      </w:r>
      <w:proofErr w:type="spellEnd"/>
      <w:r w:rsidRPr="00AD0D2F">
        <w:rPr>
          <w:rFonts w:ascii="Arial" w:hAnsi="Arial" w:cs="Arial"/>
          <w:b/>
          <w:sz w:val="20"/>
          <w:szCs w:val="20"/>
        </w:rPr>
        <w:t>, M.</w:t>
      </w:r>
      <w:r w:rsidRPr="00AD0D2F">
        <w:rPr>
          <w:rFonts w:ascii="Arial" w:hAnsi="Arial" w:cs="Arial"/>
          <w:b/>
          <w:sz w:val="20"/>
          <w:szCs w:val="20"/>
          <w:vertAlign w:val="subscript"/>
        </w:rPr>
        <w:t>1</w:t>
      </w:r>
    </w:p>
    <w:p w14:paraId="73EF0CE9" w14:textId="77777777" w:rsidR="00BD625E" w:rsidRPr="00AD0D2F" w:rsidRDefault="003A17E8" w:rsidP="00D61140">
      <w:pPr>
        <w:spacing w:before="240" w:line="360" w:lineRule="auto"/>
        <w:jc w:val="both"/>
        <w:rPr>
          <w:sz w:val="20"/>
          <w:szCs w:val="20"/>
        </w:rPr>
      </w:pPr>
      <w:r w:rsidRPr="00AD0D2F">
        <w:rPr>
          <w:rFonts w:ascii="Arial" w:hAnsi="Arial" w:cs="Arial"/>
          <w:b/>
          <w:sz w:val="20"/>
          <w:szCs w:val="20"/>
          <w:vertAlign w:val="superscript"/>
        </w:rPr>
        <w:t>1</w:t>
      </w:r>
      <w:r w:rsidRPr="00AD0D2F">
        <w:rPr>
          <w:rFonts w:ascii="Arial" w:hAnsi="Arial" w:cs="Arial"/>
          <w:b/>
          <w:sz w:val="20"/>
          <w:szCs w:val="20"/>
        </w:rPr>
        <w:t>The Department of Clinical Speech and Language Studies, Trinity College Dublin, Dublin 2.</w:t>
      </w:r>
    </w:p>
    <w:p w14:paraId="34CF2AAD" w14:textId="6BA8BBD9" w:rsidR="00BD625E" w:rsidRPr="00AD0D2F" w:rsidRDefault="003A17E8" w:rsidP="00D61140">
      <w:pPr>
        <w:spacing w:before="240" w:line="360" w:lineRule="auto"/>
        <w:jc w:val="both"/>
        <w:rPr>
          <w:sz w:val="20"/>
          <w:szCs w:val="20"/>
        </w:rPr>
      </w:pPr>
      <w:r w:rsidRPr="00AD0D2F">
        <w:rPr>
          <w:rFonts w:ascii="Arial" w:hAnsi="Arial" w:cs="Arial"/>
          <w:sz w:val="20"/>
          <w:szCs w:val="20"/>
          <w:u w:val="single"/>
        </w:rPr>
        <w:t>Introduction</w:t>
      </w:r>
      <w:r w:rsidRPr="00AD0D2F">
        <w:rPr>
          <w:rFonts w:ascii="Arial" w:hAnsi="Arial" w:cs="Arial"/>
          <w:sz w:val="20"/>
          <w:szCs w:val="20"/>
        </w:rPr>
        <w:t>: Temporomandibular disorders (TMDs) are the most common non-dental orofacial pain disorders</w:t>
      </w:r>
      <w:r w:rsidR="005B160C">
        <w:rPr>
          <w:rFonts w:ascii="Arial" w:hAnsi="Arial" w:cs="Arial"/>
          <w:sz w:val="20"/>
          <w:szCs w:val="20"/>
        </w:rPr>
        <w:t>. These</w:t>
      </w:r>
      <w:r w:rsidRPr="00AD0D2F">
        <w:rPr>
          <w:rFonts w:ascii="Arial" w:hAnsi="Arial" w:cs="Arial"/>
          <w:sz w:val="20"/>
          <w:szCs w:val="20"/>
        </w:rPr>
        <w:t xml:space="preserve"> may cause oral stage dysphagia (OD). Yet little is known about</w:t>
      </w:r>
      <w:r w:rsidR="005B160C">
        <w:rPr>
          <w:rFonts w:ascii="Arial" w:hAnsi="Arial" w:cs="Arial"/>
          <w:sz w:val="20"/>
          <w:szCs w:val="20"/>
        </w:rPr>
        <w:t xml:space="preserve"> the nature and extent of this dysphagia</w:t>
      </w:r>
      <w:r w:rsidR="00D61140">
        <w:rPr>
          <w:rFonts w:ascii="Arial" w:hAnsi="Arial" w:cs="Arial"/>
          <w:sz w:val="20"/>
          <w:szCs w:val="20"/>
        </w:rPr>
        <w:t xml:space="preserve"> or</w:t>
      </w:r>
      <w:r w:rsidR="005B160C">
        <w:rPr>
          <w:rFonts w:ascii="Arial" w:hAnsi="Arial" w:cs="Arial"/>
          <w:sz w:val="20"/>
          <w:szCs w:val="20"/>
        </w:rPr>
        <w:t xml:space="preserve"> its impact on patients</w:t>
      </w:r>
      <w:r w:rsidRPr="00AD0D2F">
        <w:rPr>
          <w:rFonts w:ascii="Arial" w:hAnsi="Arial" w:cs="Arial"/>
          <w:sz w:val="20"/>
          <w:szCs w:val="20"/>
        </w:rPr>
        <w:t xml:space="preserve">. </w:t>
      </w:r>
      <w:r w:rsidR="008238C0" w:rsidRPr="00AD0D2F">
        <w:rPr>
          <w:rFonts w:ascii="Arial" w:hAnsi="Arial" w:cs="Arial"/>
          <w:sz w:val="20"/>
          <w:szCs w:val="20"/>
        </w:rPr>
        <w:t xml:space="preserve">The </w:t>
      </w:r>
      <w:r w:rsidRPr="00AD0D2F">
        <w:rPr>
          <w:rFonts w:ascii="Arial" w:hAnsi="Arial" w:cs="Arial"/>
          <w:sz w:val="20"/>
          <w:szCs w:val="20"/>
        </w:rPr>
        <w:t>aim</w:t>
      </w:r>
      <w:r w:rsidR="008238C0" w:rsidRPr="00AD0D2F">
        <w:rPr>
          <w:rFonts w:ascii="Arial" w:hAnsi="Arial" w:cs="Arial"/>
          <w:sz w:val="20"/>
          <w:szCs w:val="20"/>
        </w:rPr>
        <w:t xml:space="preserve"> of this study</w:t>
      </w:r>
      <w:r w:rsidRPr="00AD0D2F">
        <w:rPr>
          <w:rFonts w:ascii="Arial" w:hAnsi="Arial" w:cs="Arial"/>
          <w:sz w:val="20"/>
          <w:szCs w:val="20"/>
        </w:rPr>
        <w:t xml:space="preserve"> </w:t>
      </w:r>
      <w:r w:rsidR="00A53100">
        <w:rPr>
          <w:rFonts w:ascii="Arial" w:hAnsi="Arial" w:cs="Arial"/>
          <w:sz w:val="20"/>
          <w:szCs w:val="20"/>
        </w:rPr>
        <w:t xml:space="preserve">was </w:t>
      </w:r>
      <w:r w:rsidRPr="00AD0D2F">
        <w:rPr>
          <w:rFonts w:ascii="Arial" w:hAnsi="Arial" w:cs="Arial"/>
          <w:sz w:val="20"/>
          <w:szCs w:val="20"/>
        </w:rPr>
        <w:t xml:space="preserve">to investigate the epidemiology, impact, and </w:t>
      </w:r>
      <w:r w:rsidR="00AD0D2F">
        <w:rPr>
          <w:rFonts w:ascii="Arial" w:hAnsi="Arial" w:cs="Arial"/>
          <w:sz w:val="20"/>
          <w:szCs w:val="20"/>
        </w:rPr>
        <w:t xml:space="preserve">patient perceptions of </w:t>
      </w:r>
      <w:r w:rsidR="00AD0D2F" w:rsidRPr="00AD0D2F">
        <w:rPr>
          <w:rFonts w:ascii="Arial" w:hAnsi="Arial" w:cs="Arial"/>
          <w:sz w:val="20"/>
          <w:szCs w:val="20"/>
        </w:rPr>
        <w:t>TMD-related OD</w:t>
      </w:r>
      <w:r w:rsidRPr="00AD0D2F">
        <w:rPr>
          <w:rFonts w:ascii="Arial" w:hAnsi="Arial" w:cs="Arial"/>
          <w:sz w:val="20"/>
          <w:szCs w:val="20"/>
        </w:rPr>
        <w:t xml:space="preserve">, with the view to improve future care provision and research in this </w:t>
      </w:r>
      <w:r w:rsidR="00A53100">
        <w:rPr>
          <w:rFonts w:ascii="Arial" w:hAnsi="Arial" w:cs="Arial"/>
          <w:sz w:val="20"/>
          <w:szCs w:val="20"/>
        </w:rPr>
        <w:t>area</w:t>
      </w:r>
      <w:r w:rsidRPr="00AD0D2F">
        <w:rPr>
          <w:rFonts w:ascii="Arial" w:hAnsi="Arial" w:cs="Arial"/>
          <w:sz w:val="20"/>
          <w:szCs w:val="20"/>
        </w:rPr>
        <w:t>.</w:t>
      </w:r>
    </w:p>
    <w:p w14:paraId="0AA4F535" w14:textId="433B5FCE" w:rsidR="00AD0D2F" w:rsidRPr="00AD0D2F" w:rsidRDefault="003A17E8" w:rsidP="00D61140">
      <w:pPr>
        <w:spacing w:before="240" w:line="360" w:lineRule="auto"/>
        <w:jc w:val="both"/>
        <w:rPr>
          <w:rFonts w:ascii="Arial" w:hAnsi="Arial" w:cs="Arial"/>
          <w:sz w:val="20"/>
          <w:szCs w:val="20"/>
        </w:rPr>
      </w:pPr>
      <w:r w:rsidRPr="00AD0D2F">
        <w:rPr>
          <w:rFonts w:ascii="Arial" w:hAnsi="Arial" w:cs="Arial"/>
          <w:sz w:val="20"/>
          <w:szCs w:val="20"/>
          <w:u w:val="single"/>
        </w:rPr>
        <w:t>Materials and Methods</w:t>
      </w:r>
      <w:r w:rsidRPr="00AD0D2F">
        <w:rPr>
          <w:rFonts w:ascii="Arial" w:hAnsi="Arial" w:cs="Arial"/>
          <w:sz w:val="20"/>
          <w:szCs w:val="20"/>
        </w:rPr>
        <w:t xml:space="preserve">: </w:t>
      </w:r>
      <w:r w:rsidR="00AD0D2F">
        <w:rPr>
          <w:rFonts w:ascii="Arial" w:hAnsi="Arial" w:cs="Arial"/>
          <w:sz w:val="20"/>
          <w:szCs w:val="20"/>
        </w:rPr>
        <w:t xml:space="preserve">A cross-sectional prospective study was completed in 2 </w:t>
      </w:r>
      <w:r w:rsidR="00AD0D2F" w:rsidRPr="00AD0D2F">
        <w:rPr>
          <w:rFonts w:ascii="Arial" w:hAnsi="Arial" w:cs="Arial"/>
          <w:sz w:val="20"/>
          <w:szCs w:val="20"/>
        </w:rPr>
        <w:t>national specialist centres</w:t>
      </w:r>
      <w:r w:rsidR="005B160C">
        <w:rPr>
          <w:rFonts w:ascii="Arial" w:hAnsi="Arial" w:cs="Arial"/>
          <w:sz w:val="20"/>
          <w:szCs w:val="20"/>
        </w:rPr>
        <w:t xml:space="preserve"> in the Republic of Ireland. </w:t>
      </w:r>
      <w:r w:rsidR="00AD0D2F">
        <w:rPr>
          <w:rFonts w:ascii="Arial" w:hAnsi="Arial" w:cs="Arial"/>
          <w:sz w:val="20"/>
          <w:szCs w:val="20"/>
        </w:rPr>
        <w:t xml:space="preserve">126 participants </w:t>
      </w:r>
      <w:r w:rsidR="00A53100">
        <w:rPr>
          <w:rFonts w:ascii="Arial" w:hAnsi="Arial" w:cs="Arial"/>
          <w:sz w:val="20"/>
          <w:szCs w:val="20"/>
        </w:rPr>
        <w:t xml:space="preserve">were </w:t>
      </w:r>
      <w:r w:rsidR="00AD0D2F">
        <w:rPr>
          <w:rFonts w:ascii="Arial" w:hAnsi="Arial" w:cs="Arial"/>
          <w:sz w:val="20"/>
          <w:szCs w:val="20"/>
        </w:rPr>
        <w:t xml:space="preserve">recruited. </w:t>
      </w:r>
      <w:r w:rsidR="00AD0D2F" w:rsidRPr="00AD0D2F">
        <w:rPr>
          <w:rFonts w:ascii="Arial" w:hAnsi="Arial" w:cs="Arial"/>
          <w:sz w:val="20"/>
          <w:szCs w:val="20"/>
        </w:rPr>
        <w:t>Epidemiology, impact</w:t>
      </w:r>
      <w:r w:rsidR="00AD0D2F">
        <w:rPr>
          <w:rFonts w:ascii="Arial" w:hAnsi="Arial" w:cs="Arial"/>
          <w:sz w:val="20"/>
          <w:szCs w:val="20"/>
        </w:rPr>
        <w:t>,</w:t>
      </w:r>
      <w:r w:rsidR="00AD0D2F" w:rsidRPr="00AD0D2F">
        <w:rPr>
          <w:rFonts w:ascii="Arial" w:hAnsi="Arial" w:cs="Arial"/>
          <w:sz w:val="20"/>
          <w:szCs w:val="20"/>
        </w:rPr>
        <w:t xml:space="preserve"> and </w:t>
      </w:r>
      <w:r w:rsidR="00D61140">
        <w:rPr>
          <w:rFonts w:ascii="Arial" w:hAnsi="Arial" w:cs="Arial"/>
          <w:sz w:val="20"/>
          <w:szCs w:val="20"/>
        </w:rPr>
        <w:t xml:space="preserve">patient perspectives on </w:t>
      </w:r>
      <w:r w:rsidR="00AD0D2F">
        <w:rPr>
          <w:rFonts w:ascii="Arial" w:hAnsi="Arial" w:cs="Arial"/>
          <w:sz w:val="20"/>
          <w:szCs w:val="20"/>
        </w:rPr>
        <w:t>management were</w:t>
      </w:r>
      <w:r w:rsidR="00AD0D2F" w:rsidRPr="00AD0D2F">
        <w:rPr>
          <w:rFonts w:ascii="Arial" w:hAnsi="Arial" w:cs="Arial"/>
          <w:sz w:val="20"/>
          <w:szCs w:val="20"/>
        </w:rPr>
        <w:t xml:space="preserve"> asses</w:t>
      </w:r>
      <w:r w:rsidR="00AD0D2F">
        <w:rPr>
          <w:rFonts w:ascii="Arial" w:hAnsi="Arial" w:cs="Arial"/>
          <w:sz w:val="20"/>
          <w:szCs w:val="20"/>
        </w:rPr>
        <w:t>sed using a specifically devised protocol</w:t>
      </w:r>
      <w:r w:rsidR="00A53100">
        <w:rPr>
          <w:rFonts w:ascii="Arial" w:hAnsi="Arial" w:cs="Arial"/>
          <w:sz w:val="20"/>
          <w:szCs w:val="20"/>
        </w:rPr>
        <w:t xml:space="preserve"> that included </w:t>
      </w:r>
      <w:r w:rsidR="00083E11">
        <w:rPr>
          <w:rFonts w:ascii="Arial" w:hAnsi="Arial" w:cs="Arial"/>
          <w:sz w:val="20"/>
          <w:szCs w:val="20"/>
        </w:rPr>
        <w:t>the Diagnostic Criteria for Temporomandibular Disorders</w:t>
      </w:r>
      <w:r w:rsidR="00AD0D2F" w:rsidRPr="00AD0D2F">
        <w:rPr>
          <w:rFonts w:ascii="Arial" w:hAnsi="Arial" w:cs="Arial"/>
          <w:sz w:val="20"/>
          <w:szCs w:val="20"/>
          <w:vertAlign w:val="superscript"/>
        </w:rPr>
        <w:fldChar w:fldCharType="begin"/>
      </w:r>
      <w:r w:rsidR="00AD0D2F" w:rsidRPr="00AD0D2F">
        <w:rPr>
          <w:rFonts w:ascii="Arial" w:hAnsi="Arial" w:cs="Arial"/>
          <w:sz w:val="20"/>
          <w:szCs w:val="20"/>
          <w:vertAlign w:val="superscript"/>
        </w:rPr>
        <w:instrText xml:space="preserve"> ADDIN ZOTERO_ITEM CSL_CITATION {"citationID":"eCofkKKS","properties":{"formattedCitation":"(1)","plainCitation":"(1)","noteIndex":0},"citationItems":[{"id":55,"uris":["http://zotero.org/users/local/nlzVUL7s/items/VPK22XTF"],"uri":["http://zotero.org/users/local/nlzVUL7s/items/VPK22XTF"],"itemData":{"id":55,"type":"article-journal","title":"Diagnostic Criteria for Temporomandibular Disorders (DC/TMD) for Clinical and Research Applications: recommendations of the International RDC/TMD Consortium Network* and Orofacial Pain Special Interest Group†","container-title":"Journal of Oral &amp; Facial Pain and Headache","page":"6-27","volume":"28","issue":"1","source":"PubMed","abstract":"AIMS: The original Research Diagnostic Criteria for Temporomandibular Disorders (RDC/TMD) Axis I diagnostic algorithms have been demonstrated to be reliable. However, the Validation Project determined that the RDC/TMD Axis I validity was below the target sensitivity of ≥ 0.70 and specificity of ≥ 0.95. Consequently, these empirical results supported the development of revised RDC/TMD Axis I diagnostic algorithms that were subsequently demonstrated to be valid for the most common pain-related TMD and for one temporomandibular joint (TMJ) intra-articular disorder. The original RDC/TMD Axis II instruments were shown to be both reliable and valid. Working from these findings and revisions, two international consensus workshops were convened, from which recommendations were obtained for the finalization of new Axis I diagnostic algorithms and new Axis II instruments.\nMETHODS: Through a series of workshops and symposia, a panel of clinical and basic science pain experts modified the revised RDC/TMD Axis I algorithms by using comprehensive searches of published TMD diagnostic literature followed by review and consensus via a formal structured process. The panel's recommendations for further revision of the Axis I diagnostic algorithms were assessed for validity by using the Validation Project's data set, and for reliability by using newly collected data from the ongoing TMJ Impact Project-the follow-up study to the Validation Project. New Axis II instruments were identified through a comprehensive search of the literature providing valid instruments that, relative to the RDC/TMD, are shorter in length, are available in the public domain, and currently are being used in medical settings.\nRESULTS: The newly recommended Diagnostic Criteria for TMD (DC/TMD) Axis I protocol includes both a valid screener for detecting any pain-related TMD as well as valid diagnostic criteria for differentiating the most common pain-related TMD (sensitivity ≥ 0.86, specificity ≥ 0.98) and for one intra-articular disorder (sensitivity of 0.80 and specificity of 0.97). Diagnostic criteria for other common intra-articular disorders lack adequate validity for clinical diagnoses but can be used for screening purposes. Inter-examiner reliability for the clinical assessment associated with the validated DC/TMD criteria for pain-related TMD is excellent (kappa ≥ 0.85). Finally, a comprehensive classification system that includes both the common and less common TMD is also presented. The Axis II protocol retains selected original RDC/TMD screening instruments augmented with new instruments to assess jaw function as well as behavioral and additional psychosocial factors. The Axis II protocol is divided into screening and comprehensive self report instrument sets. The screening instruments' 41 questions assess pain intensity, pain-related disability, psychological distress, jaw functional limitations, and parafunctional behaviors, and a pain drawing is used to assess locations of pain. The comprehensive instruments, composed of 81 questions, assess in further detail jaw functional limitations and psychological distress as well as additional constructs of anxiety and presence of comorbid pain conditions.\nCONCLUSION: The recommended evidence-based new DC/TMD protocol is appropriate for use in both clinical and research settings. More comprehensive instruments augment short and simple screening instruments for Axis I and Axis II. These validated instruments allow for identification of patients with a range of simple to complex TMD presentations.","ISSN":"2333-0384","note":"PMID: 24482784\nPMCID: PMC4478082","shortTitle":"Diagnostic Criteria for Temporomandibular Disorders (DC/TMD) for Clinical and Research Applications","journalAbbreviation":"J Oral Facial Pain Headache","language":"eng","author":[{"family":"Schiffman","given":"Eric"},{"family":"Ohrbach","given":"Richard"},{"family":"Truelove","given":"Edmond"},{"family":"Look","given":"John"},{"family":"Anderson","given":"Gary"},{"family":"Goulet","given":"Jean-Paul"},{"family":"List","given":"Thomas"},{"family":"Svensson","given":"Peter"},{"family":"Gonzalez","given":"Yoly"},{"family":"Lobbezoo","given":"Frank"},{"family":"Michelotti","given":"Ambra"},{"family":"Brooks","given":"Sharon L."},{"family":"Ceusters","given":"Werner"},{"family":"Drangsholt","given":"Mark"},{"family":"Ettlin","given":"Dominik"},{"family":"Gaul","given":"Charly"},{"family":"Goldberg","given":"Louis J."},{"family":"Haythornthwaite","given":"Jennifer A."},{"family":"Hollender","given":"Lars"},{"family":"Jensen","given":"Rigmor"},{"family":"John","given":"Mike T."},{"family":"De Laat","given":"Antoon"},{"family":"Leeuw","given":"Reny","non-dropping-particle":"de"},{"family":"Maixner","given":"William"},{"family":"Meulen","given":"Marylee","non-dropping-particle":"van der"},{"family":"Murray","given":"Greg M."},{"family":"Nixdorf","given":"Donald R."},{"family":"Palla","given":"Sandro"},{"family":"Petersson","given":"Arne"},{"family":"Pionchon","given":"Paul"},{"family":"Smith","given":"Barry"},{"family":"Visscher","given":"Corine M."},{"family":"Zakrzewska","given":"Joanna"},{"family":"Dworkin","given":"Samuel F."},{"literal":"International RDC/TMD Consortium Network, International association for Dental Research"},{"literal":"Orofacial Pain Special Interest Group, International Association for the Study of Pain"}],"issued":{"date-parts":[["2014"]]}}}],"schema":"https://github.com/citation-style-language/schema/raw/master/csl-citation.json"} </w:instrText>
      </w:r>
      <w:r w:rsidR="00AD0D2F" w:rsidRPr="00AD0D2F">
        <w:rPr>
          <w:rFonts w:ascii="Arial" w:hAnsi="Arial" w:cs="Arial"/>
          <w:sz w:val="20"/>
          <w:szCs w:val="20"/>
          <w:vertAlign w:val="superscript"/>
        </w:rPr>
        <w:fldChar w:fldCharType="separate"/>
      </w:r>
      <w:r w:rsidR="00AD0D2F" w:rsidRPr="00AD0D2F">
        <w:rPr>
          <w:rFonts w:ascii="Arial" w:hAnsi="Arial" w:cs="Arial"/>
          <w:sz w:val="20"/>
          <w:vertAlign w:val="superscript"/>
        </w:rPr>
        <w:t>(1)</w:t>
      </w:r>
      <w:r w:rsidR="00AD0D2F" w:rsidRPr="00AD0D2F">
        <w:rPr>
          <w:rFonts w:ascii="Arial" w:hAnsi="Arial" w:cs="Arial"/>
          <w:sz w:val="20"/>
          <w:szCs w:val="20"/>
          <w:vertAlign w:val="superscript"/>
        </w:rPr>
        <w:fldChar w:fldCharType="end"/>
      </w:r>
      <w:r w:rsidR="00AD0D2F">
        <w:rPr>
          <w:rFonts w:ascii="Arial" w:hAnsi="Arial" w:cs="Arial"/>
          <w:sz w:val="20"/>
          <w:szCs w:val="20"/>
        </w:rPr>
        <w:t>, the TOMASS</w:t>
      </w:r>
      <w:r w:rsidR="00AD0D2F" w:rsidRPr="00AD0D2F">
        <w:rPr>
          <w:rFonts w:ascii="Arial" w:hAnsi="Arial" w:cs="Arial"/>
          <w:sz w:val="20"/>
          <w:szCs w:val="20"/>
          <w:vertAlign w:val="superscript"/>
        </w:rPr>
        <w:fldChar w:fldCharType="begin"/>
      </w:r>
      <w:r w:rsidR="00AD0D2F" w:rsidRPr="00AD0D2F">
        <w:rPr>
          <w:rFonts w:ascii="Arial" w:hAnsi="Arial" w:cs="Arial"/>
          <w:sz w:val="20"/>
          <w:szCs w:val="20"/>
          <w:vertAlign w:val="superscript"/>
        </w:rPr>
        <w:instrText xml:space="preserve"> ADDIN ZOTERO_ITEM CSL_CITATION {"citationID":"LaDy42iN","properties":{"formattedCitation":"(2)","plainCitation":"(2)","noteIndex":0},"citationItems":[{"id":867,"uris":["http://zotero.org/users/local/nlzVUL7s/items/YP5QVRX4"],"uri":["http://zotero.org/users/local/nlzVUL7s/items/YP5QVRX4"],"itemData":{"id":867,"type":"article-journal","title":"The Test of Masticating and Swallowing Solids (TOMASS): reliability, validity and international normative data","container-title":"International Journal of Language &amp; Communication Disorders","page":"144-156","volume":"53","issue":"1","source":"PubMed","abstract":"BACKGROUND: Clinical swallowing assessment is largely limited to qualitative assessment of behavioural observations. There are limited quantitative data that can be compared with a healthy population for identification of impairment. The Test of Masticating and Swallowing Solids (TOMASS) was developed as a quantitative assessment of solid bolus ingestion.\nAIMS: This research programme investigated test development indices and established normative data for the TOMASS to support translation to clinical dysphagia assessment.\nMETHODS &amp; PROCEDURES: A total of 228 healthy adults (ages 20-80+ years) stratified by age and sex participated in one or more of four consecutive studies evaluating test-retest and interrater reliability and validity to instrumental assessment. For each study the test required participants to ingest a commercially available cracker with instructions to 'eat this as quickly as is comfortably possible'. Further averaged measures were derived including the number of masticatory cycles and swallows per bite, and time per bite, masticatory cycle and swallow. Initial analyses identified significant differences on salient measures between two commercially available crackers that are nearly identical in shape, size and ingredients, suggesting the need for separate normative samples for specific regional products. Additional analyses on a single cracker identified that the TOMASS was sensitive at detecting changes in performance based on age and sex. Test-retest reliability across days and interrater reliability between clinicians was high, as was validation of observational measures to instrumental correlates of the same behaviours. Therefore, normative data are provided for the TOMASS from a minimum of 80 healthy controls, stratified by age and sex, for each of seven commercially available crackers from broad regions worldwide.\nOUTCOMES &amp; RESULTS: Analyses on a single cracker identified Arnott's Salada, and that TOMASS measures were sensitive for detecting changes in performance based on age and sex. Interrater and test-retest reliability across days were high, as was validation of observational measures to instrumental correlates of the same behaviours. Significant differences were identified between two commercially available crackers, nearly identical in shape, size and ingredients, thus normative samples for specific regional products were required. Normative data were then acquired for the TOMASS from a minimum of 80 healthy controls, stratified by age and sex, for each of seven commercially available crackers from broad regions worldwide.\nCONCLUSIONS &amp; IMPLICATIONS: The TOMASS is presented as a valid, reliable and broadly normed clinical assessment of solid bolus ingestion. Clinical application may help identify dysphagic patients at bedside and provide a non-invasive, but sensitive, measure of functional change in swallowing.","DOI":"10.1111/1460-6984.12332","ISSN":"1460-6984","note":"PMID: 28677236","shortTitle":"The Test of Masticating and Swallowing Solids (TOMASS)","journalAbbreviation":"Int J Lang Commun Disord","language":"eng","author":[{"family":"Huckabee","given":"Maggie-Lee"},{"family":"McIntosh","given":"Theresa"},{"family":"Fuller","given":"Laura"},{"family":"Curry","given":"Morgan"},{"family":"Thomas","given":"Paige"},{"family":"Walshe","given":"Margaret"},{"family":"McCague","given":"Ellen"},{"family":"Battel","given":"Irene"},{"family":"Nogueira","given":"Dalia"},{"family":"Frank","given":"Ulrike"},{"family":"Engel-Hoek","given":"Lenie","non-dropping-particle":"van den"},{"family":"Sella-Weiss","given":"Oshrat"}],"issued":{"date-parts":[["2018",1]]}}}],"schema":"https://github.com/citation-style-language/schema/raw/master/csl-citation.json"} </w:instrText>
      </w:r>
      <w:r w:rsidR="00AD0D2F" w:rsidRPr="00AD0D2F">
        <w:rPr>
          <w:rFonts w:ascii="Arial" w:hAnsi="Arial" w:cs="Arial"/>
          <w:sz w:val="20"/>
          <w:szCs w:val="20"/>
          <w:vertAlign w:val="superscript"/>
        </w:rPr>
        <w:fldChar w:fldCharType="separate"/>
      </w:r>
      <w:r w:rsidR="00AD0D2F" w:rsidRPr="00AD0D2F">
        <w:rPr>
          <w:rFonts w:ascii="Arial" w:hAnsi="Arial" w:cs="Arial"/>
          <w:sz w:val="20"/>
          <w:vertAlign w:val="superscript"/>
        </w:rPr>
        <w:t>(2)</w:t>
      </w:r>
      <w:r w:rsidR="00AD0D2F" w:rsidRPr="00AD0D2F">
        <w:rPr>
          <w:rFonts w:ascii="Arial" w:hAnsi="Arial" w:cs="Arial"/>
          <w:sz w:val="20"/>
          <w:szCs w:val="20"/>
          <w:vertAlign w:val="superscript"/>
        </w:rPr>
        <w:fldChar w:fldCharType="end"/>
      </w:r>
      <w:r w:rsidR="00AD0D2F">
        <w:rPr>
          <w:rFonts w:ascii="Arial" w:hAnsi="Arial" w:cs="Arial"/>
          <w:sz w:val="20"/>
          <w:szCs w:val="20"/>
        </w:rPr>
        <w:t>, the DHI</w:t>
      </w:r>
      <w:r w:rsidR="00AD0D2F" w:rsidRPr="00AD0D2F">
        <w:rPr>
          <w:rFonts w:ascii="Arial" w:hAnsi="Arial" w:cs="Arial"/>
          <w:sz w:val="20"/>
          <w:szCs w:val="20"/>
          <w:vertAlign w:val="superscript"/>
        </w:rPr>
        <w:fldChar w:fldCharType="begin"/>
      </w:r>
      <w:r w:rsidR="00AD0D2F" w:rsidRPr="00AD0D2F">
        <w:rPr>
          <w:rFonts w:ascii="Arial" w:hAnsi="Arial" w:cs="Arial"/>
          <w:sz w:val="20"/>
          <w:szCs w:val="20"/>
          <w:vertAlign w:val="superscript"/>
        </w:rPr>
        <w:instrText xml:space="preserve"> ADDIN ZOTERO_ITEM CSL_CITATION {"citationID":"k17ahESO","properties":{"formattedCitation":"(3)","plainCitation":"(3)","noteIndex":0},"citationItems":[{"id":1178,"uris":["http://zotero.org/users/local/nlzVUL7s/items/MKHPRY3C"],"uri":["http://zotero.org/users/local/nlzVUL7s/items/MKHPRY3C"],"itemData":{"id":1178,"type":"article-journal","title":"The Dysphagia handicap index: development and validation","container-title":"Dysphagia","page":"46-52","volume":"27","issue":"1","source":"PubMed","abstract":"Quality-of-life indicators for dysphagia provide invaluable information to the treating clinician regarding the success or failure of swallowing therapy. The purpose of this study was to develop a clinically efficient, statistically robust patient-reported outcomes tool that measures the handicapping effect of dysphagia on emotional, functional, and physical aspects of individual's lives. 60 statements describing the handicapping effect of dysphagia were collected from patient reports and divided into subscales of physical, emotional, and functional problems. The statements were presented to 77 individuals with dysphagia. Respondents replied never, sometimes, or always to each statement and rated their self-perceived dysphagia severity on a 7-point equal-appearing interval scale. Cronbach's α was performed to assess the internal consistency validation of the items within the questionnaire. The final questionnaire was reduced to 25 items and administered to 214 individuals with dysphagia and 74 controls. Test-retest was performed on 63 individuals with dysphagia. Cronbach's α for the initial and final versions was strong at r = 0.96 and r = 0.94, respectively. Significant differences occurred between the dysphagia and control groups. Test-retest reliability was strong. We present a new, easy-to-complete, statistically robust, patient-reported outcomes measure for assessing the handicapping effect of dysphagia.","DOI":"10.1007/s00455-011-9336-2","ISSN":"1432-0460","note":"PMID: 21424584","shortTitle":"The Dysphagia handicap index","journalAbbreviation":"Dysphagia","language":"eng","author":[{"family":"Silbergleit","given":"Alice K."},{"family":"Schultz","given":"Lonni"},{"family":"Jacobson","given":"Barbara H."},{"family":"Beardsley","given":"Tausha"},{"family":"Johnson","given":"Alex F."}],"issued":{"date-parts":[["2012",3]]}}}],"schema":"https://github.com/citation-style-language/schema/raw/master/csl-citation.json"} </w:instrText>
      </w:r>
      <w:r w:rsidR="00AD0D2F" w:rsidRPr="00AD0D2F">
        <w:rPr>
          <w:rFonts w:ascii="Arial" w:hAnsi="Arial" w:cs="Arial"/>
          <w:sz w:val="20"/>
          <w:szCs w:val="20"/>
          <w:vertAlign w:val="superscript"/>
        </w:rPr>
        <w:fldChar w:fldCharType="separate"/>
      </w:r>
      <w:r w:rsidR="00AD0D2F" w:rsidRPr="00AD0D2F">
        <w:rPr>
          <w:rFonts w:ascii="Arial" w:hAnsi="Arial" w:cs="Arial"/>
          <w:sz w:val="20"/>
          <w:vertAlign w:val="superscript"/>
        </w:rPr>
        <w:t>(3)</w:t>
      </w:r>
      <w:r w:rsidR="00AD0D2F" w:rsidRPr="00AD0D2F">
        <w:rPr>
          <w:rFonts w:ascii="Arial" w:hAnsi="Arial" w:cs="Arial"/>
          <w:sz w:val="20"/>
          <w:szCs w:val="20"/>
          <w:vertAlign w:val="superscript"/>
        </w:rPr>
        <w:fldChar w:fldCharType="end"/>
      </w:r>
      <w:r w:rsidR="00AD0D2F">
        <w:rPr>
          <w:rFonts w:ascii="Arial" w:hAnsi="Arial" w:cs="Arial"/>
          <w:sz w:val="20"/>
          <w:szCs w:val="20"/>
        </w:rPr>
        <w:t>, and a patient information survey.</w:t>
      </w:r>
      <w:r w:rsidR="00AD0D2F" w:rsidRPr="00AD0D2F">
        <w:rPr>
          <w:rFonts w:ascii="Arial" w:hAnsi="Arial" w:cs="Arial"/>
          <w:sz w:val="20"/>
          <w:szCs w:val="20"/>
        </w:rPr>
        <w:t xml:space="preserve"> </w:t>
      </w:r>
      <w:r w:rsidR="00AD0D2F" w:rsidRPr="009F6EC7">
        <w:rPr>
          <w:rFonts w:ascii="Arial" w:hAnsi="Arial" w:cs="Arial"/>
          <w:sz w:val="20"/>
          <w:szCs w:val="20"/>
        </w:rPr>
        <w:t>Descriptive and statistical data</w:t>
      </w:r>
      <w:r w:rsidR="00AD0D2F">
        <w:rPr>
          <w:rFonts w:ascii="Arial" w:hAnsi="Arial" w:cs="Arial"/>
          <w:sz w:val="20"/>
          <w:szCs w:val="20"/>
        </w:rPr>
        <w:t xml:space="preserve"> </w:t>
      </w:r>
      <w:r w:rsidR="00AD0D2F" w:rsidRPr="009F6EC7">
        <w:rPr>
          <w:rFonts w:ascii="Arial" w:hAnsi="Arial" w:cs="Arial"/>
          <w:sz w:val="20"/>
          <w:szCs w:val="20"/>
        </w:rPr>
        <w:t>analys</w:t>
      </w:r>
      <w:r w:rsidR="00A53100">
        <w:rPr>
          <w:rFonts w:ascii="Arial" w:hAnsi="Arial" w:cs="Arial"/>
          <w:sz w:val="20"/>
          <w:szCs w:val="20"/>
        </w:rPr>
        <w:t>e</w:t>
      </w:r>
      <w:r w:rsidR="00AD0D2F">
        <w:rPr>
          <w:rFonts w:ascii="Arial" w:hAnsi="Arial" w:cs="Arial"/>
          <w:sz w:val="20"/>
          <w:szCs w:val="20"/>
        </w:rPr>
        <w:t>s w</w:t>
      </w:r>
      <w:r w:rsidR="00A53100">
        <w:rPr>
          <w:rFonts w:ascii="Arial" w:hAnsi="Arial" w:cs="Arial"/>
          <w:sz w:val="20"/>
          <w:szCs w:val="20"/>
        </w:rPr>
        <w:t>ere</w:t>
      </w:r>
      <w:r w:rsidR="00AD0D2F">
        <w:rPr>
          <w:rFonts w:ascii="Arial" w:hAnsi="Arial" w:cs="Arial"/>
          <w:sz w:val="20"/>
          <w:szCs w:val="20"/>
        </w:rPr>
        <w:t xml:space="preserve"> completed</w:t>
      </w:r>
      <w:r w:rsidR="00AD0D2F" w:rsidRPr="00AD0D2F">
        <w:rPr>
          <w:rFonts w:ascii="Arial" w:hAnsi="Arial" w:cs="Arial"/>
          <w:sz w:val="20"/>
          <w:szCs w:val="20"/>
        </w:rPr>
        <w:t>.</w:t>
      </w:r>
    </w:p>
    <w:p w14:paraId="755FBB3B" w14:textId="6E57B10D" w:rsidR="00BD625E" w:rsidRPr="00AD0D2F" w:rsidRDefault="003A17E8" w:rsidP="00D61140">
      <w:pPr>
        <w:spacing w:before="240" w:line="360" w:lineRule="auto"/>
        <w:jc w:val="both"/>
        <w:rPr>
          <w:rFonts w:ascii="Arial" w:hAnsi="Arial" w:cs="Arial"/>
          <w:sz w:val="20"/>
          <w:szCs w:val="20"/>
        </w:rPr>
      </w:pPr>
      <w:r w:rsidRPr="00AD0D2F">
        <w:rPr>
          <w:rFonts w:ascii="Arial" w:hAnsi="Arial" w:cs="Arial"/>
          <w:sz w:val="20"/>
          <w:szCs w:val="20"/>
          <w:u w:val="single"/>
        </w:rPr>
        <w:t>Results</w:t>
      </w:r>
      <w:r w:rsidRPr="00AD0D2F">
        <w:rPr>
          <w:rFonts w:ascii="Arial" w:hAnsi="Arial" w:cs="Arial"/>
          <w:sz w:val="20"/>
          <w:szCs w:val="20"/>
        </w:rPr>
        <w:t>:</w:t>
      </w:r>
      <w:r w:rsidR="008238C0" w:rsidRPr="00AD0D2F">
        <w:rPr>
          <w:rFonts w:ascii="Arial" w:hAnsi="Arial" w:cs="Arial"/>
          <w:sz w:val="20"/>
          <w:szCs w:val="20"/>
        </w:rPr>
        <w:t xml:space="preserve"> </w:t>
      </w:r>
      <w:r w:rsidR="00AD0D2F" w:rsidRPr="00083E11">
        <w:rPr>
          <w:rFonts w:ascii="Arial" w:hAnsi="Arial" w:cs="Arial"/>
          <w:sz w:val="20"/>
          <w:szCs w:val="20"/>
        </w:rPr>
        <w:t xml:space="preserve">95% (n=120) </w:t>
      </w:r>
      <w:r w:rsidR="005B160C" w:rsidRPr="00083E11">
        <w:rPr>
          <w:rFonts w:ascii="Arial" w:hAnsi="Arial" w:cs="Arial"/>
          <w:sz w:val="20"/>
          <w:szCs w:val="20"/>
        </w:rPr>
        <w:t xml:space="preserve">of participants </w:t>
      </w:r>
      <w:r w:rsidR="00AD0D2F" w:rsidRPr="00083E11">
        <w:rPr>
          <w:rFonts w:ascii="Arial" w:hAnsi="Arial" w:cs="Arial"/>
          <w:sz w:val="20"/>
          <w:szCs w:val="20"/>
        </w:rPr>
        <w:t xml:space="preserve">with TMDs reported </w:t>
      </w:r>
      <w:r w:rsidR="00A53100" w:rsidRPr="00083E11">
        <w:rPr>
          <w:rFonts w:ascii="Arial" w:hAnsi="Arial" w:cs="Arial"/>
          <w:sz w:val="20"/>
          <w:szCs w:val="20"/>
        </w:rPr>
        <w:t xml:space="preserve">some level of </w:t>
      </w:r>
      <w:r w:rsidR="00AD0D2F" w:rsidRPr="00083E11">
        <w:rPr>
          <w:rFonts w:ascii="Arial" w:hAnsi="Arial" w:cs="Arial"/>
          <w:sz w:val="20"/>
          <w:szCs w:val="20"/>
        </w:rPr>
        <w:t xml:space="preserve">OD. </w:t>
      </w:r>
      <w:r w:rsidR="00A53100" w:rsidRPr="00083E11">
        <w:rPr>
          <w:rFonts w:ascii="Arial" w:hAnsi="Arial" w:cs="Arial"/>
          <w:sz w:val="20"/>
          <w:szCs w:val="20"/>
        </w:rPr>
        <w:t>M</w:t>
      </w:r>
      <w:r w:rsidR="00AD0D2F" w:rsidRPr="00083E11">
        <w:rPr>
          <w:rFonts w:ascii="Arial" w:hAnsi="Arial" w:cs="Arial"/>
          <w:sz w:val="20"/>
          <w:szCs w:val="20"/>
        </w:rPr>
        <w:t xml:space="preserve">edian rating of OD </w:t>
      </w:r>
      <w:proofErr w:type="gramStart"/>
      <w:r w:rsidR="00AD0D2F" w:rsidRPr="00083E11">
        <w:rPr>
          <w:rFonts w:ascii="Arial" w:hAnsi="Arial" w:cs="Arial"/>
          <w:sz w:val="20"/>
          <w:szCs w:val="20"/>
        </w:rPr>
        <w:t>severity</w:t>
      </w:r>
      <w:proofErr w:type="gramEnd"/>
      <w:r w:rsidR="00AD0D2F" w:rsidRPr="00083E11">
        <w:rPr>
          <w:rFonts w:ascii="Arial" w:hAnsi="Arial" w:cs="Arial"/>
          <w:sz w:val="20"/>
          <w:szCs w:val="20"/>
        </w:rPr>
        <w:t xml:space="preserve"> </w:t>
      </w:r>
      <w:r w:rsidR="005B160C" w:rsidRPr="00083E11">
        <w:rPr>
          <w:rFonts w:ascii="Arial" w:hAnsi="Arial" w:cs="Arial"/>
          <w:sz w:val="20"/>
          <w:szCs w:val="20"/>
        </w:rPr>
        <w:t xml:space="preserve">on </w:t>
      </w:r>
      <w:r w:rsidR="00083E11" w:rsidRPr="00083E11">
        <w:rPr>
          <w:rFonts w:ascii="Arial" w:hAnsi="Arial" w:cs="Arial"/>
          <w:sz w:val="20"/>
          <w:szCs w:val="20"/>
        </w:rPr>
        <w:t xml:space="preserve">the DHI </w:t>
      </w:r>
      <w:r w:rsidR="00AD0D2F" w:rsidRPr="00083E11">
        <w:rPr>
          <w:rFonts w:ascii="Arial" w:hAnsi="Arial" w:cs="Arial"/>
          <w:sz w:val="20"/>
          <w:szCs w:val="20"/>
        </w:rPr>
        <w:t xml:space="preserve">was </w:t>
      </w:r>
      <w:r w:rsidR="005B160C" w:rsidRPr="00083E11">
        <w:rPr>
          <w:rFonts w:ascii="Arial" w:hAnsi="Arial" w:cs="Arial"/>
          <w:sz w:val="20"/>
          <w:szCs w:val="20"/>
        </w:rPr>
        <w:t xml:space="preserve">classified as </w:t>
      </w:r>
      <w:r w:rsidR="00AD0D2F" w:rsidRPr="00083E11">
        <w:rPr>
          <w:rFonts w:ascii="Arial" w:hAnsi="Arial" w:cs="Arial"/>
          <w:sz w:val="20"/>
          <w:szCs w:val="20"/>
        </w:rPr>
        <w:t>moderate. Masticatory issues were prevalent (95%)</w:t>
      </w:r>
      <w:r w:rsidR="00A53100" w:rsidRPr="00083E11">
        <w:rPr>
          <w:rFonts w:ascii="Arial" w:hAnsi="Arial" w:cs="Arial"/>
          <w:sz w:val="20"/>
          <w:szCs w:val="20"/>
        </w:rPr>
        <w:t>. S</w:t>
      </w:r>
      <w:r w:rsidR="00AD0D2F" w:rsidRPr="00083E11">
        <w:rPr>
          <w:rFonts w:ascii="Arial" w:hAnsi="Arial" w:cs="Arial"/>
          <w:sz w:val="20"/>
          <w:szCs w:val="20"/>
        </w:rPr>
        <w:t>wallowing difficulties (53%) and weight loss (50%) were also common. OD impacted moderately on participation and well-being across daily and social activities. Almost h</w:t>
      </w:r>
      <w:r w:rsidR="00E2150D" w:rsidRPr="00083E11">
        <w:rPr>
          <w:rFonts w:ascii="Arial" w:hAnsi="Arial" w:cs="Arial"/>
          <w:sz w:val="20"/>
          <w:szCs w:val="20"/>
        </w:rPr>
        <w:t xml:space="preserve">alf </w:t>
      </w:r>
      <w:r w:rsidR="005B160C" w:rsidRPr="00083E11">
        <w:rPr>
          <w:rFonts w:ascii="Arial" w:hAnsi="Arial" w:cs="Arial"/>
          <w:sz w:val="20"/>
          <w:szCs w:val="20"/>
        </w:rPr>
        <w:t>(43%)</w:t>
      </w:r>
      <w:r w:rsidR="00A53100" w:rsidRPr="00083E11">
        <w:rPr>
          <w:rFonts w:ascii="Arial" w:hAnsi="Arial" w:cs="Arial"/>
          <w:sz w:val="20"/>
          <w:szCs w:val="20"/>
        </w:rPr>
        <w:t xml:space="preserve"> </w:t>
      </w:r>
      <w:r w:rsidR="00E2150D" w:rsidRPr="00083E11">
        <w:rPr>
          <w:rFonts w:ascii="Arial" w:hAnsi="Arial" w:cs="Arial"/>
          <w:sz w:val="20"/>
          <w:szCs w:val="20"/>
        </w:rPr>
        <w:t>of participants</w:t>
      </w:r>
      <w:r w:rsidR="00AD0D2F" w:rsidRPr="00083E11">
        <w:rPr>
          <w:rFonts w:ascii="Arial" w:hAnsi="Arial" w:cs="Arial"/>
          <w:sz w:val="20"/>
          <w:szCs w:val="20"/>
        </w:rPr>
        <w:t xml:space="preserve"> </w:t>
      </w:r>
      <w:r w:rsidR="00A53100" w:rsidRPr="00083E11">
        <w:rPr>
          <w:rFonts w:ascii="Arial" w:hAnsi="Arial" w:cs="Arial"/>
          <w:sz w:val="20"/>
          <w:szCs w:val="20"/>
        </w:rPr>
        <w:t xml:space="preserve">had </w:t>
      </w:r>
      <w:r w:rsidR="00AD0D2F" w:rsidRPr="00083E11">
        <w:rPr>
          <w:rFonts w:ascii="Arial" w:hAnsi="Arial" w:cs="Arial"/>
          <w:sz w:val="20"/>
          <w:szCs w:val="20"/>
        </w:rPr>
        <w:t>no information on OD management during TMD care</w:t>
      </w:r>
      <w:r w:rsidR="00A53100" w:rsidRPr="00083E11">
        <w:rPr>
          <w:rFonts w:ascii="Arial" w:hAnsi="Arial" w:cs="Arial"/>
          <w:sz w:val="20"/>
          <w:szCs w:val="20"/>
        </w:rPr>
        <w:t xml:space="preserve"> and required </w:t>
      </w:r>
      <w:r w:rsidR="00AD0D2F" w:rsidRPr="00083E11">
        <w:rPr>
          <w:rFonts w:ascii="Arial" w:hAnsi="Arial" w:cs="Arial"/>
          <w:sz w:val="20"/>
          <w:szCs w:val="20"/>
        </w:rPr>
        <w:t xml:space="preserve">information </w:t>
      </w:r>
      <w:r w:rsidR="00E2150D" w:rsidRPr="00083E11">
        <w:rPr>
          <w:rFonts w:ascii="Arial" w:hAnsi="Arial" w:cs="Arial"/>
          <w:sz w:val="20"/>
          <w:szCs w:val="20"/>
        </w:rPr>
        <w:t>about</w:t>
      </w:r>
      <w:r w:rsidR="00AD0D2F" w:rsidRPr="00083E11">
        <w:rPr>
          <w:rFonts w:ascii="Arial" w:hAnsi="Arial" w:cs="Arial"/>
          <w:sz w:val="20"/>
          <w:szCs w:val="20"/>
        </w:rPr>
        <w:t xml:space="preserve"> treatment options.</w:t>
      </w:r>
      <w:r w:rsidR="00AD0D2F">
        <w:rPr>
          <w:rFonts w:ascii="Arial" w:hAnsi="Arial" w:cs="Arial"/>
          <w:sz w:val="20"/>
          <w:szCs w:val="20"/>
        </w:rPr>
        <w:t xml:space="preserve"> </w:t>
      </w:r>
    </w:p>
    <w:p w14:paraId="749EC37C" w14:textId="3EA74B18" w:rsidR="00BD625E" w:rsidRDefault="003A17E8" w:rsidP="00D61140">
      <w:pPr>
        <w:tabs>
          <w:tab w:val="left" w:pos="6521"/>
        </w:tabs>
        <w:spacing w:before="240" w:line="360" w:lineRule="auto"/>
        <w:jc w:val="both"/>
        <w:rPr>
          <w:rFonts w:ascii="Arial" w:hAnsi="Arial" w:cs="Arial"/>
          <w:sz w:val="20"/>
          <w:szCs w:val="20"/>
        </w:rPr>
      </w:pPr>
      <w:r w:rsidRPr="00AD0D2F">
        <w:rPr>
          <w:rFonts w:ascii="Arial" w:hAnsi="Arial" w:cs="Arial"/>
          <w:sz w:val="20"/>
          <w:szCs w:val="20"/>
          <w:u w:val="single"/>
        </w:rPr>
        <w:t>Conclusions</w:t>
      </w:r>
      <w:r w:rsidRPr="00AD0D2F">
        <w:rPr>
          <w:rFonts w:ascii="Arial" w:hAnsi="Arial" w:cs="Arial"/>
          <w:sz w:val="20"/>
          <w:szCs w:val="20"/>
        </w:rPr>
        <w:t xml:space="preserve">: </w:t>
      </w:r>
      <w:r w:rsidR="00A53100">
        <w:rPr>
          <w:rFonts w:ascii="Arial" w:hAnsi="Arial" w:cs="Arial"/>
          <w:sz w:val="20"/>
          <w:szCs w:val="20"/>
        </w:rPr>
        <w:t xml:space="preserve">Little is known about OD in this area. </w:t>
      </w:r>
      <w:r w:rsidRPr="00AD0D2F">
        <w:rPr>
          <w:rFonts w:ascii="Arial" w:hAnsi="Arial" w:cs="Arial"/>
          <w:sz w:val="20"/>
          <w:szCs w:val="20"/>
        </w:rPr>
        <w:t xml:space="preserve">This research highlighted the broad range of OD symptoms reported </w:t>
      </w:r>
      <w:r w:rsidR="00083E11">
        <w:rPr>
          <w:rFonts w:ascii="Arial" w:hAnsi="Arial" w:cs="Arial"/>
          <w:sz w:val="20"/>
          <w:szCs w:val="20"/>
        </w:rPr>
        <w:t xml:space="preserve">by </w:t>
      </w:r>
      <w:r w:rsidRPr="00AD0D2F">
        <w:rPr>
          <w:rFonts w:ascii="Arial" w:hAnsi="Arial" w:cs="Arial"/>
          <w:sz w:val="20"/>
          <w:szCs w:val="20"/>
        </w:rPr>
        <w:t>adults with TMDs</w:t>
      </w:r>
      <w:r w:rsidR="00E2150D">
        <w:rPr>
          <w:rFonts w:ascii="Arial" w:hAnsi="Arial" w:cs="Arial"/>
          <w:sz w:val="20"/>
          <w:szCs w:val="20"/>
        </w:rPr>
        <w:t xml:space="preserve"> and</w:t>
      </w:r>
      <w:r w:rsidRPr="00AD0D2F">
        <w:rPr>
          <w:rFonts w:ascii="Arial" w:hAnsi="Arial" w:cs="Arial"/>
          <w:sz w:val="20"/>
          <w:szCs w:val="20"/>
        </w:rPr>
        <w:t xml:space="preserve"> their impact on functioning and </w:t>
      </w:r>
      <w:r w:rsidR="00E2150D">
        <w:rPr>
          <w:rFonts w:ascii="Arial" w:hAnsi="Arial" w:cs="Arial"/>
          <w:sz w:val="20"/>
          <w:szCs w:val="20"/>
        </w:rPr>
        <w:t>psychosocia</w:t>
      </w:r>
      <w:r w:rsidR="00224E82" w:rsidRPr="00AD0D2F">
        <w:rPr>
          <w:rFonts w:ascii="Arial" w:hAnsi="Arial" w:cs="Arial"/>
          <w:sz w:val="20"/>
          <w:szCs w:val="20"/>
        </w:rPr>
        <w:t>l well-being</w:t>
      </w:r>
      <w:r w:rsidRPr="00AD0D2F">
        <w:rPr>
          <w:rFonts w:ascii="Arial" w:hAnsi="Arial" w:cs="Arial"/>
          <w:sz w:val="20"/>
          <w:szCs w:val="20"/>
        </w:rPr>
        <w:t xml:space="preserve">. </w:t>
      </w:r>
      <w:r w:rsidR="005B160C">
        <w:rPr>
          <w:rFonts w:ascii="Arial" w:hAnsi="Arial" w:cs="Arial"/>
          <w:sz w:val="20"/>
          <w:szCs w:val="20"/>
        </w:rPr>
        <w:t>These findings motivated the design of a novel TMD-related OD educational resource.</w:t>
      </w:r>
      <w:r w:rsidRPr="00AD0D2F">
        <w:rPr>
          <w:rFonts w:ascii="Arial" w:hAnsi="Arial" w:cs="Arial"/>
          <w:sz w:val="20"/>
          <w:szCs w:val="20"/>
        </w:rPr>
        <w:t xml:space="preserve"> </w:t>
      </w:r>
      <w:r w:rsidR="00A53100">
        <w:rPr>
          <w:rFonts w:ascii="Arial" w:hAnsi="Arial" w:cs="Arial"/>
          <w:sz w:val="20"/>
          <w:szCs w:val="20"/>
        </w:rPr>
        <w:t>T</w:t>
      </w:r>
      <w:r w:rsidRPr="00AD0D2F">
        <w:rPr>
          <w:rFonts w:ascii="Arial" w:hAnsi="Arial" w:cs="Arial"/>
          <w:sz w:val="20"/>
          <w:szCs w:val="20"/>
        </w:rPr>
        <w:t xml:space="preserve">he need to </w:t>
      </w:r>
      <w:r w:rsidR="00E2150D">
        <w:rPr>
          <w:rFonts w:ascii="Arial" w:hAnsi="Arial" w:cs="Arial"/>
          <w:sz w:val="20"/>
          <w:szCs w:val="20"/>
        </w:rPr>
        <w:t>improve</w:t>
      </w:r>
      <w:r w:rsidRPr="00AD0D2F">
        <w:rPr>
          <w:rFonts w:ascii="Arial" w:hAnsi="Arial" w:cs="Arial"/>
          <w:sz w:val="20"/>
          <w:szCs w:val="20"/>
        </w:rPr>
        <w:t xml:space="preserve"> clinical practice and research</w:t>
      </w:r>
      <w:r w:rsidR="00A53100">
        <w:rPr>
          <w:rFonts w:ascii="Arial" w:hAnsi="Arial" w:cs="Arial"/>
          <w:sz w:val="20"/>
          <w:szCs w:val="20"/>
        </w:rPr>
        <w:t xml:space="preserve"> on this topic is </w:t>
      </w:r>
      <w:r w:rsidRPr="00AD0D2F">
        <w:rPr>
          <w:rFonts w:ascii="Arial" w:hAnsi="Arial" w:cs="Arial"/>
          <w:sz w:val="20"/>
          <w:szCs w:val="20"/>
        </w:rPr>
        <w:t>evident</w:t>
      </w:r>
      <w:r w:rsidR="00A53100">
        <w:rPr>
          <w:rFonts w:ascii="Arial" w:hAnsi="Arial" w:cs="Arial"/>
          <w:sz w:val="20"/>
          <w:szCs w:val="20"/>
        </w:rPr>
        <w:t xml:space="preserve">. </w:t>
      </w:r>
      <w:r w:rsidR="00224E82" w:rsidRPr="00AD0D2F">
        <w:rPr>
          <w:rFonts w:ascii="Arial" w:hAnsi="Arial" w:cs="Arial"/>
          <w:sz w:val="20"/>
          <w:szCs w:val="20"/>
        </w:rPr>
        <w:t xml:space="preserve"> </w:t>
      </w:r>
      <w:r w:rsidR="00A53100">
        <w:rPr>
          <w:rFonts w:ascii="Arial" w:hAnsi="Arial" w:cs="Arial"/>
          <w:sz w:val="20"/>
          <w:szCs w:val="20"/>
        </w:rPr>
        <w:t xml:space="preserve">Further work involves </w:t>
      </w:r>
      <w:r w:rsidRPr="00AD0D2F">
        <w:rPr>
          <w:rFonts w:ascii="Arial" w:hAnsi="Arial" w:cs="Arial"/>
          <w:sz w:val="20"/>
          <w:szCs w:val="20"/>
        </w:rPr>
        <w:t xml:space="preserve">the refinement and implementation of the </w:t>
      </w:r>
      <w:r w:rsidR="00083E11" w:rsidRPr="00083E11">
        <w:rPr>
          <w:rFonts w:ascii="Arial" w:hAnsi="Arial" w:cs="Arial"/>
          <w:sz w:val="20"/>
          <w:szCs w:val="20"/>
        </w:rPr>
        <w:t xml:space="preserve">original </w:t>
      </w:r>
      <w:r w:rsidR="00083E11">
        <w:rPr>
          <w:rFonts w:ascii="Arial" w:hAnsi="Arial" w:cs="Arial"/>
          <w:sz w:val="20"/>
          <w:szCs w:val="20"/>
        </w:rPr>
        <w:t xml:space="preserve">assessment </w:t>
      </w:r>
      <w:r w:rsidR="008C4793">
        <w:rPr>
          <w:rFonts w:ascii="Arial" w:hAnsi="Arial" w:cs="Arial"/>
          <w:sz w:val="20"/>
          <w:szCs w:val="20"/>
        </w:rPr>
        <w:t>protocol</w:t>
      </w:r>
      <w:r w:rsidR="008C4793" w:rsidRPr="008C4793">
        <w:rPr>
          <w:rFonts w:ascii="Arial" w:hAnsi="Arial" w:cs="Arial"/>
          <w:sz w:val="20"/>
          <w:szCs w:val="20"/>
        </w:rPr>
        <w:t xml:space="preserve"> and</w:t>
      </w:r>
      <w:r w:rsidR="00A53100">
        <w:rPr>
          <w:rFonts w:ascii="Arial" w:hAnsi="Arial" w:cs="Arial"/>
          <w:sz w:val="20"/>
          <w:szCs w:val="20"/>
        </w:rPr>
        <w:t xml:space="preserve"> </w:t>
      </w:r>
      <w:r w:rsidR="00A53100" w:rsidRPr="00AD0D2F">
        <w:rPr>
          <w:rFonts w:ascii="Arial" w:hAnsi="Arial" w:cs="Arial"/>
          <w:sz w:val="20"/>
          <w:szCs w:val="20"/>
        </w:rPr>
        <w:t xml:space="preserve">educational </w:t>
      </w:r>
      <w:r w:rsidRPr="00AD0D2F">
        <w:rPr>
          <w:rFonts w:ascii="Arial" w:hAnsi="Arial" w:cs="Arial"/>
          <w:sz w:val="20"/>
          <w:szCs w:val="20"/>
        </w:rPr>
        <w:t xml:space="preserve">tool. </w:t>
      </w:r>
    </w:p>
    <w:p w14:paraId="09BE7266" w14:textId="77777777" w:rsidR="00E2150D" w:rsidRPr="00E2150D" w:rsidRDefault="00E2150D" w:rsidP="00D61140">
      <w:pPr>
        <w:spacing w:before="240" w:line="360" w:lineRule="auto"/>
        <w:jc w:val="both"/>
        <w:rPr>
          <w:rFonts w:ascii="Arial" w:hAnsi="Arial" w:cs="Arial"/>
          <w:i/>
          <w:sz w:val="20"/>
          <w:szCs w:val="20"/>
          <w:u w:val="single"/>
        </w:rPr>
      </w:pPr>
      <w:r w:rsidRPr="00E2150D">
        <w:rPr>
          <w:rFonts w:ascii="Arial" w:hAnsi="Arial" w:cs="Arial"/>
          <w:i/>
          <w:sz w:val="20"/>
          <w:szCs w:val="20"/>
          <w:u w:val="single"/>
        </w:rPr>
        <w:t>Bibliography</w:t>
      </w:r>
    </w:p>
    <w:p w14:paraId="6A375A64" w14:textId="77777777" w:rsidR="00E2150D" w:rsidRPr="00E2150D" w:rsidRDefault="00E2150D" w:rsidP="00D61140">
      <w:pPr>
        <w:pStyle w:val="Bibliography"/>
        <w:spacing w:before="240" w:after="160" w:line="360" w:lineRule="auto"/>
        <w:ind w:left="0" w:firstLine="0"/>
        <w:jc w:val="both"/>
        <w:rPr>
          <w:rFonts w:ascii="Arial" w:hAnsi="Arial" w:cs="Arial"/>
          <w:sz w:val="20"/>
        </w:rPr>
      </w:pPr>
      <w:r w:rsidRPr="00E2150D">
        <w:rPr>
          <w:rFonts w:ascii="Arial" w:hAnsi="Arial" w:cs="Arial"/>
          <w:sz w:val="20"/>
          <w:szCs w:val="20"/>
        </w:rPr>
        <w:fldChar w:fldCharType="begin"/>
      </w:r>
      <w:r w:rsidRPr="00E2150D">
        <w:rPr>
          <w:rFonts w:ascii="Arial" w:hAnsi="Arial" w:cs="Arial"/>
          <w:sz w:val="20"/>
          <w:szCs w:val="20"/>
        </w:rPr>
        <w:instrText xml:space="preserve"> ADDIN ZOTERO_BIBL {"uncited":[],"omitted":[],"custom":[]} CSL_BIBLIOGRAPHY </w:instrText>
      </w:r>
      <w:r w:rsidRPr="00E2150D">
        <w:rPr>
          <w:rFonts w:ascii="Arial" w:hAnsi="Arial" w:cs="Arial"/>
          <w:sz w:val="20"/>
          <w:szCs w:val="20"/>
        </w:rPr>
        <w:fldChar w:fldCharType="separate"/>
      </w:r>
      <w:r w:rsidRPr="00E2150D">
        <w:rPr>
          <w:rFonts w:ascii="Arial" w:hAnsi="Arial" w:cs="Arial"/>
          <w:sz w:val="20"/>
          <w:vertAlign w:val="superscript"/>
        </w:rPr>
        <w:t>1</w:t>
      </w:r>
      <w:r w:rsidRPr="00E2150D">
        <w:rPr>
          <w:rFonts w:ascii="Arial" w:hAnsi="Arial" w:cs="Arial"/>
          <w:sz w:val="20"/>
        </w:rPr>
        <w:t xml:space="preserve">Schiffman E, Ohrbach R, Truelove E, Look J, Anderson G, Goulet J-P, et al. Diagnostic Criteria for Temporomandibular Disorders (DC/TMD) for Clinical and Research Applications: recommendations of the International RDC/TMD Consortium Network* and Orofacial Pain Special Interest Group†. </w:t>
      </w:r>
      <w:r w:rsidRPr="00E2150D">
        <w:rPr>
          <w:rFonts w:ascii="Arial" w:hAnsi="Arial" w:cs="Arial"/>
          <w:i/>
          <w:sz w:val="20"/>
        </w:rPr>
        <w:t>J Oral Facial Pain Headache</w:t>
      </w:r>
      <w:r w:rsidRPr="00E2150D">
        <w:rPr>
          <w:rFonts w:ascii="Arial" w:hAnsi="Arial" w:cs="Arial"/>
          <w:sz w:val="20"/>
        </w:rPr>
        <w:t xml:space="preserve">. 2014;28(1):6–27. </w:t>
      </w:r>
    </w:p>
    <w:p w14:paraId="68939607" w14:textId="77777777" w:rsidR="00E2150D" w:rsidRPr="00E2150D" w:rsidRDefault="00E2150D" w:rsidP="00D61140">
      <w:pPr>
        <w:pStyle w:val="Bibliography"/>
        <w:spacing w:before="240" w:after="160" w:line="360" w:lineRule="auto"/>
        <w:ind w:left="0" w:firstLine="0"/>
        <w:jc w:val="both"/>
        <w:rPr>
          <w:rFonts w:ascii="Arial" w:hAnsi="Arial" w:cs="Arial"/>
          <w:sz w:val="20"/>
        </w:rPr>
      </w:pPr>
      <w:r w:rsidRPr="00E2150D">
        <w:rPr>
          <w:rFonts w:ascii="Arial" w:hAnsi="Arial" w:cs="Arial"/>
          <w:sz w:val="20"/>
          <w:vertAlign w:val="superscript"/>
        </w:rPr>
        <w:t>2</w:t>
      </w:r>
      <w:r w:rsidRPr="00E2150D">
        <w:rPr>
          <w:rFonts w:ascii="Arial" w:hAnsi="Arial" w:cs="Arial"/>
          <w:sz w:val="20"/>
        </w:rPr>
        <w:t xml:space="preserve">Huckabee M-L, McIntosh T, Fuller L, Curry M, Thomas P, Walshe M, et al. The Test of Masticating and Swallowing Solids (TOMASS): reliability, validity and international normative data. </w:t>
      </w:r>
      <w:r w:rsidRPr="00E2150D">
        <w:rPr>
          <w:rFonts w:ascii="Arial" w:hAnsi="Arial" w:cs="Arial"/>
          <w:i/>
          <w:sz w:val="20"/>
        </w:rPr>
        <w:t>Int J Lang Commun Disord</w:t>
      </w:r>
      <w:r w:rsidRPr="00E2150D">
        <w:rPr>
          <w:rFonts w:ascii="Arial" w:hAnsi="Arial" w:cs="Arial"/>
          <w:sz w:val="20"/>
        </w:rPr>
        <w:t xml:space="preserve">. 2018 Jan;53(1):144–56. </w:t>
      </w:r>
    </w:p>
    <w:p w14:paraId="00EF735F" w14:textId="77777777" w:rsidR="00E2150D" w:rsidRPr="00AD0D2F" w:rsidRDefault="00E2150D" w:rsidP="00D61140">
      <w:pPr>
        <w:pStyle w:val="Bibliography"/>
        <w:spacing w:before="240" w:after="160" w:line="360" w:lineRule="auto"/>
        <w:ind w:left="0" w:firstLine="0"/>
        <w:jc w:val="both"/>
        <w:rPr>
          <w:sz w:val="20"/>
          <w:szCs w:val="20"/>
        </w:rPr>
      </w:pPr>
      <w:r w:rsidRPr="00E2150D">
        <w:rPr>
          <w:rFonts w:ascii="Arial" w:hAnsi="Arial" w:cs="Arial"/>
          <w:sz w:val="20"/>
          <w:vertAlign w:val="superscript"/>
        </w:rPr>
        <w:lastRenderedPageBreak/>
        <w:t>3</w:t>
      </w:r>
      <w:r w:rsidRPr="00E2150D">
        <w:rPr>
          <w:rFonts w:ascii="Arial" w:hAnsi="Arial" w:cs="Arial"/>
          <w:sz w:val="20"/>
        </w:rPr>
        <w:t xml:space="preserve">Silbergleit AK, Schultz L, Jacobson BH, Beardsley T, Johnson AF. The Dysphagia handicap index: development and validation. </w:t>
      </w:r>
      <w:r w:rsidRPr="00E2150D">
        <w:rPr>
          <w:rFonts w:ascii="Arial" w:hAnsi="Arial" w:cs="Arial"/>
          <w:i/>
          <w:sz w:val="20"/>
        </w:rPr>
        <w:t>Dysphagia</w:t>
      </w:r>
      <w:r w:rsidRPr="00E2150D">
        <w:rPr>
          <w:rFonts w:ascii="Arial" w:hAnsi="Arial" w:cs="Arial"/>
          <w:sz w:val="20"/>
        </w:rPr>
        <w:t xml:space="preserve">. 2012 Mar;27(1):46–52. </w:t>
      </w:r>
      <w:r w:rsidRPr="00E2150D">
        <w:rPr>
          <w:rFonts w:ascii="Arial" w:hAnsi="Arial" w:cs="Arial"/>
          <w:sz w:val="20"/>
          <w:szCs w:val="20"/>
        </w:rPr>
        <w:fldChar w:fldCharType="end"/>
      </w:r>
    </w:p>
    <w:sectPr w:rsidR="00E2150D" w:rsidRPr="00AD0D2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D63E12" w14:textId="77777777" w:rsidR="00337FF8" w:rsidRDefault="003A17E8">
      <w:pPr>
        <w:spacing w:after="0" w:line="240" w:lineRule="auto"/>
      </w:pPr>
      <w:r>
        <w:separator/>
      </w:r>
    </w:p>
  </w:endnote>
  <w:endnote w:type="continuationSeparator" w:id="0">
    <w:p w14:paraId="582F2642" w14:textId="77777777" w:rsidR="00337FF8" w:rsidRDefault="003A17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4DD62" w14:textId="77777777" w:rsidR="002A6B58" w:rsidRDefault="002A6B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6498CD" w14:textId="77777777" w:rsidR="002A6B58" w:rsidRDefault="002A6B5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80F65" w14:textId="77777777" w:rsidR="002A6B58" w:rsidRDefault="002A6B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29BB68" w14:textId="77777777" w:rsidR="00337FF8" w:rsidRDefault="003A17E8">
      <w:pPr>
        <w:spacing w:after="0" w:line="240" w:lineRule="auto"/>
      </w:pPr>
      <w:r>
        <w:rPr>
          <w:color w:val="000000"/>
        </w:rPr>
        <w:separator/>
      </w:r>
    </w:p>
  </w:footnote>
  <w:footnote w:type="continuationSeparator" w:id="0">
    <w:p w14:paraId="49AB75AE" w14:textId="77777777" w:rsidR="00337FF8" w:rsidRDefault="003A17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E5FE2" w14:textId="6F26EB1B" w:rsidR="002A6B58" w:rsidRDefault="002A6B58">
    <w:pPr>
      <w:pStyle w:val="Header"/>
    </w:pPr>
    <w:r>
      <w:rPr>
        <w:noProof/>
      </w:rPr>
      <w:pict w14:anchorId="0C2128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907079" o:spid="_x0000_s2050" type="#_x0000_t136" style="position:absolute;margin-left:0;margin-top:0;width:553.2pt;height:82.95pt;rotation:315;z-index:-251655168;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E04AD9" w14:textId="3508631C" w:rsidR="002A6B58" w:rsidRDefault="002A6B58">
    <w:pPr>
      <w:pStyle w:val="Header"/>
    </w:pPr>
    <w:r>
      <w:rPr>
        <w:noProof/>
      </w:rPr>
      <w:pict w14:anchorId="48B078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907080" o:spid="_x0000_s2051" type="#_x0000_t136" style="position:absolute;margin-left:0;margin-top:0;width:553.2pt;height:82.95pt;rotation:315;z-index:-251653120;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E8E27" w14:textId="58545011" w:rsidR="002A6B58" w:rsidRDefault="002A6B58">
    <w:pPr>
      <w:pStyle w:val="Header"/>
    </w:pPr>
    <w:r>
      <w:rPr>
        <w:noProof/>
      </w:rPr>
      <w:pict w14:anchorId="336582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0907078" o:spid="_x0000_s2049" type="#_x0000_t136" style="position:absolute;margin-left:0;margin-top:0;width:553.2pt;height:82.95pt;rotation:315;z-index:-251657216;mso-position-horizontal:center;mso-position-horizontal-relative:margin;mso-position-vertical:center;mso-position-vertical-relative:margin" o:allowincell="f" fillcolor="silver" stroked="f">
          <v:fill opacity=".5"/>
          <v:textpath style="font-family:&quot;Calibri&quot;;font-size:1pt" string="Author's Own Manuscrip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AE28DE"/>
    <w:multiLevelType w:val="hybridMultilevel"/>
    <w:tmpl w:val="028020C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25E"/>
    <w:rsid w:val="00083E11"/>
    <w:rsid w:val="00224E82"/>
    <w:rsid w:val="002A6B58"/>
    <w:rsid w:val="00337FF8"/>
    <w:rsid w:val="003A17E8"/>
    <w:rsid w:val="005B160C"/>
    <w:rsid w:val="008238C0"/>
    <w:rsid w:val="008C4793"/>
    <w:rsid w:val="00A53100"/>
    <w:rsid w:val="00AD0D2F"/>
    <w:rsid w:val="00BD625E"/>
    <w:rsid w:val="00D61140"/>
    <w:rsid w:val="00E2150D"/>
    <w:rsid w:val="00F47D55"/>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15BE25A3"/>
  <w15:docId w15:val="{6EF4F65F-643E-43B5-9D57-61D36172B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IE"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alloonText">
    <w:name w:val="Balloon Text"/>
    <w:basedOn w:val="Normal"/>
    <w:link w:val="BalloonTextChar"/>
    <w:uiPriority w:val="99"/>
    <w:semiHidden/>
    <w:unhideWhenUsed/>
    <w:rsid w:val="008238C0"/>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238C0"/>
    <w:rPr>
      <w:rFonts w:ascii="Lucida Grande" w:hAnsi="Lucida Grande" w:cs="Lucida Grande"/>
      <w:sz w:val="18"/>
      <w:szCs w:val="18"/>
    </w:rPr>
  </w:style>
  <w:style w:type="character" w:styleId="CommentReference">
    <w:name w:val="annotation reference"/>
    <w:basedOn w:val="DefaultParagraphFont"/>
    <w:uiPriority w:val="99"/>
    <w:semiHidden/>
    <w:unhideWhenUsed/>
    <w:rsid w:val="008238C0"/>
    <w:rPr>
      <w:sz w:val="18"/>
      <w:szCs w:val="18"/>
    </w:rPr>
  </w:style>
  <w:style w:type="paragraph" w:styleId="CommentText">
    <w:name w:val="annotation text"/>
    <w:basedOn w:val="Normal"/>
    <w:link w:val="CommentTextChar"/>
    <w:uiPriority w:val="99"/>
    <w:semiHidden/>
    <w:unhideWhenUsed/>
    <w:rsid w:val="008238C0"/>
    <w:pPr>
      <w:spacing w:line="240" w:lineRule="auto"/>
    </w:pPr>
    <w:rPr>
      <w:sz w:val="24"/>
      <w:szCs w:val="24"/>
    </w:rPr>
  </w:style>
  <w:style w:type="character" w:customStyle="1" w:styleId="CommentTextChar">
    <w:name w:val="Comment Text Char"/>
    <w:basedOn w:val="DefaultParagraphFont"/>
    <w:link w:val="CommentText"/>
    <w:uiPriority w:val="99"/>
    <w:semiHidden/>
    <w:rsid w:val="008238C0"/>
    <w:rPr>
      <w:sz w:val="24"/>
      <w:szCs w:val="24"/>
    </w:rPr>
  </w:style>
  <w:style w:type="paragraph" w:styleId="CommentSubject">
    <w:name w:val="annotation subject"/>
    <w:basedOn w:val="CommentText"/>
    <w:next w:val="CommentText"/>
    <w:link w:val="CommentSubjectChar"/>
    <w:uiPriority w:val="99"/>
    <w:semiHidden/>
    <w:unhideWhenUsed/>
    <w:rsid w:val="008238C0"/>
    <w:rPr>
      <w:b/>
      <w:bCs/>
      <w:sz w:val="20"/>
      <w:szCs w:val="20"/>
    </w:rPr>
  </w:style>
  <w:style w:type="character" w:customStyle="1" w:styleId="CommentSubjectChar">
    <w:name w:val="Comment Subject Char"/>
    <w:basedOn w:val="CommentTextChar"/>
    <w:link w:val="CommentSubject"/>
    <w:uiPriority w:val="99"/>
    <w:semiHidden/>
    <w:rsid w:val="008238C0"/>
    <w:rPr>
      <w:b/>
      <w:bCs/>
      <w:sz w:val="20"/>
      <w:szCs w:val="20"/>
    </w:rPr>
  </w:style>
  <w:style w:type="paragraph" w:styleId="Bibliography">
    <w:name w:val="Bibliography"/>
    <w:basedOn w:val="Normal"/>
    <w:next w:val="Normal"/>
    <w:uiPriority w:val="37"/>
    <w:unhideWhenUsed/>
    <w:rsid w:val="00E2150D"/>
    <w:pPr>
      <w:tabs>
        <w:tab w:val="left" w:pos="384"/>
      </w:tabs>
      <w:spacing w:after="24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2374</Words>
  <Characters>13534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Gilheaney</dc:creator>
  <dc:description/>
  <cp:lastModifiedBy>Orla Gilheaney</cp:lastModifiedBy>
  <cp:revision>2</cp:revision>
  <dcterms:created xsi:type="dcterms:W3CDTF">2020-06-04T07:38:00Z</dcterms:created>
  <dcterms:modified xsi:type="dcterms:W3CDTF">2020-06-04T07:38:00Z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zotero-version="5.0.44"&gt;&lt;session id="qLXjbdxg"/&gt;&lt;style id="http://www.zotero.org/styles/vancouver" locale="en-US" hasBibliography="1" bibliographyStyleHasBeenSet="1"/&gt;&lt;prefs&gt;&lt;pref name="fieldType" value="Field"/&gt;&lt;pref name="automati</vt:lpwstr>
  </property>
  <property fmtid="{D5CDD505-2E9C-101B-9397-08002B2CF9AE}" pid="3" name="ZOTERO_PREF_2">
    <vt:lpwstr>cJournalAbbreviations" value="true"/&gt;&lt;/prefs&gt;&lt;/data&gt;</vt:lpwstr>
  </property>
</Properties>
</file>