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FD8B39" w14:textId="1BDAA064" w:rsidR="00486E42" w:rsidRPr="00486E42" w:rsidRDefault="00486E42" w:rsidP="00486E42">
      <w:pPr>
        <w:spacing w:line="360" w:lineRule="auto"/>
        <w:jc w:val="both"/>
        <w:rPr>
          <w:sz w:val="24"/>
          <w:szCs w:val="24"/>
        </w:rPr>
      </w:pPr>
      <w:r w:rsidRPr="00486E42">
        <w:rPr>
          <w:sz w:val="24"/>
          <w:szCs w:val="24"/>
        </w:rPr>
        <w:t xml:space="preserve">[This is the accepted manuscript version of Oran Doyle, Constitutional Cases, Foreign Law and Theoretical Authority. The version of record is published in (2016) 5 </w:t>
      </w:r>
      <w:r w:rsidRPr="00486E42">
        <w:rPr>
          <w:i/>
          <w:sz w:val="24"/>
          <w:szCs w:val="24"/>
        </w:rPr>
        <w:t xml:space="preserve">Global Constitutionalism </w:t>
      </w:r>
      <w:r w:rsidRPr="00486E42">
        <w:rPr>
          <w:sz w:val="24"/>
          <w:szCs w:val="24"/>
        </w:rPr>
        <w:t>85.</w:t>
      </w:r>
      <w:r>
        <w:rPr>
          <w:sz w:val="24"/>
          <w:szCs w:val="24"/>
        </w:rPr>
        <w:t xml:space="preserve"> It can be accessed online here: </w:t>
      </w:r>
      <w:r w:rsidRPr="00486E42">
        <w:rPr>
          <w:sz w:val="24"/>
          <w:szCs w:val="24"/>
        </w:rPr>
        <w:t>http://journals.cambridge.org/download.php?file=%2F759_46A086CD6EB2E9F5ADB950420AB14F13_journals__GCN_GCN5_01_S2045381715000192a.pdf&amp;cover=Y&amp;code=c543c5a86849688a417e3dfa463249ff</w:t>
      </w:r>
      <w:bookmarkStart w:id="0" w:name="_GoBack"/>
      <w:bookmarkEnd w:id="0"/>
      <w:r w:rsidRPr="00486E42">
        <w:rPr>
          <w:sz w:val="24"/>
          <w:szCs w:val="24"/>
        </w:rPr>
        <w:t>]</w:t>
      </w:r>
    </w:p>
    <w:p w14:paraId="73D2BD2E" w14:textId="77777777" w:rsidR="00486E42" w:rsidRDefault="00486E42" w:rsidP="00486E42">
      <w:pPr>
        <w:spacing w:line="360" w:lineRule="auto"/>
        <w:jc w:val="both"/>
        <w:rPr>
          <w:b/>
          <w:sz w:val="24"/>
          <w:szCs w:val="24"/>
        </w:rPr>
      </w:pPr>
    </w:p>
    <w:p w14:paraId="30E2B19D" w14:textId="605E7700" w:rsidR="00052106" w:rsidRDefault="00052106" w:rsidP="008E5BE1">
      <w:pPr>
        <w:spacing w:line="360" w:lineRule="auto"/>
        <w:jc w:val="center"/>
        <w:rPr>
          <w:b/>
          <w:sz w:val="24"/>
          <w:szCs w:val="24"/>
        </w:rPr>
      </w:pPr>
      <w:r w:rsidRPr="00AB003C">
        <w:rPr>
          <w:b/>
          <w:sz w:val="24"/>
          <w:szCs w:val="24"/>
        </w:rPr>
        <w:t>Constitutional Cases</w:t>
      </w:r>
      <w:r w:rsidR="00E3643B" w:rsidRPr="00AB003C">
        <w:rPr>
          <w:b/>
          <w:sz w:val="24"/>
          <w:szCs w:val="24"/>
        </w:rPr>
        <w:t>, Foreign Law and Theoretical Authority</w:t>
      </w:r>
    </w:p>
    <w:p w14:paraId="378C00CF" w14:textId="77777777" w:rsidR="008E5BE1" w:rsidRPr="008E5BE1" w:rsidRDefault="008E5BE1" w:rsidP="008E5BE1">
      <w:pPr>
        <w:spacing w:line="360" w:lineRule="auto"/>
        <w:jc w:val="center"/>
        <w:rPr>
          <w:sz w:val="24"/>
          <w:szCs w:val="24"/>
        </w:rPr>
      </w:pPr>
    </w:p>
    <w:p w14:paraId="0135A3DF" w14:textId="77777777" w:rsidR="00AB003C" w:rsidRDefault="00AB003C" w:rsidP="008E5BE1">
      <w:pPr>
        <w:spacing w:line="360" w:lineRule="auto"/>
        <w:jc w:val="both"/>
        <w:rPr>
          <w:sz w:val="24"/>
          <w:szCs w:val="24"/>
        </w:rPr>
      </w:pPr>
      <w:r w:rsidRPr="008E5BE1">
        <w:rPr>
          <w:b/>
          <w:sz w:val="24"/>
          <w:szCs w:val="24"/>
        </w:rPr>
        <w:t>ABSTRACT:</w:t>
      </w:r>
      <w:r>
        <w:rPr>
          <w:sz w:val="24"/>
          <w:szCs w:val="24"/>
        </w:rPr>
        <w:t xml:space="preserve"> </w:t>
      </w:r>
      <w:r w:rsidRPr="00AB003C">
        <w:rPr>
          <w:sz w:val="24"/>
          <w:szCs w:val="24"/>
        </w:rPr>
        <w:t>The judicial use of foreign law in constitutional cases is often unsatisfactorily explained in terms of persuasive authority, judicial learning or judicial dialogue. In this article, I argue that the central case of the judicial use of foreign law involves judges treating foreign case law as theoretically, rather than practically, authoritative. The justification for this approach lies in how case law emerges from a process that is structured in such a way that its outcomes deserve respect. There is, in contrast, no justification for any attempt on the part of judges to treat constitutional cases as an opportunity for inter-jurisdictional judicial dialogue.</w:t>
      </w:r>
    </w:p>
    <w:p w14:paraId="22FC3E96" w14:textId="77777777" w:rsidR="008E5BE1" w:rsidRPr="00AB003C" w:rsidRDefault="008E5BE1" w:rsidP="008E5BE1">
      <w:pPr>
        <w:spacing w:line="360" w:lineRule="auto"/>
        <w:jc w:val="both"/>
        <w:rPr>
          <w:sz w:val="24"/>
          <w:szCs w:val="24"/>
        </w:rPr>
      </w:pPr>
    </w:p>
    <w:p w14:paraId="7E01E713" w14:textId="1229F3A5" w:rsidR="00AB003C" w:rsidRPr="008E5BE1" w:rsidRDefault="008E5BE1" w:rsidP="008E5BE1">
      <w:pPr>
        <w:spacing w:line="360" w:lineRule="auto"/>
        <w:jc w:val="both"/>
        <w:rPr>
          <w:sz w:val="24"/>
          <w:szCs w:val="24"/>
        </w:rPr>
      </w:pPr>
      <w:r w:rsidRPr="008E5BE1">
        <w:rPr>
          <w:b/>
          <w:sz w:val="24"/>
          <w:szCs w:val="24"/>
        </w:rPr>
        <w:t>Keywords:</w:t>
      </w:r>
      <w:r>
        <w:rPr>
          <w:sz w:val="24"/>
          <w:szCs w:val="24"/>
        </w:rPr>
        <w:t xml:space="preserve"> </w:t>
      </w:r>
      <w:r w:rsidR="009A2B5A">
        <w:rPr>
          <w:sz w:val="24"/>
          <w:szCs w:val="24"/>
        </w:rPr>
        <w:t xml:space="preserve">comparative constitutional law; </w:t>
      </w:r>
      <w:r>
        <w:rPr>
          <w:sz w:val="24"/>
          <w:szCs w:val="24"/>
        </w:rPr>
        <w:t xml:space="preserve">foreign law; authority; </w:t>
      </w:r>
      <w:r w:rsidR="00337809">
        <w:rPr>
          <w:sz w:val="24"/>
          <w:szCs w:val="24"/>
        </w:rPr>
        <w:t xml:space="preserve">judicial </w:t>
      </w:r>
      <w:r>
        <w:rPr>
          <w:sz w:val="24"/>
          <w:szCs w:val="24"/>
        </w:rPr>
        <w:t xml:space="preserve">dialogue; judicial </w:t>
      </w:r>
      <w:r w:rsidR="00337809">
        <w:rPr>
          <w:sz w:val="24"/>
          <w:szCs w:val="24"/>
        </w:rPr>
        <w:t>learning.</w:t>
      </w:r>
    </w:p>
    <w:p w14:paraId="1D2CD549" w14:textId="77777777" w:rsidR="008E5BE1" w:rsidRPr="00AB003C" w:rsidRDefault="008E5BE1" w:rsidP="008E5BE1">
      <w:pPr>
        <w:spacing w:line="360" w:lineRule="auto"/>
        <w:jc w:val="both"/>
        <w:rPr>
          <w:sz w:val="24"/>
          <w:szCs w:val="24"/>
        </w:rPr>
      </w:pPr>
    </w:p>
    <w:p w14:paraId="2A49A7D1" w14:textId="6ABBDF7C" w:rsidR="00052106" w:rsidRPr="008E5BE1" w:rsidRDefault="00D640CE" w:rsidP="008E5BE1">
      <w:pPr>
        <w:spacing w:line="360" w:lineRule="auto"/>
        <w:jc w:val="both"/>
        <w:rPr>
          <w:b/>
          <w:sz w:val="24"/>
          <w:szCs w:val="24"/>
        </w:rPr>
      </w:pPr>
      <w:r>
        <w:rPr>
          <w:b/>
          <w:sz w:val="24"/>
          <w:szCs w:val="24"/>
        </w:rPr>
        <w:t xml:space="preserve">I. </w:t>
      </w:r>
      <w:r w:rsidR="008E5BE1" w:rsidRPr="008E5BE1">
        <w:rPr>
          <w:b/>
          <w:sz w:val="24"/>
          <w:szCs w:val="24"/>
        </w:rPr>
        <w:t>Introduction</w:t>
      </w:r>
    </w:p>
    <w:p w14:paraId="7CADF8E8" w14:textId="7F48A594" w:rsidR="009F4D72" w:rsidRPr="00AB003C" w:rsidRDefault="009F4D72" w:rsidP="008E5BE1">
      <w:pPr>
        <w:spacing w:line="360" w:lineRule="auto"/>
        <w:jc w:val="both"/>
        <w:rPr>
          <w:sz w:val="24"/>
          <w:szCs w:val="24"/>
        </w:rPr>
      </w:pPr>
      <w:r w:rsidRPr="00AB003C">
        <w:rPr>
          <w:sz w:val="24"/>
          <w:szCs w:val="24"/>
        </w:rPr>
        <w:t xml:space="preserve">The </w:t>
      </w:r>
      <w:r w:rsidR="00855639" w:rsidRPr="00AB003C">
        <w:rPr>
          <w:sz w:val="24"/>
          <w:szCs w:val="24"/>
        </w:rPr>
        <w:t xml:space="preserve">use of </w:t>
      </w:r>
      <w:r w:rsidRPr="00AB003C">
        <w:rPr>
          <w:sz w:val="24"/>
          <w:szCs w:val="24"/>
        </w:rPr>
        <w:t>foreign law in constitutional cases has been both tr</w:t>
      </w:r>
      <w:r w:rsidR="00114D9D" w:rsidRPr="00AB003C">
        <w:rPr>
          <w:sz w:val="24"/>
          <w:szCs w:val="24"/>
        </w:rPr>
        <w:t xml:space="preserve">enchantly criticised and broadly </w:t>
      </w:r>
      <w:r w:rsidRPr="00AB003C">
        <w:rPr>
          <w:sz w:val="24"/>
          <w:szCs w:val="24"/>
        </w:rPr>
        <w:t>endorsed.</w:t>
      </w:r>
      <w:r w:rsidR="00804C65" w:rsidRPr="00AB003C">
        <w:rPr>
          <w:rStyle w:val="FootnoteReference"/>
          <w:sz w:val="24"/>
          <w:szCs w:val="24"/>
        </w:rPr>
        <w:footnoteReference w:id="1"/>
      </w:r>
      <w:r w:rsidRPr="00AB003C">
        <w:rPr>
          <w:sz w:val="24"/>
          <w:szCs w:val="24"/>
        </w:rPr>
        <w:t xml:space="preserve"> Scalia comments that judges are sworn to apply the laws of their own people; they are not ‘some international priesthood </w:t>
      </w:r>
      <w:r w:rsidRPr="00AB003C">
        <w:rPr>
          <w:sz w:val="24"/>
          <w:szCs w:val="24"/>
        </w:rPr>
        <w:lastRenderedPageBreak/>
        <w:t>empowered to impose upon [their] free and independent citizens supranational values that contradict their own.’</w:t>
      </w:r>
      <w:bookmarkStart w:id="1" w:name="_Ref259875208"/>
      <w:r w:rsidRPr="00AB003C">
        <w:rPr>
          <w:rStyle w:val="FootnoteReference"/>
          <w:sz w:val="24"/>
          <w:szCs w:val="24"/>
        </w:rPr>
        <w:footnoteReference w:id="2"/>
      </w:r>
      <w:bookmarkEnd w:id="1"/>
      <w:r w:rsidR="00853C63" w:rsidRPr="00AB003C">
        <w:rPr>
          <w:sz w:val="24"/>
          <w:szCs w:val="24"/>
        </w:rPr>
        <w:t xml:space="preserve"> In contrast</w:t>
      </w:r>
      <w:r w:rsidR="003F4797" w:rsidRPr="00AB003C">
        <w:rPr>
          <w:sz w:val="24"/>
          <w:szCs w:val="24"/>
        </w:rPr>
        <w:t>, Bingham observe</w:t>
      </w:r>
      <w:r w:rsidRPr="00AB003C">
        <w:rPr>
          <w:sz w:val="24"/>
          <w:szCs w:val="24"/>
        </w:rPr>
        <w:t>s that if ‘the law is a humane science reflecting the product of intellectual endeavour century after century, it would be strange if in this field alone practitioners and academics were obliged to ignore developments elsewhere, or at least to regard them as of no practical consequence. Such an approach can only impoverish our law; it cannot enrich it.’</w:t>
      </w:r>
      <w:r w:rsidRPr="00AB003C">
        <w:rPr>
          <w:rStyle w:val="FootnoteReference"/>
          <w:sz w:val="24"/>
          <w:szCs w:val="24"/>
        </w:rPr>
        <w:footnoteReference w:id="3"/>
      </w:r>
      <w:r w:rsidR="0079126B" w:rsidRPr="00AB003C">
        <w:rPr>
          <w:sz w:val="24"/>
          <w:szCs w:val="24"/>
        </w:rPr>
        <w:t xml:space="preserve"> However, if the judicial use of foreign law </w:t>
      </w:r>
      <w:r w:rsidR="00853C63" w:rsidRPr="00AB003C">
        <w:rPr>
          <w:sz w:val="24"/>
          <w:szCs w:val="24"/>
        </w:rPr>
        <w:t>‘</w:t>
      </w:r>
      <w:r w:rsidR="0079126B" w:rsidRPr="00AB003C">
        <w:rPr>
          <w:sz w:val="24"/>
          <w:szCs w:val="24"/>
        </w:rPr>
        <w:t>enrich</w:t>
      </w:r>
      <w:r w:rsidR="00112530" w:rsidRPr="00AB003C">
        <w:rPr>
          <w:sz w:val="24"/>
          <w:szCs w:val="24"/>
        </w:rPr>
        <w:t>es</w:t>
      </w:r>
      <w:r w:rsidR="00853C63" w:rsidRPr="00AB003C">
        <w:rPr>
          <w:sz w:val="24"/>
          <w:szCs w:val="24"/>
        </w:rPr>
        <w:t>’</w:t>
      </w:r>
      <w:r w:rsidR="0079126B" w:rsidRPr="00AB003C">
        <w:rPr>
          <w:sz w:val="24"/>
          <w:szCs w:val="24"/>
        </w:rPr>
        <w:t xml:space="preserve"> national law </w:t>
      </w:r>
      <w:r w:rsidR="0071693D">
        <w:rPr>
          <w:sz w:val="24"/>
          <w:szCs w:val="24"/>
        </w:rPr>
        <w:t xml:space="preserve">by changing </w:t>
      </w:r>
      <w:r w:rsidR="0079126B" w:rsidRPr="00AB003C">
        <w:rPr>
          <w:sz w:val="24"/>
          <w:szCs w:val="24"/>
        </w:rPr>
        <w:t xml:space="preserve">what would otherwise have been the outcome of a case, </w:t>
      </w:r>
      <w:r w:rsidR="0071693D">
        <w:rPr>
          <w:sz w:val="24"/>
          <w:szCs w:val="24"/>
        </w:rPr>
        <w:t xml:space="preserve">Scalia’s </w:t>
      </w:r>
      <w:r w:rsidRPr="00AB003C">
        <w:rPr>
          <w:sz w:val="24"/>
          <w:szCs w:val="24"/>
        </w:rPr>
        <w:t xml:space="preserve">concerns </w:t>
      </w:r>
      <w:r w:rsidR="0071693D">
        <w:rPr>
          <w:sz w:val="24"/>
          <w:szCs w:val="24"/>
        </w:rPr>
        <w:t>appear justified</w:t>
      </w:r>
      <w:r w:rsidRPr="00AB003C">
        <w:rPr>
          <w:sz w:val="24"/>
          <w:szCs w:val="24"/>
        </w:rPr>
        <w:t xml:space="preserve">. Conversely, if </w:t>
      </w:r>
      <w:r w:rsidR="0079126B" w:rsidRPr="00AB003C">
        <w:rPr>
          <w:sz w:val="24"/>
          <w:szCs w:val="24"/>
        </w:rPr>
        <w:t>using foreign law never change</w:t>
      </w:r>
      <w:r w:rsidR="00112530" w:rsidRPr="00AB003C">
        <w:rPr>
          <w:sz w:val="24"/>
          <w:szCs w:val="24"/>
        </w:rPr>
        <w:t>s</w:t>
      </w:r>
      <w:r w:rsidR="00D5286E" w:rsidRPr="00AB003C">
        <w:rPr>
          <w:sz w:val="24"/>
          <w:szCs w:val="24"/>
        </w:rPr>
        <w:t xml:space="preserve"> the outcome of </w:t>
      </w:r>
      <w:r w:rsidR="0079126B" w:rsidRPr="00AB003C">
        <w:rPr>
          <w:sz w:val="24"/>
          <w:szCs w:val="24"/>
        </w:rPr>
        <w:t>case</w:t>
      </w:r>
      <w:r w:rsidR="00D5286E" w:rsidRPr="00AB003C">
        <w:rPr>
          <w:sz w:val="24"/>
          <w:szCs w:val="24"/>
        </w:rPr>
        <w:t>s</w:t>
      </w:r>
      <w:r w:rsidRPr="00AB003C">
        <w:rPr>
          <w:sz w:val="24"/>
          <w:szCs w:val="24"/>
        </w:rPr>
        <w:t xml:space="preserve">, why </w:t>
      </w:r>
      <w:r w:rsidR="009E5FDE" w:rsidRPr="00AB003C">
        <w:rPr>
          <w:sz w:val="24"/>
          <w:szCs w:val="24"/>
        </w:rPr>
        <w:t xml:space="preserve">would anyone </w:t>
      </w:r>
      <w:r w:rsidR="0079126B" w:rsidRPr="00AB003C">
        <w:rPr>
          <w:sz w:val="24"/>
          <w:szCs w:val="24"/>
        </w:rPr>
        <w:t>bother to engage in it, still less applaud it</w:t>
      </w:r>
      <w:r w:rsidRPr="00AB003C">
        <w:rPr>
          <w:sz w:val="24"/>
          <w:szCs w:val="24"/>
        </w:rPr>
        <w:t>?</w:t>
      </w:r>
    </w:p>
    <w:p w14:paraId="2664AF48" w14:textId="75A6CC29" w:rsidR="00AD6A0D" w:rsidRPr="00AB003C" w:rsidRDefault="009E5FDE" w:rsidP="00AD6A0D">
      <w:pPr>
        <w:spacing w:line="360" w:lineRule="auto"/>
        <w:ind w:firstLine="720"/>
        <w:jc w:val="both"/>
        <w:rPr>
          <w:sz w:val="24"/>
          <w:szCs w:val="24"/>
        </w:rPr>
      </w:pPr>
      <w:r w:rsidRPr="00AB003C">
        <w:rPr>
          <w:sz w:val="24"/>
          <w:szCs w:val="24"/>
        </w:rPr>
        <w:t>Bingham’s broadly sympathetic attitude</w:t>
      </w:r>
      <w:r w:rsidR="0079126B" w:rsidRPr="00AB003C">
        <w:rPr>
          <w:sz w:val="24"/>
          <w:szCs w:val="24"/>
        </w:rPr>
        <w:t>, which is widely shared,</w:t>
      </w:r>
      <w:r w:rsidRPr="00AB003C">
        <w:rPr>
          <w:sz w:val="24"/>
          <w:szCs w:val="24"/>
        </w:rPr>
        <w:t xml:space="preserve"> </w:t>
      </w:r>
      <w:r w:rsidR="00421FD8" w:rsidRPr="00AB003C">
        <w:rPr>
          <w:sz w:val="24"/>
          <w:szCs w:val="24"/>
        </w:rPr>
        <w:t xml:space="preserve">depends for its force on the factual possibility that </w:t>
      </w:r>
      <w:r w:rsidR="009F4D72" w:rsidRPr="00AB003C">
        <w:rPr>
          <w:sz w:val="24"/>
          <w:szCs w:val="24"/>
        </w:rPr>
        <w:t>fo</w:t>
      </w:r>
      <w:r w:rsidR="00D5286E" w:rsidRPr="00AB003C">
        <w:rPr>
          <w:sz w:val="24"/>
          <w:szCs w:val="24"/>
        </w:rPr>
        <w:t xml:space="preserve">reign law can have </w:t>
      </w:r>
      <w:r w:rsidR="009F4D72" w:rsidRPr="00AB003C">
        <w:rPr>
          <w:sz w:val="24"/>
          <w:szCs w:val="24"/>
        </w:rPr>
        <w:t xml:space="preserve">influence (and hence be useful to judges in constitutional cases) without having the sort of </w:t>
      </w:r>
      <w:r w:rsidR="00D5286E" w:rsidRPr="00AB003C">
        <w:rPr>
          <w:sz w:val="24"/>
          <w:szCs w:val="24"/>
        </w:rPr>
        <w:t xml:space="preserve">determinative </w:t>
      </w:r>
      <w:r w:rsidR="009F4D72" w:rsidRPr="00AB003C">
        <w:rPr>
          <w:sz w:val="24"/>
          <w:szCs w:val="24"/>
        </w:rPr>
        <w:t>influence decried by Scalia. The literature</w:t>
      </w:r>
      <w:r w:rsidR="0071693D">
        <w:rPr>
          <w:sz w:val="24"/>
          <w:szCs w:val="24"/>
        </w:rPr>
        <w:t>, however,</w:t>
      </w:r>
      <w:r w:rsidR="009F4D72" w:rsidRPr="00AB003C">
        <w:rPr>
          <w:sz w:val="24"/>
          <w:szCs w:val="24"/>
        </w:rPr>
        <w:t xml:space="preserve"> has failed to </w:t>
      </w:r>
      <w:r w:rsidR="0071693D">
        <w:rPr>
          <w:sz w:val="24"/>
          <w:szCs w:val="24"/>
        </w:rPr>
        <w:t xml:space="preserve">provide </w:t>
      </w:r>
      <w:r w:rsidR="009F4D72" w:rsidRPr="00AB003C">
        <w:rPr>
          <w:sz w:val="24"/>
          <w:szCs w:val="24"/>
        </w:rPr>
        <w:t>a co</w:t>
      </w:r>
      <w:r w:rsidR="0071693D">
        <w:rPr>
          <w:sz w:val="24"/>
          <w:szCs w:val="24"/>
        </w:rPr>
        <w:t xml:space="preserve">nvincing </w:t>
      </w:r>
      <w:r w:rsidR="009F4D72" w:rsidRPr="00AB003C">
        <w:rPr>
          <w:sz w:val="24"/>
          <w:szCs w:val="24"/>
        </w:rPr>
        <w:t xml:space="preserve">concept of this </w:t>
      </w:r>
      <w:r w:rsidR="00D5286E" w:rsidRPr="00AB003C">
        <w:rPr>
          <w:sz w:val="24"/>
          <w:szCs w:val="24"/>
        </w:rPr>
        <w:t xml:space="preserve">moderate </w:t>
      </w:r>
      <w:r w:rsidR="0071693D">
        <w:rPr>
          <w:sz w:val="24"/>
          <w:szCs w:val="24"/>
        </w:rPr>
        <w:t>influence</w:t>
      </w:r>
      <w:r w:rsidR="009B2D1B" w:rsidRPr="00AB003C">
        <w:rPr>
          <w:sz w:val="24"/>
          <w:szCs w:val="24"/>
        </w:rPr>
        <w:t>.</w:t>
      </w:r>
      <w:r w:rsidR="00CD68D8" w:rsidRPr="00AB003C">
        <w:rPr>
          <w:sz w:val="24"/>
          <w:szCs w:val="24"/>
        </w:rPr>
        <w:t xml:space="preserve"> </w:t>
      </w:r>
      <w:r w:rsidR="009F4D72" w:rsidRPr="00AB003C">
        <w:rPr>
          <w:sz w:val="24"/>
          <w:szCs w:val="24"/>
        </w:rPr>
        <w:t xml:space="preserve">The </w:t>
      </w:r>
      <w:r w:rsidR="00112530" w:rsidRPr="00AB003C">
        <w:rPr>
          <w:sz w:val="24"/>
          <w:szCs w:val="24"/>
        </w:rPr>
        <w:t xml:space="preserve">notion of </w:t>
      </w:r>
      <w:r w:rsidR="009F4D72" w:rsidRPr="00AB003C">
        <w:rPr>
          <w:sz w:val="24"/>
          <w:szCs w:val="24"/>
        </w:rPr>
        <w:t xml:space="preserve">persuasive authority, </w:t>
      </w:r>
      <w:r w:rsidR="00112530" w:rsidRPr="00AB003C">
        <w:rPr>
          <w:sz w:val="24"/>
          <w:szCs w:val="24"/>
        </w:rPr>
        <w:t>almost always mentioned</w:t>
      </w:r>
      <w:r w:rsidR="003F4797" w:rsidRPr="00AB003C">
        <w:rPr>
          <w:sz w:val="24"/>
          <w:szCs w:val="24"/>
        </w:rPr>
        <w:t xml:space="preserve"> </w:t>
      </w:r>
      <w:r w:rsidR="009F4D72" w:rsidRPr="00AB003C">
        <w:rPr>
          <w:sz w:val="24"/>
          <w:szCs w:val="24"/>
        </w:rPr>
        <w:t xml:space="preserve">by judges </w:t>
      </w:r>
      <w:r w:rsidR="00BD4473" w:rsidRPr="00AB003C">
        <w:rPr>
          <w:sz w:val="24"/>
          <w:szCs w:val="24"/>
        </w:rPr>
        <w:t xml:space="preserve">in their written </w:t>
      </w:r>
      <w:r w:rsidR="009F4D72" w:rsidRPr="00AB003C">
        <w:rPr>
          <w:sz w:val="24"/>
          <w:szCs w:val="24"/>
        </w:rPr>
        <w:t>judgments</w:t>
      </w:r>
      <w:r w:rsidR="003F4797" w:rsidRPr="00AB003C">
        <w:rPr>
          <w:sz w:val="24"/>
          <w:szCs w:val="24"/>
        </w:rPr>
        <w:t xml:space="preserve"> and further elaborated by some academic commentators</w:t>
      </w:r>
      <w:r w:rsidR="009F4D72" w:rsidRPr="00AB003C">
        <w:rPr>
          <w:sz w:val="24"/>
          <w:szCs w:val="24"/>
        </w:rPr>
        <w:t xml:space="preserve">, has foundered on the </w:t>
      </w:r>
      <w:r w:rsidR="00AD6A0D">
        <w:rPr>
          <w:sz w:val="24"/>
          <w:szCs w:val="24"/>
        </w:rPr>
        <w:t>inability to reconcile authority with persuasion.</w:t>
      </w:r>
      <w:bookmarkStart w:id="2" w:name="_Ref308947579"/>
      <w:r w:rsidR="00AD6A0D">
        <w:rPr>
          <w:rStyle w:val="FootnoteReference"/>
          <w:sz w:val="24"/>
          <w:szCs w:val="24"/>
        </w:rPr>
        <w:footnoteReference w:id="4"/>
      </w:r>
      <w:bookmarkEnd w:id="2"/>
      <w:r w:rsidR="00AD6A0D">
        <w:rPr>
          <w:sz w:val="24"/>
          <w:szCs w:val="24"/>
        </w:rPr>
        <w:t xml:space="preserve"> Notions of judicial learning</w:t>
      </w:r>
      <w:r w:rsidR="000858E1" w:rsidRPr="00AB003C">
        <w:rPr>
          <w:sz w:val="24"/>
          <w:szCs w:val="24"/>
        </w:rPr>
        <w:t>, develop</w:t>
      </w:r>
      <w:r w:rsidR="009F4D72" w:rsidRPr="00AB003C">
        <w:rPr>
          <w:sz w:val="24"/>
          <w:szCs w:val="24"/>
        </w:rPr>
        <w:t xml:space="preserve">ed externally to the practice but partly by some judges writing extra-judicially, equivocate between whether a judge is simply learning about her own law or about alternative solutions to problems encountered in her legal system. This equivocation </w:t>
      </w:r>
      <w:r w:rsidR="009B2D1B" w:rsidRPr="00AB003C">
        <w:rPr>
          <w:sz w:val="24"/>
          <w:szCs w:val="24"/>
        </w:rPr>
        <w:t xml:space="preserve">obscures the </w:t>
      </w:r>
      <w:r w:rsidR="009F4D72" w:rsidRPr="00AB003C">
        <w:rPr>
          <w:sz w:val="24"/>
          <w:szCs w:val="24"/>
        </w:rPr>
        <w:t xml:space="preserve">precise effect </w:t>
      </w:r>
      <w:r w:rsidR="009B2D1B" w:rsidRPr="00AB003C">
        <w:rPr>
          <w:sz w:val="24"/>
          <w:szCs w:val="24"/>
        </w:rPr>
        <w:t xml:space="preserve">being accorded to </w:t>
      </w:r>
      <w:r w:rsidR="009F4D72" w:rsidRPr="00AB003C">
        <w:rPr>
          <w:sz w:val="24"/>
          <w:szCs w:val="24"/>
        </w:rPr>
        <w:t>foreign law</w:t>
      </w:r>
      <w:r w:rsidR="003F4797" w:rsidRPr="00AB003C">
        <w:rPr>
          <w:sz w:val="24"/>
          <w:szCs w:val="24"/>
        </w:rPr>
        <w:t>.</w:t>
      </w:r>
      <w:bookmarkStart w:id="3" w:name="_Ref308947543"/>
      <w:r w:rsidR="00AD6A0D">
        <w:rPr>
          <w:rStyle w:val="FootnoteReference"/>
          <w:sz w:val="24"/>
          <w:szCs w:val="24"/>
        </w:rPr>
        <w:footnoteReference w:id="5"/>
      </w:r>
      <w:bookmarkEnd w:id="3"/>
      <w:r w:rsidR="003F4797" w:rsidRPr="00AB003C">
        <w:rPr>
          <w:sz w:val="24"/>
          <w:szCs w:val="24"/>
        </w:rPr>
        <w:t xml:space="preserve"> </w:t>
      </w:r>
      <w:r w:rsidR="00AD6A0D">
        <w:rPr>
          <w:sz w:val="24"/>
          <w:szCs w:val="24"/>
        </w:rPr>
        <w:t xml:space="preserve">The notion of judicial dialogue has been employed in very different ways, making </w:t>
      </w:r>
      <w:r w:rsidR="00AD6A0D" w:rsidRPr="00AB003C">
        <w:rPr>
          <w:sz w:val="24"/>
          <w:szCs w:val="24"/>
        </w:rPr>
        <w:t>it an insecure basis for any conceptual</w:t>
      </w:r>
      <w:r w:rsidR="00D508BB">
        <w:rPr>
          <w:sz w:val="24"/>
          <w:szCs w:val="24"/>
        </w:rPr>
        <w:t>isation</w:t>
      </w:r>
      <w:r w:rsidR="00AD6A0D" w:rsidRPr="00AB003C">
        <w:rPr>
          <w:sz w:val="24"/>
          <w:szCs w:val="24"/>
        </w:rPr>
        <w:t xml:space="preserve"> of the judicial practices of using foreign law in constitutional cases.</w:t>
      </w:r>
      <w:bookmarkStart w:id="4" w:name="_Ref308947826"/>
      <w:r w:rsidR="00C84CF6">
        <w:rPr>
          <w:rStyle w:val="FootnoteReference"/>
          <w:sz w:val="24"/>
          <w:szCs w:val="24"/>
        </w:rPr>
        <w:footnoteReference w:id="6"/>
      </w:r>
      <w:bookmarkEnd w:id="4"/>
    </w:p>
    <w:p w14:paraId="1537FE16" w14:textId="4081FF75" w:rsidR="003E2EFF" w:rsidRDefault="00C84CF6" w:rsidP="003E2EFF">
      <w:pPr>
        <w:spacing w:line="360" w:lineRule="auto"/>
        <w:ind w:firstLine="720"/>
        <w:jc w:val="both"/>
        <w:rPr>
          <w:sz w:val="24"/>
          <w:szCs w:val="24"/>
        </w:rPr>
      </w:pPr>
      <w:r>
        <w:rPr>
          <w:sz w:val="24"/>
          <w:szCs w:val="24"/>
        </w:rPr>
        <w:t xml:space="preserve">In this </w:t>
      </w:r>
      <w:r w:rsidR="00E04475" w:rsidRPr="00AB003C">
        <w:rPr>
          <w:sz w:val="24"/>
          <w:szCs w:val="24"/>
        </w:rPr>
        <w:t>article</w:t>
      </w:r>
      <w:r>
        <w:rPr>
          <w:sz w:val="24"/>
          <w:szCs w:val="24"/>
        </w:rPr>
        <w:t>, I</w:t>
      </w:r>
      <w:r w:rsidR="00E04475" w:rsidRPr="00AB003C">
        <w:rPr>
          <w:sz w:val="24"/>
          <w:szCs w:val="24"/>
        </w:rPr>
        <w:t xml:space="preserve"> construct a concept </w:t>
      </w:r>
      <w:r>
        <w:rPr>
          <w:sz w:val="24"/>
          <w:szCs w:val="24"/>
        </w:rPr>
        <w:t xml:space="preserve">that underpins Bingham’s sympathetic attitude to the use of foreign law. In short, we can conceive of foreign law as holding </w:t>
      </w:r>
      <w:r w:rsidRPr="000E04CC">
        <w:rPr>
          <w:sz w:val="24"/>
          <w:szCs w:val="24"/>
        </w:rPr>
        <w:t>theoretical</w:t>
      </w:r>
      <w:r w:rsidR="00D508BB" w:rsidRPr="000E04CC">
        <w:rPr>
          <w:sz w:val="24"/>
          <w:szCs w:val="24"/>
        </w:rPr>
        <w:t xml:space="preserve"> authority</w:t>
      </w:r>
      <w:r w:rsidR="000E04CC">
        <w:rPr>
          <w:sz w:val="24"/>
          <w:szCs w:val="24"/>
        </w:rPr>
        <w:t>.</w:t>
      </w:r>
      <w:r>
        <w:rPr>
          <w:sz w:val="24"/>
          <w:szCs w:val="24"/>
        </w:rPr>
        <w:t xml:space="preserve"> </w:t>
      </w:r>
      <w:r w:rsidR="00E04475" w:rsidRPr="00AB003C">
        <w:rPr>
          <w:sz w:val="24"/>
          <w:szCs w:val="24"/>
        </w:rPr>
        <w:t xml:space="preserve">This concept is not </w:t>
      </w:r>
      <w:r>
        <w:rPr>
          <w:sz w:val="24"/>
          <w:szCs w:val="24"/>
        </w:rPr>
        <w:t>a</w:t>
      </w:r>
      <w:r w:rsidR="00E04475" w:rsidRPr="00AB003C">
        <w:rPr>
          <w:sz w:val="24"/>
          <w:szCs w:val="24"/>
        </w:rPr>
        <w:t xml:space="preserve"> </w:t>
      </w:r>
      <w:r w:rsidR="00E04475" w:rsidRPr="00C84CF6">
        <w:rPr>
          <w:i/>
          <w:sz w:val="24"/>
          <w:szCs w:val="24"/>
        </w:rPr>
        <w:t>description</w:t>
      </w:r>
      <w:r w:rsidR="00E04475" w:rsidRPr="00AB003C">
        <w:rPr>
          <w:sz w:val="24"/>
          <w:szCs w:val="24"/>
        </w:rPr>
        <w:t xml:space="preserve"> of </w:t>
      </w:r>
      <w:r w:rsidR="0047118A">
        <w:rPr>
          <w:sz w:val="24"/>
          <w:szCs w:val="24"/>
        </w:rPr>
        <w:t xml:space="preserve">how judges use </w:t>
      </w:r>
      <w:r w:rsidR="00E04475" w:rsidRPr="00AB003C">
        <w:rPr>
          <w:sz w:val="24"/>
          <w:szCs w:val="24"/>
        </w:rPr>
        <w:t>foreign law</w:t>
      </w:r>
      <w:r w:rsidR="0047118A">
        <w:rPr>
          <w:sz w:val="24"/>
          <w:szCs w:val="24"/>
        </w:rPr>
        <w:t xml:space="preserve"> although </w:t>
      </w:r>
      <w:r w:rsidR="00150502">
        <w:rPr>
          <w:sz w:val="24"/>
          <w:szCs w:val="24"/>
        </w:rPr>
        <w:t xml:space="preserve">it is consistent with much </w:t>
      </w:r>
      <w:r w:rsidR="0047118A">
        <w:rPr>
          <w:sz w:val="24"/>
          <w:szCs w:val="24"/>
        </w:rPr>
        <w:t xml:space="preserve">judicial </w:t>
      </w:r>
      <w:r w:rsidR="00150502">
        <w:rPr>
          <w:sz w:val="24"/>
          <w:szCs w:val="24"/>
        </w:rPr>
        <w:t xml:space="preserve">practice and extra-judicial commentary. </w:t>
      </w:r>
      <w:r w:rsidR="0047118A">
        <w:rPr>
          <w:sz w:val="24"/>
          <w:szCs w:val="24"/>
        </w:rPr>
        <w:t>Rather, the concept</w:t>
      </w:r>
      <w:r w:rsidR="00E04475" w:rsidRPr="00AB003C">
        <w:rPr>
          <w:sz w:val="24"/>
          <w:szCs w:val="24"/>
        </w:rPr>
        <w:t xml:space="preserve"> is presented as the central case of the judicial use of foreign law in constitutional cases. The selection of this central case </w:t>
      </w:r>
      <w:r w:rsidR="0047118A">
        <w:rPr>
          <w:sz w:val="24"/>
          <w:szCs w:val="24"/>
        </w:rPr>
        <w:t>depends on two</w:t>
      </w:r>
      <w:r>
        <w:rPr>
          <w:sz w:val="24"/>
          <w:szCs w:val="24"/>
        </w:rPr>
        <w:t xml:space="preserve"> evaluative judgment</w:t>
      </w:r>
      <w:r w:rsidR="0047118A">
        <w:rPr>
          <w:sz w:val="24"/>
          <w:szCs w:val="24"/>
        </w:rPr>
        <w:t xml:space="preserve">s. I do not have space to defend these judgments here but they have sufficient currency to </w:t>
      </w:r>
      <w:r w:rsidR="003E2EFF">
        <w:rPr>
          <w:sz w:val="24"/>
          <w:szCs w:val="24"/>
        </w:rPr>
        <w:t xml:space="preserve">provide a reasonable basis for further analysis. </w:t>
      </w:r>
      <w:r w:rsidR="0047118A">
        <w:rPr>
          <w:sz w:val="24"/>
          <w:szCs w:val="24"/>
        </w:rPr>
        <w:t>First,</w:t>
      </w:r>
      <w:r w:rsidR="00E04475" w:rsidRPr="00AB003C">
        <w:rPr>
          <w:sz w:val="24"/>
          <w:szCs w:val="24"/>
        </w:rPr>
        <w:t xml:space="preserve"> </w:t>
      </w:r>
      <w:r w:rsidR="0047118A">
        <w:rPr>
          <w:sz w:val="24"/>
          <w:szCs w:val="24"/>
        </w:rPr>
        <w:t xml:space="preserve">the </w:t>
      </w:r>
      <w:r w:rsidR="00E04475" w:rsidRPr="00AB003C">
        <w:rPr>
          <w:sz w:val="24"/>
          <w:szCs w:val="24"/>
        </w:rPr>
        <w:t xml:space="preserve">judicial power </w:t>
      </w:r>
      <w:r w:rsidR="0047118A">
        <w:rPr>
          <w:sz w:val="24"/>
          <w:szCs w:val="24"/>
        </w:rPr>
        <w:t xml:space="preserve">of constitutional review </w:t>
      </w:r>
      <w:r w:rsidR="00E04475" w:rsidRPr="00AB003C">
        <w:rPr>
          <w:sz w:val="24"/>
          <w:szCs w:val="24"/>
        </w:rPr>
        <w:t xml:space="preserve">is only legitimate where it is exercised on the basis of norms that </w:t>
      </w:r>
      <w:r w:rsidR="0047118A">
        <w:rPr>
          <w:sz w:val="24"/>
          <w:szCs w:val="24"/>
        </w:rPr>
        <w:t>can be democratically revised by those subject to that judicial power.</w:t>
      </w:r>
      <w:r w:rsidR="00E04475" w:rsidRPr="00AB003C">
        <w:rPr>
          <w:rStyle w:val="FootnoteReference"/>
          <w:sz w:val="24"/>
          <w:szCs w:val="24"/>
        </w:rPr>
        <w:footnoteReference w:id="7"/>
      </w:r>
      <w:r w:rsidR="0047118A">
        <w:rPr>
          <w:sz w:val="24"/>
          <w:szCs w:val="24"/>
        </w:rPr>
        <w:t xml:space="preserve"> The</w:t>
      </w:r>
      <w:r w:rsidR="003E2EFF">
        <w:rPr>
          <w:sz w:val="24"/>
          <w:szCs w:val="24"/>
        </w:rPr>
        <w:t>refor</w:t>
      </w:r>
      <w:r w:rsidR="00150502">
        <w:rPr>
          <w:sz w:val="24"/>
          <w:szCs w:val="24"/>
        </w:rPr>
        <w:t>e, foreign law provides no grounds</w:t>
      </w:r>
      <w:r w:rsidR="003E2EFF">
        <w:rPr>
          <w:sz w:val="24"/>
          <w:szCs w:val="24"/>
        </w:rPr>
        <w:t xml:space="preserve"> for a court to disapply a provision of national law. Second, </w:t>
      </w:r>
      <w:r w:rsidR="00D508BB">
        <w:rPr>
          <w:sz w:val="24"/>
          <w:szCs w:val="24"/>
        </w:rPr>
        <w:t xml:space="preserve">court judgments </w:t>
      </w:r>
      <w:r w:rsidR="003E2EFF">
        <w:rPr>
          <w:sz w:val="24"/>
          <w:szCs w:val="24"/>
        </w:rPr>
        <w:t xml:space="preserve">should elucidate rather than obscure the basis for a judgment. Therefore, foreign law should only be cited where it actually does play a role in the judge’s reasoning process. These conditions </w:t>
      </w:r>
      <w:r w:rsidR="00D508BB">
        <w:rPr>
          <w:sz w:val="24"/>
          <w:szCs w:val="24"/>
        </w:rPr>
        <w:t xml:space="preserve">frame </w:t>
      </w:r>
      <w:r w:rsidR="00E04475" w:rsidRPr="00AB003C">
        <w:rPr>
          <w:sz w:val="24"/>
          <w:szCs w:val="24"/>
        </w:rPr>
        <w:t>the debate epitomised by Scalia and Bingham</w:t>
      </w:r>
      <w:r w:rsidR="003E2EFF">
        <w:rPr>
          <w:sz w:val="24"/>
          <w:szCs w:val="24"/>
        </w:rPr>
        <w:t xml:space="preserve">: how can </w:t>
      </w:r>
      <w:r w:rsidR="0035525D" w:rsidRPr="00AB003C">
        <w:rPr>
          <w:sz w:val="24"/>
          <w:szCs w:val="24"/>
        </w:rPr>
        <w:t xml:space="preserve">the use of foreign law </w:t>
      </w:r>
      <w:r w:rsidR="003E2EFF">
        <w:rPr>
          <w:sz w:val="24"/>
          <w:szCs w:val="24"/>
        </w:rPr>
        <w:t xml:space="preserve">genuinely </w:t>
      </w:r>
      <w:r w:rsidR="0035525D" w:rsidRPr="00AB003C">
        <w:rPr>
          <w:sz w:val="24"/>
          <w:szCs w:val="24"/>
        </w:rPr>
        <w:t>enrich judgments with</w:t>
      </w:r>
      <w:r w:rsidR="003E2EFF">
        <w:rPr>
          <w:sz w:val="24"/>
          <w:szCs w:val="24"/>
        </w:rPr>
        <w:t>out raising democratic concerns</w:t>
      </w:r>
      <w:r w:rsidR="00392045">
        <w:rPr>
          <w:sz w:val="24"/>
          <w:szCs w:val="24"/>
        </w:rPr>
        <w:t>?</w:t>
      </w:r>
    </w:p>
    <w:p w14:paraId="70C28176" w14:textId="38195F13" w:rsidR="009F4D72" w:rsidRPr="00AB003C" w:rsidRDefault="00392045" w:rsidP="003E2EFF">
      <w:pPr>
        <w:spacing w:line="360" w:lineRule="auto"/>
        <w:ind w:firstLine="720"/>
        <w:jc w:val="both"/>
        <w:rPr>
          <w:sz w:val="24"/>
          <w:szCs w:val="24"/>
        </w:rPr>
      </w:pPr>
      <w:r>
        <w:rPr>
          <w:sz w:val="24"/>
          <w:szCs w:val="24"/>
        </w:rPr>
        <w:t>In exploring the answer to that question, this article constructs the concept of foreign law as theoretically authoritative. J</w:t>
      </w:r>
      <w:r w:rsidR="009F4D72" w:rsidRPr="00AB003C">
        <w:rPr>
          <w:sz w:val="24"/>
          <w:szCs w:val="24"/>
        </w:rPr>
        <w:t xml:space="preserve">udges </w:t>
      </w:r>
      <w:r>
        <w:rPr>
          <w:sz w:val="24"/>
          <w:szCs w:val="24"/>
        </w:rPr>
        <w:t xml:space="preserve">can </w:t>
      </w:r>
      <w:r w:rsidR="009F4D72" w:rsidRPr="00AB003C">
        <w:rPr>
          <w:sz w:val="24"/>
          <w:szCs w:val="24"/>
        </w:rPr>
        <w:t xml:space="preserve">learn from foreign law, treating it as authoritative in relation to how they should understand legal concepts, not in relation to how they should act. There is </w:t>
      </w:r>
      <w:r w:rsidR="00DB41E9" w:rsidRPr="00AB003C">
        <w:rPr>
          <w:sz w:val="24"/>
          <w:szCs w:val="24"/>
        </w:rPr>
        <w:t xml:space="preserve">a </w:t>
      </w:r>
      <w:r w:rsidR="00DB41E9" w:rsidRPr="00AB003C">
        <w:rPr>
          <w:i/>
          <w:sz w:val="24"/>
          <w:szCs w:val="24"/>
        </w:rPr>
        <w:t xml:space="preserve">pro tanto </w:t>
      </w:r>
      <w:r w:rsidR="009F4D72" w:rsidRPr="00AB003C">
        <w:rPr>
          <w:sz w:val="24"/>
          <w:szCs w:val="24"/>
        </w:rPr>
        <w:t xml:space="preserve">justification for the treatment of foreign case law as theoretically authoritative </w:t>
      </w:r>
      <w:r w:rsidR="00150502">
        <w:rPr>
          <w:sz w:val="24"/>
          <w:szCs w:val="24"/>
        </w:rPr>
        <w:t xml:space="preserve">because </w:t>
      </w:r>
      <w:r w:rsidR="009F4D72" w:rsidRPr="00AB003C">
        <w:rPr>
          <w:sz w:val="24"/>
          <w:szCs w:val="24"/>
        </w:rPr>
        <w:t>it emerges from process</w:t>
      </w:r>
      <w:r w:rsidR="00150502">
        <w:rPr>
          <w:sz w:val="24"/>
          <w:szCs w:val="24"/>
        </w:rPr>
        <w:t xml:space="preserve">es that are </w:t>
      </w:r>
      <w:r w:rsidR="009F4D72" w:rsidRPr="00AB003C">
        <w:rPr>
          <w:sz w:val="24"/>
          <w:szCs w:val="24"/>
        </w:rPr>
        <w:t xml:space="preserve">structured in such a way that </w:t>
      </w:r>
      <w:r w:rsidR="00150502">
        <w:rPr>
          <w:sz w:val="24"/>
          <w:szCs w:val="24"/>
        </w:rPr>
        <w:t xml:space="preserve">their </w:t>
      </w:r>
      <w:r w:rsidR="009F4D72" w:rsidRPr="00AB003C">
        <w:rPr>
          <w:sz w:val="24"/>
          <w:szCs w:val="24"/>
        </w:rPr>
        <w:t xml:space="preserve">outcomes deserve respect. However, </w:t>
      </w:r>
      <w:r w:rsidR="00150502">
        <w:rPr>
          <w:sz w:val="24"/>
          <w:szCs w:val="24"/>
        </w:rPr>
        <w:t xml:space="preserve">this justification must be set against </w:t>
      </w:r>
      <w:r w:rsidR="00DB41E9" w:rsidRPr="00AB003C">
        <w:rPr>
          <w:sz w:val="24"/>
          <w:szCs w:val="24"/>
        </w:rPr>
        <w:t xml:space="preserve">countervailing reasons arising from concerns over </w:t>
      </w:r>
      <w:r w:rsidR="009F4D72" w:rsidRPr="00AB003C">
        <w:rPr>
          <w:sz w:val="24"/>
          <w:szCs w:val="24"/>
        </w:rPr>
        <w:t>selectio</w:t>
      </w:r>
      <w:r w:rsidR="00985739" w:rsidRPr="00AB003C">
        <w:rPr>
          <w:sz w:val="24"/>
          <w:szCs w:val="24"/>
        </w:rPr>
        <w:t xml:space="preserve">n bias and judicial competence. </w:t>
      </w:r>
      <w:r w:rsidR="00150502">
        <w:rPr>
          <w:sz w:val="24"/>
          <w:szCs w:val="24"/>
        </w:rPr>
        <w:t>Finally, t</w:t>
      </w:r>
      <w:r w:rsidR="00985739" w:rsidRPr="00AB003C">
        <w:rPr>
          <w:sz w:val="24"/>
          <w:szCs w:val="24"/>
        </w:rPr>
        <w:t xml:space="preserve">here </w:t>
      </w:r>
      <w:r w:rsidR="009F4D72" w:rsidRPr="00AB003C">
        <w:rPr>
          <w:sz w:val="24"/>
          <w:szCs w:val="24"/>
        </w:rPr>
        <w:t xml:space="preserve">is no justification for any attempt on the part of judges to treat constitutional cases as an opportunity for inter-jurisdictional judicial dialogue. </w:t>
      </w:r>
    </w:p>
    <w:p w14:paraId="06B66978" w14:textId="1F30434C" w:rsidR="00BF4F51" w:rsidRPr="00AB003C" w:rsidRDefault="00985739" w:rsidP="008E5BE1">
      <w:pPr>
        <w:spacing w:line="360" w:lineRule="auto"/>
        <w:ind w:firstLine="720"/>
        <w:jc w:val="both"/>
        <w:rPr>
          <w:sz w:val="24"/>
          <w:szCs w:val="24"/>
        </w:rPr>
      </w:pPr>
      <w:r w:rsidRPr="00AB003C">
        <w:rPr>
          <w:sz w:val="24"/>
          <w:szCs w:val="24"/>
        </w:rPr>
        <w:t xml:space="preserve">The presentation of this central case advances the debate over these judicial practices in several ways. </w:t>
      </w:r>
      <w:r w:rsidR="00D508BB">
        <w:rPr>
          <w:sz w:val="24"/>
          <w:szCs w:val="24"/>
        </w:rPr>
        <w:t>A</w:t>
      </w:r>
      <w:r w:rsidR="00600BBB">
        <w:rPr>
          <w:sz w:val="24"/>
          <w:szCs w:val="24"/>
        </w:rPr>
        <w:t>lthough t</w:t>
      </w:r>
      <w:r w:rsidR="0034220D" w:rsidRPr="00AB003C">
        <w:rPr>
          <w:sz w:val="24"/>
          <w:szCs w:val="24"/>
        </w:rPr>
        <w:t xml:space="preserve">he concept does not </w:t>
      </w:r>
      <w:r w:rsidR="00600BBB">
        <w:rPr>
          <w:sz w:val="24"/>
          <w:szCs w:val="24"/>
        </w:rPr>
        <w:t xml:space="preserve">attempt a description, it is </w:t>
      </w:r>
      <w:r w:rsidR="00202FDC" w:rsidRPr="00AB003C">
        <w:rPr>
          <w:sz w:val="24"/>
          <w:szCs w:val="24"/>
        </w:rPr>
        <w:t>consistent with many accounts of the treatment of foreign law offered by both judges and commentators. In particular, it makes sense of the judicial preference for the phrase ‘persuasive authority’, while aligning it with the extra-judicial commentary phrased in terms of judicial learning</w:t>
      </w:r>
      <w:r w:rsidR="00D508BB">
        <w:rPr>
          <w:sz w:val="24"/>
          <w:szCs w:val="24"/>
        </w:rPr>
        <w:t xml:space="preserve"> and some understandings of judicial dialogue</w:t>
      </w:r>
      <w:r w:rsidR="00202FDC" w:rsidRPr="00AB003C">
        <w:rPr>
          <w:sz w:val="24"/>
          <w:szCs w:val="24"/>
        </w:rPr>
        <w:t xml:space="preserve">. </w:t>
      </w:r>
      <w:r w:rsidR="0035525D" w:rsidRPr="00AB003C">
        <w:rPr>
          <w:sz w:val="24"/>
          <w:szCs w:val="24"/>
        </w:rPr>
        <w:t xml:space="preserve">However, it succeeds where those accounts fail in showing how the use of foreign law can </w:t>
      </w:r>
      <w:r w:rsidR="00600BBB">
        <w:rPr>
          <w:sz w:val="24"/>
          <w:szCs w:val="24"/>
        </w:rPr>
        <w:t xml:space="preserve">genuinely enrich judicial decision-making without raising democratic concerns. </w:t>
      </w:r>
      <w:r w:rsidR="0035525D" w:rsidRPr="00AB003C">
        <w:rPr>
          <w:sz w:val="24"/>
          <w:szCs w:val="24"/>
        </w:rPr>
        <w:t>It thus provides</w:t>
      </w:r>
      <w:r w:rsidR="00BF4F51" w:rsidRPr="00AB003C">
        <w:rPr>
          <w:sz w:val="24"/>
          <w:szCs w:val="24"/>
        </w:rPr>
        <w:t xml:space="preserve"> the conceptual underpinning to Bingham’s broadly sympathetic attitude.</w:t>
      </w:r>
      <w:r w:rsidR="00D508BB">
        <w:rPr>
          <w:sz w:val="24"/>
          <w:szCs w:val="24"/>
        </w:rPr>
        <w:t xml:space="preserve"> </w:t>
      </w:r>
      <w:r w:rsidR="00D508BB" w:rsidRPr="00AB003C">
        <w:rPr>
          <w:sz w:val="24"/>
          <w:szCs w:val="24"/>
        </w:rPr>
        <w:t>At an evaluative level, it provides guidance to judges on how foreign law can legitimately figure in their judgments as well as to commentators who wish to assess the legitimacy of those judgments.</w:t>
      </w:r>
      <w:r w:rsidR="00D508BB">
        <w:rPr>
          <w:sz w:val="24"/>
          <w:szCs w:val="24"/>
        </w:rPr>
        <w:t xml:space="preserve"> </w:t>
      </w:r>
    </w:p>
    <w:p w14:paraId="25AF2C47" w14:textId="652E5FF0" w:rsidR="00A339DC" w:rsidRDefault="0034220D" w:rsidP="00D508BB">
      <w:pPr>
        <w:spacing w:line="360" w:lineRule="auto"/>
        <w:ind w:firstLine="720"/>
        <w:jc w:val="both"/>
        <w:rPr>
          <w:sz w:val="24"/>
          <w:szCs w:val="24"/>
        </w:rPr>
      </w:pPr>
      <w:r w:rsidRPr="00AB003C">
        <w:rPr>
          <w:sz w:val="24"/>
          <w:szCs w:val="24"/>
        </w:rPr>
        <w:t>Th</w:t>
      </w:r>
      <w:r w:rsidR="000B42B6" w:rsidRPr="00AB003C">
        <w:rPr>
          <w:sz w:val="24"/>
          <w:szCs w:val="24"/>
        </w:rPr>
        <w:t xml:space="preserve">is article </w:t>
      </w:r>
      <w:r w:rsidRPr="00AB003C">
        <w:rPr>
          <w:sz w:val="24"/>
          <w:szCs w:val="24"/>
        </w:rPr>
        <w:t xml:space="preserve">does not </w:t>
      </w:r>
      <w:r w:rsidR="000B42B6" w:rsidRPr="00AB003C">
        <w:rPr>
          <w:sz w:val="24"/>
          <w:szCs w:val="24"/>
        </w:rPr>
        <w:t xml:space="preserve">attempt to </w:t>
      </w:r>
      <w:r w:rsidRPr="00AB003C">
        <w:rPr>
          <w:sz w:val="24"/>
          <w:szCs w:val="24"/>
        </w:rPr>
        <w:t>address all question</w:t>
      </w:r>
      <w:r w:rsidR="006B59CF" w:rsidRPr="00AB003C">
        <w:rPr>
          <w:sz w:val="24"/>
          <w:szCs w:val="24"/>
        </w:rPr>
        <w:t xml:space="preserve">s in the foreign law debate. </w:t>
      </w:r>
      <w:r w:rsidR="00D508BB">
        <w:rPr>
          <w:i/>
          <w:sz w:val="24"/>
          <w:szCs w:val="24"/>
        </w:rPr>
        <w:t>Sub silentio</w:t>
      </w:r>
      <w:r w:rsidR="00D508BB">
        <w:rPr>
          <w:sz w:val="24"/>
          <w:szCs w:val="24"/>
        </w:rPr>
        <w:t xml:space="preserve"> influences of foreign law and faux references to foreign law must be understood as deviations from the central case in which court judgments elucidate rather than obscure the basis of judicial reasoning.</w:t>
      </w:r>
      <w:bookmarkStart w:id="5" w:name="_Ref272419346"/>
      <w:r w:rsidR="00A6583B" w:rsidRPr="00AB003C">
        <w:rPr>
          <w:rStyle w:val="FootnoteReference"/>
          <w:sz w:val="24"/>
          <w:szCs w:val="24"/>
        </w:rPr>
        <w:footnoteReference w:id="8"/>
      </w:r>
      <w:bookmarkEnd w:id="5"/>
      <w:r w:rsidR="00DC2A7C" w:rsidRPr="00AB003C">
        <w:rPr>
          <w:sz w:val="24"/>
          <w:szCs w:val="24"/>
        </w:rPr>
        <w:t xml:space="preserve"> </w:t>
      </w:r>
      <w:r w:rsidR="00A339DC">
        <w:rPr>
          <w:sz w:val="24"/>
          <w:szCs w:val="24"/>
        </w:rPr>
        <w:t xml:space="preserve">Although the article does not address important </w:t>
      </w:r>
      <w:r w:rsidR="00E31340">
        <w:rPr>
          <w:sz w:val="24"/>
          <w:szCs w:val="24"/>
        </w:rPr>
        <w:t xml:space="preserve">empirical </w:t>
      </w:r>
      <w:r w:rsidRPr="00AB003C">
        <w:rPr>
          <w:sz w:val="24"/>
          <w:szCs w:val="24"/>
        </w:rPr>
        <w:t>questions about how judges come to rely on particular pieces of foreign law in their judgments</w:t>
      </w:r>
      <w:r w:rsidR="00A339DC">
        <w:rPr>
          <w:sz w:val="24"/>
          <w:szCs w:val="24"/>
        </w:rPr>
        <w:t xml:space="preserve">, it is alert to </w:t>
      </w:r>
      <w:r w:rsidR="0031566A">
        <w:rPr>
          <w:sz w:val="24"/>
          <w:szCs w:val="24"/>
        </w:rPr>
        <w:t xml:space="preserve">how </w:t>
      </w:r>
      <w:r w:rsidR="00A339DC">
        <w:rPr>
          <w:sz w:val="24"/>
          <w:szCs w:val="24"/>
        </w:rPr>
        <w:t xml:space="preserve">selection bias </w:t>
      </w:r>
      <w:r w:rsidR="0031566A">
        <w:rPr>
          <w:sz w:val="24"/>
          <w:szCs w:val="24"/>
        </w:rPr>
        <w:t xml:space="preserve">affects </w:t>
      </w:r>
      <w:r w:rsidR="00A339DC">
        <w:rPr>
          <w:sz w:val="24"/>
          <w:szCs w:val="24"/>
        </w:rPr>
        <w:t xml:space="preserve">the justification for the use of foreign law. </w:t>
      </w:r>
      <w:r w:rsidR="000B42B6" w:rsidRPr="00AB003C">
        <w:rPr>
          <w:sz w:val="24"/>
          <w:szCs w:val="24"/>
        </w:rPr>
        <w:t xml:space="preserve">The impact of judicial networks </w:t>
      </w:r>
      <w:r w:rsidR="0031566A">
        <w:rPr>
          <w:sz w:val="24"/>
          <w:szCs w:val="24"/>
        </w:rPr>
        <w:t xml:space="preserve">and </w:t>
      </w:r>
      <w:r w:rsidR="000B42B6" w:rsidRPr="00AB003C">
        <w:rPr>
          <w:sz w:val="24"/>
          <w:szCs w:val="24"/>
        </w:rPr>
        <w:t xml:space="preserve">the role </w:t>
      </w:r>
      <w:r w:rsidR="0031566A">
        <w:rPr>
          <w:sz w:val="24"/>
          <w:szCs w:val="24"/>
        </w:rPr>
        <w:t xml:space="preserve">of </w:t>
      </w:r>
      <w:r w:rsidR="000B42B6" w:rsidRPr="00AB003C">
        <w:rPr>
          <w:sz w:val="24"/>
          <w:szCs w:val="24"/>
        </w:rPr>
        <w:t xml:space="preserve">advocates and academics </w:t>
      </w:r>
      <w:r w:rsidRPr="00AB003C">
        <w:rPr>
          <w:sz w:val="24"/>
          <w:szCs w:val="24"/>
        </w:rPr>
        <w:t xml:space="preserve">are all worthy of study. </w:t>
      </w:r>
      <w:r w:rsidR="000B42B6" w:rsidRPr="00AB003C">
        <w:rPr>
          <w:sz w:val="24"/>
          <w:szCs w:val="24"/>
        </w:rPr>
        <w:t>In particular, i</w:t>
      </w:r>
      <w:r w:rsidRPr="00AB003C">
        <w:rPr>
          <w:sz w:val="24"/>
          <w:szCs w:val="24"/>
        </w:rPr>
        <w:t>f there turned out be systematic biases at play (for instance, in favour of liberal-progressive values), this would be a genuine cause for concern.</w:t>
      </w:r>
      <w:r w:rsidR="00BF4F51" w:rsidRPr="00AB003C">
        <w:rPr>
          <w:sz w:val="24"/>
          <w:szCs w:val="24"/>
        </w:rPr>
        <w:t xml:space="preserve"> There is also inherent interest in tracing the path of ideas around the judicial world</w:t>
      </w:r>
      <w:r w:rsidR="00A339DC">
        <w:rPr>
          <w:sz w:val="24"/>
          <w:szCs w:val="24"/>
        </w:rPr>
        <w:t xml:space="preserve"> to identify patterns of influence.</w:t>
      </w:r>
      <w:r w:rsidR="006B59CF" w:rsidRPr="00AB003C">
        <w:rPr>
          <w:rStyle w:val="FootnoteReference"/>
          <w:sz w:val="24"/>
          <w:szCs w:val="24"/>
        </w:rPr>
        <w:footnoteReference w:id="9"/>
      </w:r>
      <w:r w:rsidR="00BF4F51" w:rsidRPr="00AB003C">
        <w:rPr>
          <w:sz w:val="24"/>
          <w:szCs w:val="24"/>
        </w:rPr>
        <w:t xml:space="preserve"> </w:t>
      </w:r>
      <w:r w:rsidR="000B42B6" w:rsidRPr="00AB003C">
        <w:rPr>
          <w:sz w:val="24"/>
          <w:szCs w:val="24"/>
        </w:rPr>
        <w:t xml:space="preserve">As important as these </w:t>
      </w:r>
      <w:r w:rsidR="00A339DC">
        <w:rPr>
          <w:sz w:val="24"/>
          <w:szCs w:val="24"/>
        </w:rPr>
        <w:t xml:space="preserve">issues </w:t>
      </w:r>
      <w:r w:rsidR="000B42B6" w:rsidRPr="00AB003C">
        <w:rPr>
          <w:sz w:val="24"/>
          <w:szCs w:val="24"/>
        </w:rPr>
        <w:t xml:space="preserve">are, they </w:t>
      </w:r>
      <w:r w:rsidR="00A339DC">
        <w:rPr>
          <w:sz w:val="24"/>
          <w:szCs w:val="24"/>
        </w:rPr>
        <w:t>only have relevance because of a judicial willingness to use foreign law in the first place. The purpose of this article is to construct a concept that can help determine legitimate parameters for the judicial use of foreign law.</w:t>
      </w:r>
    </w:p>
    <w:p w14:paraId="7562E1E9" w14:textId="77777777" w:rsidR="00052106" w:rsidRPr="00AB003C" w:rsidRDefault="00052106" w:rsidP="008E5BE1">
      <w:pPr>
        <w:spacing w:line="360" w:lineRule="auto"/>
        <w:jc w:val="both"/>
        <w:rPr>
          <w:sz w:val="24"/>
          <w:szCs w:val="24"/>
        </w:rPr>
      </w:pPr>
    </w:p>
    <w:p w14:paraId="6D81A6F2" w14:textId="5654D64C" w:rsidR="00052106" w:rsidRPr="008E5BE1" w:rsidRDefault="00E1264A" w:rsidP="008E5BE1">
      <w:pPr>
        <w:spacing w:line="360" w:lineRule="auto"/>
        <w:jc w:val="both"/>
        <w:rPr>
          <w:b/>
          <w:sz w:val="24"/>
          <w:szCs w:val="24"/>
        </w:rPr>
      </w:pPr>
      <w:r>
        <w:rPr>
          <w:b/>
          <w:sz w:val="24"/>
          <w:szCs w:val="24"/>
        </w:rPr>
        <w:t>I</w:t>
      </w:r>
      <w:r w:rsidR="008E5BE1">
        <w:rPr>
          <w:b/>
          <w:sz w:val="24"/>
          <w:szCs w:val="24"/>
        </w:rPr>
        <w:t>I:</w:t>
      </w:r>
      <w:r w:rsidR="003B05CF" w:rsidRPr="008E5BE1">
        <w:rPr>
          <w:b/>
          <w:sz w:val="24"/>
          <w:szCs w:val="24"/>
        </w:rPr>
        <w:t xml:space="preserve"> </w:t>
      </w:r>
      <w:r w:rsidR="008E5BE1" w:rsidRPr="008E5BE1">
        <w:rPr>
          <w:b/>
          <w:sz w:val="24"/>
          <w:szCs w:val="24"/>
        </w:rPr>
        <w:t>Persuasive authority and theoretical authority</w:t>
      </w:r>
    </w:p>
    <w:p w14:paraId="21EE8322" w14:textId="5D19AE3E" w:rsidR="00052106" w:rsidRPr="00AB003C" w:rsidRDefault="00052106" w:rsidP="008E5BE1">
      <w:pPr>
        <w:spacing w:line="360" w:lineRule="auto"/>
        <w:jc w:val="both"/>
        <w:rPr>
          <w:sz w:val="24"/>
          <w:szCs w:val="24"/>
        </w:rPr>
      </w:pPr>
      <w:r w:rsidRPr="00AB003C">
        <w:rPr>
          <w:sz w:val="24"/>
          <w:szCs w:val="24"/>
        </w:rPr>
        <w:t>Judges almost uniformly refer to foreign law as holding only persuasive authority. There has been a signal failure, however, to provide a convincing account of what this means. Some argue that foreign law can and should have no authority.</w:t>
      </w:r>
      <w:r w:rsidRPr="00AB003C">
        <w:rPr>
          <w:rStyle w:val="FootnoteReference"/>
          <w:sz w:val="24"/>
          <w:szCs w:val="24"/>
        </w:rPr>
        <w:footnoteReference w:id="10"/>
      </w:r>
      <w:r w:rsidRPr="00AB003C">
        <w:rPr>
          <w:sz w:val="24"/>
          <w:szCs w:val="24"/>
        </w:rPr>
        <w:t xml:space="preserve"> Others argue that since the authority is only persuasive, the practice cannot be problematic.</w:t>
      </w:r>
      <w:bookmarkStart w:id="6" w:name="_Ref228618837"/>
      <w:r w:rsidRPr="00AB003C">
        <w:rPr>
          <w:rStyle w:val="FootnoteReference"/>
          <w:sz w:val="24"/>
          <w:szCs w:val="24"/>
        </w:rPr>
        <w:footnoteReference w:id="11"/>
      </w:r>
      <w:bookmarkEnd w:id="6"/>
      <w:r w:rsidRPr="00AB003C">
        <w:rPr>
          <w:sz w:val="24"/>
          <w:szCs w:val="24"/>
        </w:rPr>
        <w:t xml:space="preserve"> </w:t>
      </w:r>
      <w:r w:rsidR="004E05C7" w:rsidRPr="00AB003C">
        <w:rPr>
          <w:sz w:val="24"/>
          <w:szCs w:val="24"/>
        </w:rPr>
        <w:t xml:space="preserve">Yet others hold </w:t>
      </w:r>
      <w:r w:rsidRPr="00AB003C">
        <w:rPr>
          <w:sz w:val="24"/>
          <w:szCs w:val="24"/>
        </w:rPr>
        <w:t>that if foreign law relies on suasion for its effect, then it is not authoritative in any sense and is no different from anything else on which a court might rely.</w:t>
      </w:r>
      <w:bookmarkStart w:id="7" w:name="_Ref250472063"/>
      <w:r w:rsidRPr="00AB003C">
        <w:rPr>
          <w:rStyle w:val="FootnoteReference"/>
          <w:sz w:val="24"/>
          <w:szCs w:val="24"/>
        </w:rPr>
        <w:footnoteReference w:id="12"/>
      </w:r>
      <w:bookmarkEnd w:id="7"/>
      <w:r w:rsidRPr="00AB003C">
        <w:rPr>
          <w:sz w:val="24"/>
          <w:szCs w:val="24"/>
        </w:rPr>
        <w:t xml:space="preserve"> </w:t>
      </w:r>
      <w:r w:rsidR="004E05C7" w:rsidRPr="00AB003C">
        <w:rPr>
          <w:sz w:val="24"/>
          <w:szCs w:val="24"/>
        </w:rPr>
        <w:t>What these positions have in common is that they seek to avoid, rather than dissolve, the paradox apparently involved in the notion of persuasive authority. Other theorists have grappled more direc</w:t>
      </w:r>
      <w:r w:rsidR="00421FD8" w:rsidRPr="00AB003C">
        <w:rPr>
          <w:sz w:val="24"/>
          <w:szCs w:val="24"/>
        </w:rPr>
        <w:t>tly with that</w:t>
      </w:r>
      <w:r w:rsidR="004E05C7" w:rsidRPr="00AB003C">
        <w:rPr>
          <w:sz w:val="24"/>
          <w:szCs w:val="24"/>
        </w:rPr>
        <w:t xml:space="preserve"> paradox.</w:t>
      </w:r>
    </w:p>
    <w:p w14:paraId="56297482" w14:textId="4AC591EB" w:rsidR="00052106" w:rsidRPr="00AB003C" w:rsidRDefault="00052106" w:rsidP="008E5BE1">
      <w:pPr>
        <w:spacing w:line="360" w:lineRule="auto"/>
        <w:ind w:firstLine="720"/>
        <w:jc w:val="both"/>
        <w:rPr>
          <w:sz w:val="24"/>
          <w:szCs w:val="24"/>
        </w:rPr>
      </w:pPr>
      <w:r w:rsidRPr="00AB003C">
        <w:rPr>
          <w:sz w:val="24"/>
          <w:szCs w:val="24"/>
        </w:rPr>
        <w:t>Waldron equates the persuasive authority of foreign law with the authority accorded to non-binding precedents of national law. He argues that persuasive authority has less force than binding authority but still some force independent of its persuasiveness.</w:t>
      </w:r>
      <w:bookmarkStart w:id="8" w:name="_Ref228349708"/>
      <w:r w:rsidRPr="00AB003C">
        <w:rPr>
          <w:rStyle w:val="FootnoteReference"/>
          <w:sz w:val="24"/>
          <w:szCs w:val="24"/>
        </w:rPr>
        <w:footnoteReference w:id="13"/>
      </w:r>
      <w:bookmarkEnd w:id="8"/>
      <w:r w:rsidRPr="00AB003C">
        <w:rPr>
          <w:sz w:val="24"/>
          <w:szCs w:val="24"/>
        </w:rPr>
        <w:t xml:space="preserve"> Arguments thereby have weight that is partly a function of their persuasiveness and partly a function of their source.</w:t>
      </w:r>
      <w:r w:rsidRPr="00AB003C">
        <w:rPr>
          <w:rStyle w:val="FootnoteReference"/>
          <w:sz w:val="24"/>
          <w:szCs w:val="24"/>
        </w:rPr>
        <w:footnoteReference w:id="14"/>
      </w:r>
      <w:r w:rsidRPr="00AB003C">
        <w:rPr>
          <w:sz w:val="24"/>
          <w:szCs w:val="24"/>
        </w:rPr>
        <w:t xml:space="preserve"> Although this is plausible as an account of the persuasive authority accorded to national sources (for instance, courts of coordinate jurisdiction), it does not easily fit the way</w:t>
      </w:r>
      <w:r w:rsidR="00E60C4A" w:rsidRPr="00AB003C">
        <w:rPr>
          <w:sz w:val="24"/>
          <w:szCs w:val="24"/>
        </w:rPr>
        <w:t>s</w:t>
      </w:r>
      <w:r w:rsidRPr="00AB003C">
        <w:rPr>
          <w:sz w:val="24"/>
          <w:szCs w:val="24"/>
        </w:rPr>
        <w:t xml:space="preserve"> in which national courts treat foreign law</w:t>
      </w:r>
      <w:r w:rsidR="00C608D1" w:rsidRPr="00AB003C">
        <w:rPr>
          <w:sz w:val="24"/>
          <w:szCs w:val="24"/>
        </w:rPr>
        <w:t xml:space="preserve"> in constitutional cases</w:t>
      </w:r>
      <w:r w:rsidRPr="00AB003C">
        <w:rPr>
          <w:sz w:val="24"/>
          <w:szCs w:val="24"/>
        </w:rPr>
        <w:t xml:space="preserve">. </w:t>
      </w:r>
      <w:r w:rsidR="00C608D1" w:rsidRPr="00AB003C">
        <w:rPr>
          <w:sz w:val="24"/>
          <w:szCs w:val="24"/>
        </w:rPr>
        <w:t>In such cases, t</w:t>
      </w:r>
      <w:r w:rsidRPr="00AB003C">
        <w:rPr>
          <w:sz w:val="24"/>
          <w:szCs w:val="24"/>
        </w:rPr>
        <w:t xml:space="preserve">here is little (if any) evidence of judges treating foreign case law as imposing any sort of obligation to act in a particular way, still less an obligation that could </w:t>
      </w:r>
      <w:r w:rsidR="0031566A">
        <w:rPr>
          <w:sz w:val="24"/>
          <w:szCs w:val="24"/>
        </w:rPr>
        <w:t xml:space="preserve">lead a national court to disapply an </w:t>
      </w:r>
      <w:r w:rsidRPr="00AB003C">
        <w:rPr>
          <w:sz w:val="24"/>
          <w:szCs w:val="24"/>
        </w:rPr>
        <w:t xml:space="preserve">obligation under national law to opposite effect. </w:t>
      </w:r>
      <w:r w:rsidR="004E05C7" w:rsidRPr="00AB003C">
        <w:rPr>
          <w:sz w:val="24"/>
          <w:szCs w:val="24"/>
          <w:lang w:val="en-US"/>
        </w:rPr>
        <w:t>Sedley observes that he knows of no judge in the world who has ever decided a case differently because of persuasive authority in other jurisdictions.</w:t>
      </w:r>
      <w:bookmarkStart w:id="9" w:name="_Ref259876570"/>
      <w:r w:rsidR="004E05C7" w:rsidRPr="00AB003C">
        <w:rPr>
          <w:rStyle w:val="FootnoteReference"/>
          <w:sz w:val="24"/>
          <w:szCs w:val="24"/>
          <w:lang w:val="en-US"/>
        </w:rPr>
        <w:footnoteReference w:id="15"/>
      </w:r>
      <w:bookmarkEnd w:id="9"/>
      <w:r w:rsidR="004E05C7" w:rsidRPr="00AB003C">
        <w:rPr>
          <w:sz w:val="24"/>
          <w:szCs w:val="24"/>
          <w:lang w:val="en-US"/>
        </w:rPr>
        <w:t xml:space="preserve"> If this is correct, Waldron’s account of the persuasive authority of foreign law cannot hold.</w:t>
      </w:r>
    </w:p>
    <w:p w14:paraId="0F67922B" w14:textId="4BEADAC4" w:rsidR="00052106" w:rsidRPr="00AB003C" w:rsidRDefault="00632A63" w:rsidP="008E5BE1">
      <w:pPr>
        <w:spacing w:line="360" w:lineRule="auto"/>
        <w:ind w:firstLine="720"/>
        <w:jc w:val="both"/>
        <w:rPr>
          <w:sz w:val="24"/>
          <w:szCs w:val="24"/>
        </w:rPr>
      </w:pPr>
      <w:r w:rsidRPr="00AB003C">
        <w:rPr>
          <w:sz w:val="24"/>
          <w:szCs w:val="24"/>
        </w:rPr>
        <w:t xml:space="preserve">Glenn has characterized persuasive authority as authority </w:t>
      </w:r>
      <w:r w:rsidR="00D51823" w:rsidRPr="00AB003C">
        <w:rPr>
          <w:sz w:val="24"/>
          <w:szCs w:val="24"/>
        </w:rPr>
        <w:t xml:space="preserve">that </w:t>
      </w:r>
      <w:r w:rsidRPr="00AB003C">
        <w:rPr>
          <w:sz w:val="24"/>
          <w:szCs w:val="24"/>
        </w:rPr>
        <w:t>attracts adherence as opposed to obliging it.</w:t>
      </w:r>
      <w:r w:rsidRPr="00AB003C">
        <w:rPr>
          <w:rStyle w:val="FootnoteReference"/>
          <w:sz w:val="24"/>
          <w:szCs w:val="24"/>
        </w:rPr>
        <w:footnoteReference w:id="16"/>
      </w:r>
      <w:r w:rsidRPr="00AB003C">
        <w:rPr>
          <w:sz w:val="24"/>
          <w:szCs w:val="24"/>
        </w:rPr>
        <w:t xml:space="preserve"> However, this fails to provide any discrete meaning to the word ‘authority’.</w:t>
      </w:r>
      <w:r w:rsidR="00E60C4A" w:rsidRPr="00AB003C">
        <w:rPr>
          <w:sz w:val="24"/>
          <w:szCs w:val="24"/>
        </w:rPr>
        <w:t xml:space="preserve"> For that</w:t>
      </w:r>
      <w:r w:rsidR="0081016E" w:rsidRPr="00AB003C">
        <w:rPr>
          <w:sz w:val="24"/>
          <w:szCs w:val="24"/>
        </w:rPr>
        <w:t xml:space="preserve"> reason, </w:t>
      </w:r>
      <w:r w:rsidR="00052106" w:rsidRPr="00AB003C">
        <w:rPr>
          <w:sz w:val="24"/>
          <w:szCs w:val="24"/>
        </w:rPr>
        <w:t>Schauer argues that persuasive authority is a contradiction in terms.</w:t>
      </w:r>
      <w:bookmarkStart w:id="10" w:name="_Ref228847787"/>
      <w:r w:rsidR="00052106" w:rsidRPr="00AB003C">
        <w:rPr>
          <w:rStyle w:val="FootnoteReference"/>
          <w:sz w:val="24"/>
          <w:szCs w:val="24"/>
        </w:rPr>
        <w:footnoteReference w:id="17"/>
      </w:r>
      <w:bookmarkEnd w:id="10"/>
      <w:r w:rsidR="00052106" w:rsidRPr="00AB003C">
        <w:rPr>
          <w:sz w:val="24"/>
          <w:szCs w:val="24"/>
        </w:rPr>
        <w:t xml:space="preserve"> The point of authoritative statements is that their normative force is content independent. If an army sergeant issues a directive, her subordinates are taken to be under an obligation to obey that directive, wholly irrespective of the merits of its contents. In contrast, the notion of persuasion implies scrutiny and consideration of merits. The same directive therefore cannot rely for its force simultaneously on authority and suasion. To resolve the problem, Schauer suggests that it is more helpful to think in terms of ‘optional authority,’ as capturing the distinction between that which must be used and that which may be ignored.</w:t>
      </w:r>
      <w:r w:rsidR="00052106" w:rsidRPr="00AB003C">
        <w:rPr>
          <w:rStyle w:val="FootnoteReference"/>
          <w:sz w:val="24"/>
          <w:szCs w:val="24"/>
        </w:rPr>
        <w:footnoteReference w:id="18"/>
      </w:r>
      <w:r w:rsidR="00052106" w:rsidRPr="00AB003C">
        <w:rPr>
          <w:sz w:val="24"/>
          <w:szCs w:val="24"/>
        </w:rPr>
        <w:t xml:space="preserve"> The phrase ‘optional authority,’ however, remains problematic. If we can opt in to treating something as authoritative, how can it really be authoritative? </w:t>
      </w:r>
    </w:p>
    <w:p w14:paraId="135F4787" w14:textId="30DF630D" w:rsidR="00052106" w:rsidRPr="00AB003C" w:rsidRDefault="00052106" w:rsidP="008E5BE1">
      <w:pPr>
        <w:spacing w:line="360" w:lineRule="auto"/>
        <w:ind w:firstLine="720"/>
        <w:jc w:val="both"/>
        <w:rPr>
          <w:sz w:val="24"/>
          <w:szCs w:val="24"/>
        </w:rPr>
      </w:pPr>
      <w:r w:rsidRPr="00AB003C">
        <w:rPr>
          <w:sz w:val="24"/>
          <w:szCs w:val="24"/>
        </w:rPr>
        <w:t>The apparent contradiction in the term ‘persuasive authority’ can be resolved in th</w:t>
      </w:r>
      <w:r w:rsidR="0079391E" w:rsidRPr="00AB003C">
        <w:rPr>
          <w:sz w:val="24"/>
          <w:szCs w:val="24"/>
        </w:rPr>
        <w:t xml:space="preserve">e context of the citation of foreign law in constitutional cases </w:t>
      </w:r>
      <w:r w:rsidRPr="00AB003C">
        <w:rPr>
          <w:sz w:val="24"/>
          <w:szCs w:val="24"/>
        </w:rPr>
        <w:t>if we pay attention to the distinction between practical authority (with a view to action) and theoretical authority (with a view to knowledge). Some argue that where a legal system exists, the law of that system will either claim to have or be taken to have legitimate, practical authority.</w:t>
      </w:r>
      <w:r w:rsidRPr="00AB003C">
        <w:rPr>
          <w:rStyle w:val="FootnoteReference"/>
          <w:sz w:val="24"/>
          <w:szCs w:val="24"/>
        </w:rPr>
        <w:footnoteReference w:id="19"/>
      </w:r>
      <w:r w:rsidRPr="00AB003C">
        <w:rPr>
          <w:sz w:val="24"/>
          <w:szCs w:val="24"/>
        </w:rPr>
        <w:t xml:space="preserve"> The kernel of legitimate, practical authority is that the directives of the authority </w:t>
      </w:r>
      <w:r w:rsidRPr="00AB003C">
        <w:rPr>
          <w:i/>
          <w:sz w:val="24"/>
          <w:szCs w:val="24"/>
        </w:rPr>
        <w:t xml:space="preserve">both </w:t>
      </w:r>
      <w:r w:rsidRPr="00AB003C">
        <w:rPr>
          <w:sz w:val="24"/>
          <w:szCs w:val="24"/>
        </w:rPr>
        <w:t xml:space="preserve">provide reasons for the subjects of authority to behave in a particular way </w:t>
      </w:r>
      <w:r w:rsidRPr="00AB003C">
        <w:rPr>
          <w:i/>
          <w:sz w:val="24"/>
          <w:szCs w:val="24"/>
        </w:rPr>
        <w:t xml:space="preserve">and </w:t>
      </w:r>
      <w:r w:rsidRPr="00AB003C">
        <w:rPr>
          <w:sz w:val="24"/>
          <w:szCs w:val="24"/>
        </w:rPr>
        <w:t xml:space="preserve">exclude the force of such reasons as might, absent the authoritative directive, have applied. Legitimate, practical authority is – in this image – absolute. However, the mere fact that law makes this claim or that people treat law this way cannot establish that law is legitimately practically authoritative. </w:t>
      </w:r>
      <w:r w:rsidR="000858E1" w:rsidRPr="00AB003C">
        <w:rPr>
          <w:sz w:val="24"/>
          <w:szCs w:val="24"/>
        </w:rPr>
        <w:t xml:space="preserve">Justifications </w:t>
      </w:r>
      <w:r w:rsidRPr="00AB003C">
        <w:rPr>
          <w:sz w:val="24"/>
          <w:szCs w:val="24"/>
        </w:rPr>
        <w:t xml:space="preserve">of practical authority usually rely on the authority having either greater wisdom or the ability to solve coordination problems that need to be solved. </w:t>
      </w:r>
    </w:p>
    <w:p w14:paraId="4947B998" w14:textId="41FE6F08" w:rsidR="00052106" w:rsidRPr="00AB003C" w:rsidRDefault="00052106" w:rsidP="008E5BE1">
      <w:pPr>
        <w:spacing w:line="360" w:lineRule="auto"/>
        <w:ind w:firstLine="720"/>
        <w:jc w:val="both"/>
        <w:rPr>
          <w:sz w:val="24"/>
          <w:szCs w:val="24"/>
        </w:rPr>
      </w:pPr>
      <w:r w:rsidRPr="00AB003C">
        <w:rPr>
          <w:sz w:val="24"/>
          <w:szCs w:val="24"/>
        </w:rPr>
        <w:t xml:space="preserve">Foreign law does not claim authority in the national legal system, but </w:t>
      </w:r>
      <w:r w:rsidR="00DC2A7C" w:rsidRPr="00AB003C">
        <w:rPr>
          <w:sz w:val="24"/>
          <w:szCs w:val="24"/>
        </w:rPr>
        <w:t xml:space="preserve">– as noted above - </w:t>
      </w:r>
      <w:r w:rsidR="00E60C4A" w:rsidRPr="00AB003C">
        <w:rPr>
          <w:sz w:val="24"/>
          <w:szCs w:val="24"/>
        </w:rPr>
        <w:t xml:space="preserve">judges often speak of it </w:t>
      </w:r>
      <w:r w:rsidRPr="00AB003C">
        <w:rPr>
          <w:sz w:val="24"/>
          <w:szCs w:val="24"/>
        </w:rPr>
        <w:t>as having authority.</w:t>
      </w:r>
      <w:r w:rsidRPr="00AB003C">
        <w:rPr>
          <w:rStyle w:val="FootnoteReference"/>
          <w:sz w:val="24"/>
          <w:szCs w:val="24"/>
        </w:rPr>
        <w:footnoteReference w:id="20"/>
      </w:r>
      <w:r w:rsidRPr="00AB003C">
        <w:rPr>
          <w:sz w:val="24"/>
          <w:szCs w:val="24"/>
        </w:rPr>
        <w:t xml:space="preserve"> </w:t>
      </w:r>
      <w:r w:rsidR="00E60C4A" w:rsidRPr="00AB003C">
        <w:rPr>
          <w:sz w:val="24"/>
          <w:szCs w:val="24"/>
        </w:rPr>
        <w:t xml:space="preserve">We can dissolve the </w:t>
      </w:r>
      <w:r w:rsidR="005419E4">
        <w:rPr>
          <w:sz w:val="24"/>
          <w:szCs w:val="24"/>
        </w:rPr>
        <w:t>paradox of persuasive authority</w:t>
      </w:r>
      <w:r w:rsidR="00E60C4A" w:rsidRPr="00AB003C">
        <w:rPr>
          <w:sz w:val="24"/>
          <w:szCs w:val="24"/>
        </w:rPr>
        <w:t xml:space="preserve"> if we conceive of judges treating f</w:t>
      </w:r>
      <w:r w:rsidR="00E4315F">
        <w:rPr>
          <w:sz w:val="24"/>
          <w:szCs w:val="24"/>
        </w:rPr>
        <w:t>oreign case law</w:t>
      </w:r>
      <w:r w:rsidR="00E60C4A" w:rsidRPr="00AB003C">
        <w:rPr>
          <w:sz w:val="24"/>
          <w:szCs w:val="24"/>
        </w:rPr>
        <w:t xml:space="preserve"> as </w:t>
      </w:r>
      <w:r w:rsidR="005419E4" w:rsidRPr="005419E4">
        <w:rPr>
          <w:i/>
          <w:sz w:val="24"/>
          <w:szCs w:val="24"/>
        </w:rPr>
        <w:t xml:space="preserve">theoretically </w:t>
      </w:r>
      <w:r w:rsidRPr="00AB003C">
        <w:rPr>
          <w:sz w:val="24"/>
          <w:szCs w:val="24"/>
        </w:rPr>
        <w:t xml:space="preserve">authoritative </w:t>
      </w:r>
      <w:r w:rsidR="005419E4">
        <w:rPr>
          <w:sz w:val="24"/>
          <w:szCs w:val="24"/>
        </w:rPr>
        <w:t xml:space="preserve">rather than </w:t>
      </w:r>
      <w:r w:rsidR="005419E4" w:rsidRPr="005419E4">
        <w:rPr>
          <w:i/>
          <w:sz w:val="24"/>
          <w:szCs w:val="24"/>
        </w:rPr>
        <w:t xml:space="preserve">practically </w:t>
      </w:r>
      <w:r w:rsidRPr="00AB003C">
        <w:rPr>
          <w:sz w:val="24"/>
          <w:szCs w:val="24"/>
        </w:rPr>
        <w:t>authoritative. In the same way that practical authority provides an exclusionary reason for action, theoretical authority provides an exclusionary reason for belief. If we treat another person as a theoretical authority, we treat the fact of her belief in X as a reason to believe X, t</w:t>
      </w:r>
      <w:r w:rsidR="005419E4">
        <w:rPr>
          <w:sz w:val="24"/>
          <w:szCs w:val="24"/>
        </w:rPr>
        <w:t>hat excludes the force of other</w:t>
      </w:r>
      <w:r w:rsidRPr="00AB003C">
        <w:rPr>
          <w:sz w:val="24"/>
          <w:szCs w:val="24"/>
        </w:rPr>
        <w:t xml:space="preserve"> reasons we might have to believe or disbelieve X. I have reason to accept that global warming exists and is caused (at least substantially) by human activity because of the fact that the vast majority of climatologists think so and they hold theoretical authority over me on this issue. Furthermore, this authority excludes as irrelevant any half-baked assessment of the climate that I might be inclined to make myself. In much the same way, if in Cork, I have reason to believe that what a Cork person tel</w:t>
      </w:r>
      <w:r w:rsidR="005419E4">
        <w:rPr>
          <w:sz w:val="24"/>
          <w:szCs w:val="24"/>
        </w:rPr>
        <w:t xml:space="preserve">ls me about the location of Kent </w:t>
      </w:r>
      <w:r w:rsidRPr="00AB003C">
        <w:rPr>
          <w:sz w:val="24"/>
          <w:szCs w:val="24"/>
        </w:rPr>
        <w:t>train station is correct.</w:t>
      </w:r>
    </w:p>
    <w:p w14:paraId="154924E2" w14:textId="7A6EE413" w:rsidR="005419E4" w:rsidRDefault="00052106" w:rsidP="008E5BE1">
      <w:pPr>
        <w:spacing w:line="360" w:lineRule="auto"/>
        <w:ind w:firstLine="720"/>
        <w:jc w:val="both"/>
        <w:rPr>
          <w:sz w:val="24"/>
          <w:szCs w:val="24"/>
        </w:rPr>
      </w:pPr>
      <w:r w:rsidRPr="00AB003C">
        <w:rPr>
          <w:sz w:val="24"/>
          <w:szCs w:val="24"/>
        </w:rPr>
        <w:t xml:space="preserve">The justification for theoretical authority can only be the justification of greater wisdom, not the justification of coordination. Unlike practical authority, therefore, the justification of theoretical authority (greater knowledge) matches the object of theoretical authority (knowledge). </w:t>
      </w:r>
      <w:r w:rsidR="00A2614B" w:rsidRPr="00AB003C">
        <w:rPr>
          <w:sz w:val="24"/>
          <w:szCs w:val="24"/>
        </w:rPr>
        <w:t>Whereas practical authority can require one to act in a way that one knows is ill-advised, t</w:t>
      </w:r>
      <w:r w:rsidRPr="00AB003C">
        <w:rPr>
          <w:sz w:val="24"/>
          <w:szCs w:val="24"/>
        </w:rPr>
        <w:t xml:space="preserve">heoretical authority does not require us to believe what we know we have greater reason to disbelieve, because familiarisation with the reasons for belief and disbelief simultaneously eliminates the gulf in wisdom and displaces the theoretical authority. Let us reconsider the two examples. In the unlikely event that I were to develop great expertise on global warming, I would have no reason to accept scientists’ views as authoritative but could instead accept or reject their opinions based on my own assessment of the merits. Similarly, if in Cork I were to consult a map and realise that the train station lay in the opposition direction, I would simultaneously have no reason to treat the Cork person as theoretically authoritative over me in respect of the location of the train station and reason to </w:t>
      </w:r>
      <w:r w:rsidR="0079391E" w:rsidRPr="00AB003C">
        <w:rPr>
          <w:sz w:val="24"/>
          <w:szCs w:val="24"/>
        </w:rPr>
        <w:t>dis</w:t>
      </w:r>
      <w:r w:rsidRPr="00AB003C">
        <w:rPr>
          <w:sz w:val="24"/>
          <w:szCs w:val="24"/>
        </w:rPr>
        <w:t>believe what she had told me about the location of the station (presumably motivated by the antipathy that many Cork people hold for Dubliners). The relative difference in knowledge that grounded the theoretical authority in the first instance has been displaced</w:t>
      </w:r>
      <w:r w:rsidR="005419E4">
        <w:rPr>
          <w:sz w:val="24"/>
          <w:szCs w:val="24"/>
        </w:rPr>
        <w:t xml:space="preserve"> by my consultation of the map. </w:t>
      </w:r>
    </w:p>
    <w:p w14:paraId="0756C37F" w14:textId="691C0C70" w:rsidR="000B2847" w:rsidRDefault="005419E4" w:rsidP="008E5BE1">
      <w:pPr>
        <w:spacing w:line="360" w:lineRule="auto"/>
        <w:ind w:firstLine="720"/>
        <w:jc w:val="both"/>
        <w:rPr>
          <w:sz w:val="24"/>
          <w:szCs w:val="24"/>
        </w:rPr>
      </w:pPr>
      <w:r>
        <w:rPr>
          <w:sz w:val="24"/>
          <w:szCs w:val="24"/>
        </w:rPr>
        <w:t xml:space="preserve">Of course, </w:t>
      </w:r>
      <w:r w:rsidR="00127760">
        <w:rPr>
          <w:sz w:val="24"/>
          <w:szCs w:val="24"/>
        </w:rPr>
        <w:t>there will usually be more than one possible authority figure in respect of a particular issue. Not all scientists agree about climate change. However, given the norms of scientific knowledge, we have reason to treat 95 per cent of scientists as theoretically authoritative rather than the other five per cent. A more difficult situation could arise where I need to understand a passage of Aristotle that has been translated differently by two eminent classicists, each of whom holds theoretical authority over me. If I seek other translations</w:t>
      </w:r>
      <w:r w:rsidR="000B2847">
        <w:rPr>
          <w:sz w:val="24"/>
          <w:szCs w:val="24"/>
        </w:rPr>
        <w:t>,</w:t>
      </w:r>
      <w:r w:rsidR="00127760">
        <w:rPr>
          <w:sz w:val="24"/>
          <w:szCs w:val="24"/>
        </w:rPr>
        <w:t xml:space="preserve"> that intensifies rather than resolves the problem. Other than </w:t>
      </w:r>
      <w:r w:rsidR="000B2847">
        <w:rPr>
          <w:sz w:val="24"/>
          <w:szCs w:val="24"/>
        </w:rPr>
        <w:t>make an act of faith, the only way out of this quandary would be to engage with the issue myself and explore the reasons why each authority figure offers her particular translation. Over the course of this process, each classicist’s theoretical authority would dissipate. But the views of each would have played a special role in my reasoning process on account of their initial theoretical authority: I would be grappling with their understandings of Aristotle rather than attempting a blank-slate translation of Aristotle.</w:t>
      </w:r>
    </w:p>
    <w:p w14:paraId="5FA7D4DB" w14:textId="48BA2C1A" w:rsidR="00052106" w:rsidRPr="00AB003C" w:rsidRDefault="00052106" w:rsidP="008E5BE1">
      <w:pPr>
        <w:spacing w:line="360" w:lineRule="auto"/>
        <w:ind w:firstLine="720"/>
        <w:jc w:val="both"/>
        <w:rPr>
          <w:sz w:val="24"/>
          <w:szCs w:val="24"/>
        </w:rPr>
      </w:pPr>
      <w:r w:rsidRPr="00AB003C">
        <w:rPr>
          <w:sz w:val="24"/>
          <w:szCs w:val="24"/>
        </w:rPr>
        <w:t xml:space="preserve">Theoretical authority is therefore best understood as providing an exclusionary reason to believe X unless and until one has as good a claim to knowledge or perspective as the authority. </w:t>
      </w:r>
      <w:r w:rsidR="000B2847">
        <w:rPr>
          <w:sz w:val="24"/>
          <w:szCs w:val="24"/>
        </w:rPr>
        <w:t xml:space="preserve">The views of the theoretical authority figure play a special role in that reasoning process: they provide a starting point, a guide and a foil for analysis. The same occurs where there is more than one authority figure. </w:t>
      </w:r>
      <w:r w:rsidRPr="00AB003C">
        <w:rPr>
          <w:sz w:val="24"/>
          <w:szCs w:val="24"/>
        </w:rPr>
        <w:t>Countervailing reasons are not weighed against the exclusionary reason, but greater appreciation of all reasons by the subject of authority dissipates that authority and makes it rational for the previous subject of authority to assess the balance of reasons herself.</w:t>
      </w:r>
    </w:p>
    <w:p w14:paraId="40AA9BA9" w14:textId="6BC4B762" w:rsidR="00AF7B8A" w:rsidRDefault="00052106" w:rsidP="008E5BE1">
      <w:pPr>
        <w:spacing w:line="360" w:lineRule="auto"/>
        <w:ind w:firstLine="720"/>
        <w:jc w:val="both"/>
        <w:rPr>
          <w:sz w:val="24"/>
          <w:szCs w:val="24"/>
        </w:rPr>
      </w:pPr>
      <w:r w:rsidRPr="00AB003C">
        <w:rPr>
          <w:sz w:val="24"/>
          <w:szCs w:val="24"/>
        </w:rPr>
        <w:t xml:space="preserve">It is possible to have theoretical authority about directives that are taken to be practically authoritative. For instance, I have no practical authority when it comes to interpreting Irish constitutional law, but I do have knowledge of Irish constitutional law and I hold theoretical authority over at least some people in respect of Irish constitutional law. If a foreign court needed to establish what </w:t>
      </w:r>
      <w:r w:rsidR="0079391E" w:rsidRPr="00AB003C">
        <w:rPr>
          <w:sz w:val="24"/>
          <w:szCs w:val="24"/>
        </w:rPr>
        <w:t xml:space="preserve">protections </w:t>
      </w:r>
      <w:r w:rsidRPr="00AB003C">
        <w:rPr>
          <w:sz w:val="24"/>
          <w:szCs w:val="24"/>
        </w:rPr>
        <w:t xml:space="preserve">Irish constitutional law </w:t>
      </w:r>
      <w:r w:rsidR="0079391E" w:rsidRPr="00AB003C">
        <w:rPr>
          <w:sz w:val="24"/>
          <w:szCs w:val="24"/>
        </w:rPr>
        <w:t>provided to an accused pe</w:t>
      </w:r>
      <w:r w:rsidR="00A2430B" w:rsidRPr="00AB003C">
        <w:rPr>
          <w:sz w:val="24"/>
          <w:szCs w:val="24"/>
        </w:rPr>
        <w:t>rson before determining an</w:t>
      </w:r>
      <w:r w:rsidR="0079391E" w:rsidRPr="00AB003C">
        <w:rPr>
          <w:sz w:val="24"/>
          <w:szCs w:val="24"/>
        </w:rPr>
        <w:t xml:space="preserve"> extradition request</w:t>
      </w:r>
      <w:r w:rsidR="00A2430B" w:rsidRPr="00AB003C">
        <w:rPr>
          <w:sz w:val="24"/>
          <w:szCs w:val="24"/>
        </w:rPr>
        <w:t xml:space="preserve"> from Ireland</w:t>
      </w:r>
      <w:r w:rsidR="0079391E" w:rsidRPr="00AB003C">
        <w:rPr>
          <w:sz w:val="24"/>
          <w:szCs w:val="24"/>
        </w:rPr>
        <w:t xml:space="preserve">, </w:t>
      </w:r>
      <w:r w:rsidRPr="00AB003C">
        <w:rPr>
          <w:sz w:val="24"/>
          <w:szCs w:val="24"/>
        </w:rPr>
        <w:t xml:space="preserve">as an expert witness I would have relative </w:t>
      </w:r>
      <w:r w:rsidR="00A2614B" w:rsidRPr="00AB003C">
        <w:rPr>
          <w:sz w:val="24"/>
          <w:szCs w:val="24"/>
        </w:rPr>
        <w:t xml:space="preserve">(at least before cross-examination and the examination of other expert witnesses) </w:t>
      </w:r>
      <w:r w:rsidRPr="00AB003C">
        <w:rPr>
          <w:sz w:val="24"/>
          <w:szCs w:val="24"/>
        </w:rPr>
        <w:t xml:space="preserve">theoretical authority as to Irish </w:t>
      </w:r>
      <w:r w:rsidR="00A2614B" w:rsidRPr="00AB003C">
        <w:rPr>
          <w:sz w:val="24"/>
          <w:szCs w:val="24"/>
        </w:rPr>
        <w:t>constitutional law. But I would</w:t>
      </w:r>
      <w:r w:rsidR="00DC2A7C" w:rsidRPr="00AB003C">
        <w:rPr>
          <w:sz w:val="24"/>
          <w:szCs w:val="24"/>
        </w:rPr>
        <w:t xml:space="preserve"> </w:t>
      </w:r>
      <w:r w:rsidRPr="00AB003C">
        <w:rPr>
          <w:sz w:val="24"/>
          <w:szCs w:val="24"/>
        </w:rPr>
        <w:t>have practical authority for neither the judge nor the litigants. My authority is limited to the question of what legal concepts might mean, not what individuals ought to do in light of those concepts.</w:t>
      </w:r>
      <w:r w:rsidR="00AF7B8A">
        <w:rPr>
          <w:sz w:val="24"/>
          <w:szCs w:val="24"/>
        </w:rPr>
        <w:t xml:space="preserve"> </w:t>
      </w:r>
    </w:p>
    <w:p w14:paraId="26B9B6B3" w14:textId="77777777" w:rsidR="001B3018" w:rsidRDefault="00052106" w:rsidP="001B3018">
      <w:pPr>
        <w:spacing w:line="360" w:lineRule="auto"/>
        <w:ind w:firstLine="720"/>
        <w:jc w:val="both"/>
        <w:rPr>
          <w:sz w:val="24"/>
          <w:szCs w:val="24"/>
        </w:rPr>
      </w:pPr>
      <w:r w:rsidRPr="00AB003C">
        <w:rPr>
          <w:sz w:val="24"/>
          <w:szCs w:val="24"/>
        </w:rPr>
        <w:t xml:space="preserve">Foreign case law </w:t>
      </w:r>
      <w:r w:rsidR="00204C91" w:rsidRPr="00AB003C">
        <w:rPr>
          <w:sz w:val="24"/>
          <w:szCs w:val="24"/>
        </w:rPr>
        <w:t xml:space="preserve">can be understood </w:t>
      </w:r>
      <w:r w:rsidRPr="00AB003C">
        <w:rPr>
          <w:sz w:val="24"/>
          <w:szCs w:val="24"/>
        </w:rPr>
        <w:t xml:space="preserve">as theoretically authoritative </w:t>
      </w:r>
      <w:r w:rsidR="00B21767" w:rsidRPr="00AB003C">
        <w:rPr>
          <w:sz w:val="24"/>
          <w:szCs w:val="24"/>
        </w:rPr>
        <w:t xml:space="preserve">as to the meaning of national constitutional provisions </w:t>
      </w:r>
      <w:r w:rsidR="0079391E" w:rsidRPr="00AB003C">
        <w:rPr>
          <w:sz w:val="24"/>
          <w:szCs w:val="24"/>
        </w:rPr>
        <w:t>in an analogous way</w:t>
      </w:r>
      <w:r w:rsidR="00D45F8A" w:rsidRPr="00AB003C">
        <w:rPr>
          <w:sz w:val="24"/>
          <w:szCs w:val="24"/>
        </w:rPr>
        <w:t>, albeit with important differences</w:t>
      </w:r>
      <w:r w:rsidRPr="00AB003C">
        <w:rPr>
          <w:sz w:val="24"/>
          <w:szCs w:val="24"/>
        </w:rPr>
        <w:t xml:space="preserve">: the fact of it being a judgment of a </w:t>
      </w:r>
      <w:r w:rsidR="00D45F8A" w:rsidRPr="00AB003C">
        <w:rPr>
          <w:i/>
          <w:sz w:val="24"/>
          <w:szCs w:val="24"/>
        </w:rPr>
        <w:t>foreign</w:t>
      </w:r>
      <w:r w:rsidR="00D45F8A" w:rsidRPr="00AB003C">
        <w:rPr>
          <w:sz w:val="24"/>
          <w:szCs w:val="24"/>
        </w:rPr>
        <w:t xml:space="preserve"> </w:t>
      </w:r>
      <w:r w:rsidRPr="00AB003C">
        <w:rPr>
          <w:sz w:val="24"/>
          <w:szCs w:val="24"/>
        </w:rPr>
        <w:t xml:space="preserve">court is taken to provide a reason for the </w:t>
      </w:r>
      <w:r w:rsidRPr="00AB003C">
        <w:rPr>
          <w:i/>
          <w:sz w:val="24"/>
          <w:szCs w:val="24"/>
        </w:rPr>
        <w:t>national</w:t>
      </w:r>
      <w:r w:rsidRPr="00AB003C">
        <w:rPr>
          <w:sz w:val="24"/>
          <w:szCs w:val="24"/>
        </w:rPr>
        <w:t xml:space="preserve"> court to understand its </w:t>
      </w:r>
      <w:r w:rsidRPr="00AB003C">
        <w:rPr>
          <w:i/>
          <w:sz w:val="24"/>
          <w:szCs w:val="24"/>
        </w:rPr>
        <w:t>own</w:t>
      </w:r>
      <w:r w:rsidRPr="00AB003C">
        <w:rPr>
          <w:sz w:val="24"/>
          <w:szCs w:val="24"/>
        </w:rPr>
        <w:t xml:space="preserve"> legal concepts in a particular way</w:t>
      </w:r>
      <w:r w:rsidR="00B21767" w:rsidRPr="00AB003C">
        <w:rPr>
          <w:sz w:val="24"/>
          <w:szCs w:val="24"/>
        </w:rPr>
        <w:t>.</w:t>
      </w:r>
      <w:r w:rsidR="00A2430B" w:rsidRPr="00AB003C">
        <w:rPr>
          <w:sz w:val="24"/>
          <w:szCs w:val="24"/>
        </w:rPr>
        <w:t xml:space="preserve"> </w:t>
      </w:r>
      <w:r w:rsidR="00856E53">
        <w:rPr>
          <w:sz w:val="24"/>
          <w:szCs w:val="24"/>
        </w:rPr>
        <w:t xml:space="preserve">The knowledge of foreign judges is akin to the classicists’ knowledge of Aristotle </w:t>
      </w:r>
      <w:r w:rsidR="001B3018">
        <w:rPr>
          <w:sz w:val="24"/>
          <w:szCs w:val="24"/>
        </w:rPr>
        <w:t xml:space="preserve">rather </w:t>
      </w:r>
      <w:r w:rsidR="00856E53">
        <w:rPr>
          <w:sz w:val="24"/>
          <w:szCs w:val="24"/>
        </w:rPr>
        <w:t xml:space="preserve">than the scientists’ knowledge of climate change. It is </w:t>
      </w:r>
      <w:r w:rsidR="001B3018">
        <w:rPr>
          <w:sz w:val="24"/>
          <w:szCs w:val="24"/>
        </w:rPr>
        <w:t xml:space="preserve">less </w:t>
      </w:r>
      <w:r w:rsidR="00856E53">
        <w:rPr>
          <w:sz w:val="24"/>
          <w:szCs w:val="24"/>
        </w:rPr>
        <w:t xml:space="preserve">about empirically identifiable facts but </w:t>
      </w:r>
      <w:r w:rsidR="001B3018">
        <w:rPr>
          <w:sz w:val="24"/>
          <w:szCs w:val="24"/>
        </w:rPr>
        <w:t xml:space="preserve">more </w:t>
      </w:r>
      <w:r w:rsidR="00856E53">
        <w:rPr>
          <w:sz w:val="24"/>
          <w:szCs w:val="24"/>
        </w:rPr>
        <w:t xml:space="preserve">about judgment and discernment, although those qualities </w:t>
      </w:r>
      <w:r w:rsidR="001B3018">
        <w:rPr>
          <w:sz w:val="24"/>
          <w:szCs w:val="24"/>
        </w:rPr>
        <w:t xml:space="preserve">also </w:t>
      </w:r>
      <w:r w:rsidR="00856E53">
        <w:rPr>
          <w:sz w:val="24"/>
          <w:szCs w:val="24"/>
        </w:rPr>
        <w:t xml:space="preserve">play an important role in scientific knowledge. It is an applied knowledge of what moral and legal values mean for </w:t>
      </w:r>
      <w:r w:rsidR="001B3018">
        <w:rPr>
          <w:sz w:val="24"/>
          <w:szCs w:val="24"/>
        </w:rPr>
        <w:t xml:space="preserve">particular situations; this knowledge </w:t>
      </w:r>
      <w:r w:rsidR="00856E53">
        <w:rPr>
          <w:sz w:val="24"/>
          <w:szCs w:val="24"/>
        </w:rPr>
        <w:t xml:space="preserve">can be helpful to judges </w:t>
      </w:r>
      <w:r w:rsidR="001B3018">
        <w:rPr>
          <w:sz w:val="24"/>
          <w:szCs w:val="24"/>
        </w:rPr>
        <w:t xml:space="preserve">in other countries </w:t>
      </w:r>
      <w:r w:rsidR="00856E53">
        <w:rPr>
          <w:sz w:val="24"/>
          <w:szCs w:val="24"/>
        </w:rPr>
        <w:t xml:space="preserve">seeking to understand </w:t>
      </w:r>
      <w:r w:rsidR="001B3018">
        <w:rPr>
          <w:sz w:val="24"/>
          <w:szCs w:val="24"/>
        </w:rPr>
        <w:t xml:space="preserve">what similar values mean for similar situations. </w:t>
      </w:r>
      <w:r w:rsidR="00432449" w:rsidRPr="00AB003C">
        <w:rPr>
          <w:sz w:val="24"/>
          <w:szCs w:val="24"/>
        </w:rPr>
        <w:t xml:space="preserve">If we conceive of foreign law as theoretically authoritative in this way, it </w:t>
      </w:r>
      <w:r w:rsidR="001B3018">
        <w:rPr>
          <w:sz w:val="24"/>
          <w:szCs w:val="24"/>
        </w:rPr>
        <w:t>avoids Scalia’s objection:</w:t>
      </w:r>
      <w:r w:rsidR="00432449" w:rsidRPr="00AB003C">
        <w:rPr>
          <w:sz w:val="24"/>
          <w:szCs w:val="24"/>
        </w:rPr>
        <w:t xml:space="preserve"> consideration of foreign law can help judges better understand the laws of their own system, but foreign law never has direct relevance to the question of what the judge ought to do.</w:t>
      </w:r>
      <w:r w:rsidR="00DC2A7C" w:rsidRPr="00AB003C">
        <w:rPr>
          <w:sz w:val="24"/>
          <w:szCs w:val="24"/>
        </w:rPr>
        <w:t xml:space="preserve"> </w:t>
      </w:r>
    </w:p>
    <w:p w14:paraId="4043D556" w14:textId="77777777" w:rsidR="001B3018" w:rsidRDefault="001B3018" w:rsidP="001B3018">
      <w:pPr>
        <w:spacing w:line="360" w:lineRule="auto"/>
        <w:ind w:firstLine="720"/>
        <w:jc w:val="both"/>
        <w:rPr>
          <w:sz w:val="24"/>
          <w:szCs w:val="24"/>
        </w:rPr>
      </w:pPr>
      <w:r>
        <w:rPr>
          <w:sz w:val="24"/>
          <w:szCs w:val="24"/>
        </w:rPr>
        <w:t xml:space="preserve">The concept of theoretical authority also shows how foreign law can enrich judicial decision-making. Some have argued that foreign law is persuasively authoritative in the same way as all other non-binding sources, such as law review articles. </w:t>
      </w:r>
      <w:r w:rsidR="00716EA2" w:rsidRPr="00AB003C">
        <w:rPr>
          <w:sz w:val="24"/>
          <w:szCs w:val="24"/>
        </w:rPr>
        <w:t xml:space="preserve">As such, for Tushnet and Jackson, the use of foreign law is not a </w:t>
      </w:r>
      <w:r w:rsidR="00716EA2" w:rsidRPr="00AB003C">
        <w:rPr>
          <w:i/>
          <w:sz w:val="24"/>
          <w:szCs w:val="24"/>
        </w:rPr>
        <w:t>sui generis</w:t>
      </w:r>
      <w:r w:rsidR="00716EA2" w:rsidRPr="00AB003C">
        <w:rPr>
          <w:sz w:val="24"/>
          <w:szCs w:val="24"/>
        </w:rPr>
        <w:t xml:space="preserve"> issue and its legitimacy or otherwise turns on the resolution of other debates in constitutional theory.</w:t>
      </w:r>
      <w:bookmarkStart w:id="11" w:name="_Ref250468852"/>
      <w:r w:rsidR="00DC2A7C" w:rsidRPr="00AB003C">
        <w:rPr>
          <w:rStyle w:val="FootnoteReference"/>
          <w:sz w:val="24"/>
          <w:szCs w:val="24"/>
        </w:rPr>
        <w:footnoteReference w:id="21"/>
      </w:r>
      <w:bookmarkEnd w:id="11"/>
      <w:r w:rsidR="00716EA2" w:rsidRPr="00AB003C">
        <w:rPr>
          <w:sz w:val="24"/>
          <w:szCs w:val="24"/>
          <w:lang w:val="en-US"/>
        </w:rPr>
        <w:t xml:space="preserve"> </w:t>
      </w:r>
      <w:r w:rsidR="00432449" w:rsidRPr="00AB003C">
        <w:rPr>
          <w:sz w:val="24"/>
          <w:szCs w:val="24"/>
          <w:lang w:val="en-US"/>
        </w:rPr>
        <w:t xml:space="preserve">This position </w:t>
      </w:r>
      <w:r w:rsidR="00DC2A7C" w:rsidRPr="00AB003C">
        <w:rPr>
          <w:sz w:val="24"/>
          <w:szCs w:val="24"/>
          <w:lang w:val="en-US"/>
        </w:rPr>
        <w:t xml:space="preserve">is </w:t>
      </w:r>
      <w:r w:rsidR="00432449" w:rsidRPr="00AB003C">
        <w:rPr>
          <w:sz w:val="24"/>
          <w:szCs w:val="24"/>
          <w:lang w:val="en-US"/>
        </w:rPr>
        <w:t xml:space="preserve">insensitive to differences between the treatment often afforded to foreign law and the treatment </w:t>
      </w:r>
      <w:r w:rsidR="00616F4C" w:rsidRPr="00AB003C">
        <w:rPr>
          <w:sz w:val="24"/>
          <w:szCs w:val="24"/>
          <w:lang w:val="en-US"/>
        </w:rPr>
        <w:t xml:space="preserve">generally afforded to </w:t>
      </w:r>
      <w:r w:rsidR="00052106" w:rsidRPr="00AB003C">
        <w:rPr>
          <w:sz w:val="24"/>
          <w:szCs w:val="24"/>
        </w:rPr>
        <w:t xml:space="preserve">other factors, national law provisions aside, that might bear on a judge’s decision-making process. It is easier for counsel to cite and judges to rely on foreign case law than it is for counsel to cite and judges to rely on law review articles or the works of moral philosophers. In </w:t>
      </w:r>
      <w:r w:rsidR="00746D94" w:rsidRPr="00AB003C">
        <w:rPr>
          <w:sz w:val="24"/>
          <w:szCs w:val="24"/>
        </w:rPr>
        <w:t xml:space="preserve">the United Kingdom, </w:t>
      </w:r>
      <w:r w:rsidR="00052106" w:rsidRPr="00AB003C">
        <w:rPr>
          <w:sz w:val="24"/>
          <w:szCs w:val="24"/>
        </w:rPr>
        <w:t>the official law reports list foreign cases alongside national cases but do not list any other sources that might have b</w:t>
      </w:r>
      <w:r w:rsidR="00B21767" w:rsidRPr="00AB003C">
        <w:rPr>
          <w:sz w:val="24"/>
          <w:szCs w:val="24"/>
        </w:rPr>
        <w:t>een cited. These</w:t>
      </w:r>
      <w:r w:rsidR="00052106" w:rsidRPr="00AB003C">
        <w:rPr>
          <w:sz w:val="24"/>
          <w:szCs w:val="24"/>
        </w:rPr>
        <w:t xml:space="preserve"> observation</w:t>
      </w:r>
      <w:r w:rsidR="00B21767" w:rsidRPr="00AB003C">
        <w:rPr>
          <w:sz w:val="24"/>
          <w:szCs w:val="24"/>
        </w:rPr>
        <w:t>s are</w:t>
      </w:r>
      <w:r w:rsidR="00052106" w:rsidRPr="00AB003C">
        <w:rPr>
          <w:sz w:val="24"/>
          <w:szCs w:val="24"/>
        </w:rPr>
        <w:t xml:space="preserve"> impressionistic and open to contradiction. It is worth noting, however, that Flanders has reached the same conclusion in respect of the US legal system.</w:t>
      </w:r>
      <w:bookmarkStart w:id="12" w:name="_Ref228348189"/>
      <w:r w:rsidR="00052106" w:rsidRPr="00AB003C">
        <w:rPr>
          <w:rStyle w:val="FootnoteReference"/>
          <w:sz w:val="24"/>
          <w:szCs w:val="24"/>
        </w:rPr>
        <w:footnoteReference w:id="22"/>
      </w:r>
      <w:bookmarkEnd w:id="12"/>
    </w:p>
    <w:p w14:paraId="75F7C3FA" w14:textId="0E7C1286" w:rsidR="00B07D16" w:rsidRDefault="00052106" w:rsidP="001B3018">
      <w:pPr>
        <w:spacing w:line="360" w:lineRule="auto"/>
        <w:ind w:firstLine="720"/>
        <w:jc w:val="both"/>
        <w:rPr>
          <w:sz w:val="24"/>
          <w:szCs w:val="24"/>
        </w:rPr>
      </w:pPr>
      <w:r w:rsidRPr="00AB003C">
        <w:rPr>
          <w:sz w:val="24"/>
          <w:szCs w:val="24"/>
        </w:rPr>
        <w:t>This sense of how foreign law is treated coheres with the theoretical authority</w:t>
      </w:r>
      <w:r w:rsidR="00616F4C" w:rsidRPr="00AB003C">
        <w:rPr>
          <w:sz w:val="24"/>
          <w:szCs w:val="24"/>
        </w:rPr>
        <w:t xml:space="preserve"> concept</w:t>
      </w:r>
      <w:r w:rsidRPr="00AB003C">
        <w:rPr>
          <w:sz w:val="24"/>
          <w:szCs w:val="24"/>
        </w:rPr>
        <w:t xml:space="preserve">. Foreign law is treated as authoritative simply because it is foreign law. </w:t>
      </w:r>
      <w:r w:rsidR="001B3018">
        <w:rPr>
          <w:sz w:val="24"/>
          <w:szCs w:val="24"/>
        </w:rPr>
        <w:t xml:space="preserve">The foreign law holds theoretical authority at the outset and provides a starting point, guide and foil for the national judge’s reasoning process. </w:t>
      </w:r>
      <w:r w:rsidR="00CD7432">
        <w:rPr>
          <w:sz w:val="24"/>
          <w:szCs w:val="24"/>
        </w:rPr>
        <w:t xml:space="preserve">This applies especially where the national judge considers potentially conflicting foreign authorities. </w:t>
      </w:r>
      <w:r w:rsidR="001B3018">
        <w:rPr>
          <w:sz w:val="24"/>
          <w:szCs w:val="24"/>
        </w:rPr>
        <w:t xml:space="preserve">However, this theoretical authority dissipates as the national judge </w:t>
      </w:r>
      <w:r w:rsidRPr="00AB003C">
        <w:rPr>
          <w:sz w:val="24"/>
          <w:szCs w:val="24"/>
        </w:rPr>
        <w:t xml:space="preserve">undertakes </w:t>
      </w:r>
      <w:r w:rsidR="001B3018">
        <w:rPr>
          <w:sz w:val="24"/>
          <w:szCs w:val="24"/>
        </w:rPr>
        <w:t xml:space="preserve">her </w:t>
      </w:r>
      <w:r w:rsidRPr="00AB003C">
        <w:rPr>
          <w:sz w:val="24"/>
          <w:szCs w:val="24"/>
        </w:rPr>
        <w:t>own examination of the issues</w:t>
      </w:r>
      <w:r w:rsidR="001B3018">
        <w:rPr>
          <w:sz w:val="24"/>
          <w:szCs w:val="24"/>
        </w:rPr>
        <w:t>. Ultimately</w:t>
      </w:r>
      <w:r w:rsidRPr="00AB003C">
        <w:rPr>
          <w:sz w:val="24"/>
          <w:szCs w:val="24"/>
        </w:rPr>
        <w:t xml:space="preserve">, foreign law ceases to be </w:t>
      </w:r>
      <w:r w:rsidR="00B21767" w:rsidRPr="00AB003C">
        <w:rPr>
          <w:sz w:val="24"/>
          <w:szCs w:val="24"/>
        </w:rPr>
        <w:t xml:space="preserve">treated as </w:t>
      </w:r>
      <w:r w:rsidRPr="00AB003C">
        <w:rPr>
          <w:sz w:val="24"/>
          <w:szCs w:val="24"/>
        </w:rPr>
        <w:t>authoritative</w:t>
      </w:r>
      <w:r w:rsidR="001B3018">
        <w:rPr>
          <w:sz w:val="24"/>
          <w:szCs w:val="24"/>
        </w:rPr>
        <w:t xml:space="preserve"> </w:t>
      </w:r>
      <w:r w:rsidR="00B21767" w:rsidRPr="00AB003C">
        <w:rPr>
          <w:sz w:val="24"/>
          <w:szCs w:val="24"/>
        </w:rPr>
        <w:t>and inste</w:t>
      </w:r>
      <w:r w:rsidR="001B3018">
        <w:rPr>
          <w:sz w:val="24"/>
          <w:szCs w:val="24"/>
        </w:rPr>
        <w:t>ad persuades only on its merits.</w:t>
      </w:r>
      <w:r w:rsidRPr="00AB003C">
        <w:rPr>
          <w:sz w:val="24"/>
          <w:szCs w:val="24"/>
        </w:rPr>
        <w:t xml:space="preserve"> However, before the national court undertakes that reasoning process (and indeed if the national court were not to undertake that process), the foreign law would </w:t>
      </w:r>
      <w:r w:rsidR="00A2614B" w:rsidRPr="00AB003C">
        <w:rPr>
          <w:sz w:val="24"/>
          <w:szCs w:val="24"/>
        </w:rPr>
        <w:t xml:space="preserve">be treated as authoritative </w:t>
      </w:r>
      <w:r w:rsidRPr="00AB003C">
        <w:rPr>
          <w:sz w:val="24"/>
          <w:szCs w:val="24"/>
        </w:rPr>
        <w:t>irrespective of its persuasiveness. This is not the case of law journal articles and th</w:t>
      </w:r>
      <w:r w:rsidR="00616F4C" w:rsidRPr="00AB003C">
        <w:rPr>
          <w:sz w:val="24"/>
          <w:szCs w:val="24"/>
        </w:rPr>
        <w:t>e musings of moral philosophers, the influence of which depends entirely on its persuasive effect</w:t>
      </w:r>
      <w:r w:rsidR="00390F9B" w:rsidRPr="00AB003C">
        <w:rPr>
          <w:sz w:val="24"/>
          <w:szCs w:val="24"/>
        </w:rPr>
        <w:t>.</w:t>
      </w:r>
      <w:r w:rsidR="00DC2A7C" w:rsidRPr="00AB003C">
        <w:rPr>
          <w:sz w:val="24"/>
          <w:szCs w:val="24"/>
        </w:rPr>
        <w:t xml:space="preserve"> The concept based on theoretical authority thus makes sense of the prevalence of the phrase ‘persuasive authority’ in a way that </w:t>
      </w:r>
      <w:r w:rsidR="00B07D16">
        <w:rPr>
          <w:sz w:val="24"/>
          <w:szCs w:val="24"/>
        </w:rPr>
        <w:t>avoids Scalia’s objection while making sense of Bingham’s claim that consideration of foreign law enriches the judicial decision-making process.</w:t>
      </w:r>
    </w:p>
    <w:p w14:paraId="41481EA6" w14:textId="77777777" w:rsidR="00052106" w:rsidRPr="00AB003C" w:rsidRDefault="00052106" w:rsidP="008E5BE1">
      <w:pPr>
        <w:spacing w:line="360" w:lineRule="auto"/>
        <w:jc w:val="both"/>
        <w:rPr>
          <w:sz w:val="24"/>
          <w:szCs w:val="24"/>
        </w:rPr>
      </w:pPr>
    </w:p>
    <w:p w14:paraId="06CCA40B" w14:textId="0FAE0052" w:rsidR="00052106" w:rsidRPr="008E5BE1" w:rsidRDefault="00E1264A" w:rsidP="008E5BE1">
      <w:pPr>
        <w:spacing w:line="360" w:lineRule="auto"/>
        <w:jc w:val="both"/>
        <w:rPr>
          <w:b/>
          <w:sz w:val="24"/>
          <w:szCs w:val="24"/>
        </w:rPr>
      </w:pPr>
      <w:r>
        <w:rPr>
          <w:b/>
          <w:sz w:val="24"/>
          <w:szCs w:val="24"/>
        </w:rPr>
        <w:t>I</w:t>
      </w:r>
      <w:r w:rsidR="008E5BE1" w:rsidRPr="008E5BE1">
        <w:rPr>
          <w:b/>
          <w:sz w:val="24"/>
          <w:szCs w:val="24"/>
        </w:rPr>
        <w:t>II</w:t>
      </w:r>
      <w:r w:rsidR="008E5BE1">
        <w:rPr>
          <w:b/>
          <w:sz w:val="24"/>
          <w:szCs w:val="24"/>
        </w:rPr>
        <w:t>:</w:t>
      </w:r>
      <w:r w:rsidR="003B05CF" w:rsidRPr="008E5BE1">
        <w:rPr>
          <w:b/>
          <w:sz w:val="24"/>
          <w:szCs w:val="24"/>
        </w:rPr>
        <w:t xml:space="preserve"> </w:t>
      </w:r>
      <w:r w:rsidR="008E5BE1" w:rsidRPr="008E5BE1">
        <w:rPr>
          <w:b/>
          <w:sz w:val="24"/>
          <w:szCs w:val="24"/>
        </w:rPr>
        <w:t>Theoretical authority and judicial learning</w:t>
      </w:r>
    </w:p>
    <w:p w14:paraId="73BDF663" w14:textId="07075CEB" w:rsidR="00052106" w:rsidRPr="00AB003C" w:rsidRDefault="00DC2A7C" w:rsidP="008E5BE1">
      <w:pPr>
        <w:spacing w:line="360" w:lineRule="auto"/>
        <w:jc w:val="both"/>
        <w:rPr>
          <w:sz w:val="24"/>
          <w:szCs w:val="24"/>
          <w:lang w:val="en-US"/>
        </w:rPr>
      </w:pPr>
      <w:r w:rsidRPr="00AB003C">
        <w:rPr>
          <w:sz w:val="24"/>
          <w:szCs w:val="24"/>
        </w:rPr>
        <w:t xml:space="preserve">The concept based on theoretical authority also makes sense of </w:t>
      </w:r>
      <w:r w:rsidR="00052106" w:rsidRPr="00AB003C">
        <w:rPr>
          <w:sz w:val="24"/>
          <w:szCs w:val="24"/>
        </w:rPr>
        <w:t xml:space="preserve">the idea of judicial learning, often used by academics and judges writing extra-judicially to </w:t>
      </w:r>
      <w:r w:rsidR="00A2614B" w:rsidRPr="00AB003C">
        <w:rPr>
          <w:sz w:val="24"/>
          <w:szCs w:val="24"/>
        </w:rPr>
        <w:t xml:space="preserve">explain </w:t>
      </w:r>
      <w:r w:rsidR="00052106" w:rsidRPr="00AB003C">
        <w:rPr>
          <w:sz w:val="24"/>
          <w:szCs w:val="24"/>
        </w:rPr>
        <w:t>the</w:t>
      </w:r>
      <w:r w:rsidR="00A2614B" w:rsidRPr="00AB003C">
        <w:rPr>
          <w:sz w:val="24"/>
          <w:szCs w:val="24"/>
        </w:rPr>
        <w:t>ir use of foreign law</w:t>
      </w:r>
      <w:r w:rsidR="00052106" w:rsidRPr="00AB003C">
        <w:rPr>
          <w:sz w:val="24"/>
          <w:szCs w:val="24"/>
        </w:rPr>
        <w:t>. Ackermann writes of judges ‘seeking information, guidance, stimulation, clarification, or even enlightenment, but never authority binding on one's own decision.’</w:t>
      </w:r>
      <w:bookmarkStart w:id="13" w:name="_Ref228267285"/>
      <w:r w:rsidR="00052106" w:rsidRPr="00AB003C">
        <w:rPr>
          <w:rStyle w:val="FootnoteReference"/>
          <w:sz w:val="24"/>
          <w:szCs w:val="24"/>
        </w:rPr>
        <w:footnoteReference w:id="23"/>
      </w:r>
      <w:bookmarkEnd w:id="13"/>
      <w:r w:rsidR="00052106" w:rsidRPr="00AB003C">
        <w:rPr>
          <w:sz w:val="24"/>
          <w:szCs w:val="24"/>
        </w:rPr>
        <w:t xml:space="preserve"> Markesinis and Fedtke speak of Ackermann infusing the South African legal system with a ‘treasure trove of potentially useful foreign ideas.’</w:t>
      </w:r>
      <w:bookmarkStart w:id="14" w:name="_Ref229112273"/>
      <w:r w:rsidR="00052106" w:rsidRPr="00AB003C">
        <w:rPr>
          <w:rStyle w:val="FootnoteReference"/>
          <w:sz w:val="24"/>
          <w:szCs w:val="24"/>
        </w:rPr>
        <w:footnoteReference w:id="24"/>
      </w:r>
      <w:bookmarkEnd w:id="14"/>
      <w:r w:rsidR="00052106" w:rsidRPr="00AB003C">
        <w:rPr>
          <w:sz w:val="24"/>
          <w:szCs w:val="24"/>
        </w:rPr>
        <w:t xml:space="preserve"> Slaughter writes that judges accept the value of persuasive rather than coercive authority; they acknowledge the possibility of learning from one another based on relative experience with a particular set of issues.</w:t>
      </w:r>
      <w:bookmarkStart w:id="15" w:name="_Ref230065376"/>
      <w:r w:rsidR="00052106" w:rsidRPr="00AB003C">
        <w:rPr>
          <w:rStyle w:val="FootnoteReference"/>
          <w:sz w:val="24"/>
          <w:szCs w:val="24"/>
        </w:rPr>
        <w:footnoteReference w:id="25"/>
      </w:r>
      <w:bookmarkEnd w:id="15"/>
      <w:r w:rsidR="00052106" w:rsidRPr="00AB003C">
        <w:rPr>
          <w:sz w:val="24"/>
          <w:szCs w:val="24"/>
        </w:rPr>
        <w:t xml:space="preserve"> Jackson comments that decisions of foreign courts can inform national courts ‘not only by suggesting ways of reasoning about common areas of human experience, but also by providing a basis against which divergent judgments can be tested.’</w:t>
      </w:r>
      <w:bookmarkStart w:id="16" w:name="_Ref230237414"/>
      <w:r w:rsidR="00052106" w:rsidRPr="00AB003C">
        <w:rPr>
          <w:rStyle w:val="FootnoteReference"/>
          <w:sz w:val="24"/>
          <w:szCs w:val="24"/>
        </w:rPr>
        <w:footnoteReference w:id="26"/>
      </w:r>
      <w:bookmarkEnd w:id="16"/>
      <w:r w:rsidR="00052106" w:rsidRPr="00AB003C">
        <w:rPr>
          <w:sz w:val="24"/>
          <w:szCs w:val="24"/>
        </w:rPr>
        <w:t xml:space="preserve"> Jackson also suggests that consideration of foreign law can open up ways in which national law can be re-understood or reconstructed as part of the ongoing process of constitutional development.</w:t>
      </w:r>
      <w:bookmarkStart w:id="17" w:name="_Ref229727505"/>
      <w:r w:rsidR="00052106" w:rsidRPr="00AB003C">
        <w:rPr>
          <w:rStyle w:val="FootnoteReference"/>
          <w:sz w:val="24"/>
          <w:szCs w:val="24"/>
        </w:rPr>
        <w:footnoteReference w:id="27"/>
      </w:r>
      <w:bookmarkEnd w:id="17"/>
      <w:r w:rsidR="00052106" w:rsidRPr="00AB003C">
        <w:rPr>
          <w:sz w:val="24"/>
          <w:szCs w:val="24"/>
        </w:rPr>
        <w:t xml:space="preserve"> Breyer observes that the </w:t>
      </w:r>
      <w:r w:rsidR="00052106" w:rsidRPr="00AB003C">
        <w:rPr>
          <w:sz w:val="24"/>
          <w:szCs w:val="24"/>
          <w:lang w:val="en-US"/>
        </w:rPr>
        <w:t>practice ‘involves opening your eyes to what is going on elsewhere, taking what you learn for what it is worth, and using it as a point of comparison where doing so will prove helpful.’</w:t>
      </w:r>
      <w:bookmarkStart w:id="18" w:name="_Ref230061278"/>
      <w:r w:rsidR="00052106" w:rsidRPr="00AB003C">
        <w:rPr>
          <w:rStyle w:val="FootnoteReference"/>
          <w:sz w:val="24"/>
          <w:szCs w:val="24"/>
          <w:lang w:val="en-US"/>
        </w:rPr>
        <w:footnoteReference w:id="28"/>
      </w:r>
      <w:bookmarkEnd w:id="18"/>
    </w:p>
    <w:p w14:paraId="59A21D3D" w14:textId="1ACE995C" w:rsidR="00052106" w:rsidRPr="00AB003C" w:rsidRDefault="00052106" w:rsidP="008E5BE1">
      <w:pPr>
        <w:spacing w:line="360" w:lineRule="auto"/>
        <w:ind w:firstLine="720"/>
        <w:jc w:val="both"/>
        <w:rPr>
          <w:sz w:val="24"/>
          <w:szCs w:val="24"/>
        </w:rPr>
      </w:pPr>
      <w:r w:rsidRPr="00AB003C">
        <w:rPr>
          <w:sz w:val="24"/>
          <w:szCs w:val="24"/>
        </w:rPr>
        <w:t>Markesinis and Fedtke emphasise that consideration of foreign law does not absolve judges from forming their own opinion, a point consistent with the treatment of foreign case law as holding theoretical authority.</w:t>
      </w:r>
      <w:r w:rsidRPr="00AB003C">
        <w:rPr>
          <w:rStyle w:val="FootnoteReference"/>
          <w:sz w:val="24"/>
          <w:szCs w:val="24"/>
        </w:rPr>
        <w:footnoteReference w:id="29"/>
      </w:r>
      <w:r w:rsidRPr="00AB003C">
        <w:rPr>
          <w:sz w:val="24"/>
          <w:szCs w:val="24"/>
        </w:rPr>
        <w:t xml:space="preserve"> Judges who engage with foreign law almost uniformly emphasise this limitation. In </w:t>
      </w:r>
      <w:r w:rsidRPr="00AB003C">
        <w:rPr>
          <w:i/>
          <w:sz w:val="24"/>
          <w:szCs w:val="24"/>
        </w:rPr>
        <w:t>Roper v Simmons</w:t>
      </w:r>
      <w:r w:rsidRPr="00AB003C">
        <w:rPr>
          <w:sz w:val="24"/>
          <w:szCs w:val="24"/>
        </w:rPr>
        <w:t>, O’Connor J of the US Supreme Court was prepared to have regard to the international consensus but would not allow it displace the view she had reached about the state of national consensus and other issues in the case.</w:t>
      </w:r>
      <w:r w:rsidRPr="00AB003C">
        <w:rPr>
          <w:rStyle w:val="FootnoteReference"/>
          <w:sz w:val="24"/>
          <w:szCs w:val="24"/>
        </w:rPr>
        <w:footnoteReference w:id="30"/>
      </w:r>
      <w:r w:rsidRPr="00AB003C">
        <w:rPr>
          <w:sz w:val="24"/>
          <w:szCs w:val="24"/>
        </w:rPr>
        <w:t xml:space="preserve"> Justice Hoffmann-Riem of the German Constitutional Court writes that learning from other legal orders does not shift the responsibility for the decision onto the other order; legal solutions must be rooted in the order to which they apply.</w:t>
      </w:r>
      <w:r w:rsidRPr="00AB003C">
        <w:rPr>
          <w:rStyle w:val="FootnoteReference"/>
          <w:sz w:val="24"/>
          <w:szCs w:val="24"/>
        </w:rPr>
        <w:footnoteReference w:id="31"/>
      </w:r>
      <w:r w:rsidRPr="00AB003C">
        <w:rPr>
          <w:sz w:val="24"/>
          <w:szCs w:val="24"/>
        </w:rPr>
        <w:t xml:space="preserve"> Sometimes, judges present this point </w:t>
      </w:r>
      <w:r w:rsidR="007A3FF8" w:rsidRPr="00AB003C">
        <w:rPr>
          <w:sz w:val="24"/>
          <w:szCs w:val="24"/>
        </w:rPr>
        <w:t xml:space="preserve">as </w:t>
      </w:r>
      <w:r w:rsidRPr="00AB003C">
        <w:rPr>
          <w:sz w:val="24"/>
          <w:szCs w:val="24"/>
        </w:rPr>
        <w:t>an opposition between authority and learning. Bader-Ginsberg has stated that foreign opinions are not authoritative but ‘can add to the store of knowledge relevant to the solution of trying questions.’</w:t>
      </w:r>
      <w:r w:rsidRPr="00AB003C">
        <w:rPr>
          <w:rStyle w:val="FootnoteReference"/>
          <w:sz w:val="24"/>
          <w:szCs w:val="24"/>
        </w:rPr>
        <w:footnoteReference w:id="32"/>
      </w:r>
      <w:r w:rsidRPr="00AB003C">
        <w:rPr>
          <w:sz w:val="24"/>
          <w:szCs w:val="24"/>
        </w:rPr>
        <w:t xml:space="preserve"> This opposition is </w:t>
      </w:r>
      <w:r w:rsidR="007A3FF8" w:rsidRPr="00AB003C">
        <w:rPr>
          <w:sz w:val="24"/>
          <w:szCs w:val="24"/>
        </w:rPr>
        <w:t xml:space="preserve">only necessary if </w:t>
      </w:r>
      <w:r w:rsidRPr="00AB003C">
        <w:rPr>
          <w:sz w:val="24"/>
          <w:szCs w:val="24"/>
        </w:rPr>
        <w:t xml:space="preserve">one </w:t>
      </w:r>
      <w:r w:rsidR="007A3FF8" w:rsidRPr="00AB003C">
        <w:rPr>
          <w:sz w:val="24"/>
          <w:szCs w:val="24"/>
        </w:rPr>
        <w:t xml:space="preserve">conceives </w:t>
      </w:r>
      <w:r w:rsidRPr="00AB003C">
        <w:rPr>
          <w:sz w:val="24"/>
          <w:szCs w:val="24"/>
        </w:rPr>
        <w:t xml:space="preserve">of authority in terms of practical authority. Once one </w:t>
      </w:r>
      <w:r w:rsidR="007A3FF8" w:rsidRPr="00AB003C">
        <w:rPr>
          <w:sz w:val="24"/>
          <w:szCs w:val="24"/>
        </w:rPr>
        <w:t xml:space="preserve">conceives of </w:t>
      </w:r>
      <w:r w:rsidRPr="00AB003C">
        <w:rPr>
          <w:sz w:val="24"/>
          <w:szCs w:val="24"/>
        </w:rPr>
        <w:t>the persuasive authority of foreign law as theoretical authority, all tension between authority and learning dissolves.</w:t>
      </w:r>
    </w:p>
    <w:p w14:paraId="5FAF2650" w14:textId="29EA8BA2" w:rsidR="00DC2029" w:rsidRPr="00AB003C" w:rsidRDefault="00DC2029" w:rsidP="008E5BE1">
      <w:pPr>
        <w:spacing w:line="360" w:lineRule="auto"/>
        <w:ind w:firstLine="720"/>
        <w:jc w:val="both"/>
        <w:rPr>
          <w:sz w:val="24"/>
          <w:szCs w:val="24"/>
        </w:rPr>
      </w:pPr>
      <w:r w:rsidRPr="00AB003C">
        <w:rPr>
          <w:sz w:val="24"/>
          <w:szCs w:val="24"/>
        </w:rPr>
        <w:t xml:space="preserve">The judgment of Chaskalson P </w:t>
      </w:r>
      <w:r w:rsidR="00021936" w:rsidRPr="00AB003C">
        <w:rPr>
          <w:sz w:val="24"/>
          <w:szCs w:val="24"/>
        </w:rPr>
        <w:t xml:space="preserve">of the South African Constitutional Court </w:t>
      </w:r>
      <w:r w:rsidRPr="00AB003C">
        <w:rPr>
          <w:sz w:val="24"/>
          <w:szCs w:val="24"/>
        </w:rPr>
        <w:t xml:space="preserve">in </w:t>
      </w:r>
      <w:r w:rsidRPr="00AB003C">
        <w:rPr>
          <w:i/>
          <w:sz w:val="24"/>
          <w:szCs w:val="24"/>
        </w:rPr>
        <w:t>The State v Makwanyane</w:t>
      </w:r>
      <w:r w:rsidRPr="00AB003C">
        <w:rPr>
          <w:sz w:val="24"/>
          <w:szCs w:val="24"/>
        </w:rPr>
        <w:t xml:space="preserve"> provides a good illustration of judicial learning and the treatment of foreign case law as theoretically authoritative.</w:t>
      </w:r>
      <w:r w:rsidRPr="00AB003C">
        <w:rPr>
          <w:sz w:val="24"/>
          <w:szCs w:val="24"/>
          <w:vertAlign w:val="superscript"/>
        </w:rPr>
        <w:footnoteReference w:id="33"/>
      </w:r>
      <w:r w:rsidRPr="00AB003C">
        <w:rPr>
          <w:sz w:val="24"/>
          <w:szCs w:val="24"/>
        </w:rPr>
        <w:t xml:space="preserve"> </w:t>
      </w:r>
      <w:r w:rsidR="00021936" w:rsidRPr="00AB003C">
        <w:rPr>
          <w:sz w:val="24"/>
          <w:szCs w:val="24"/>
        </w:rPr>
        <w:t>In one of the first cases to come before it, the</w:t>
      </w:r>
      <w:r w:rsidRPr="00AB003C">
        <w:rPr>
          <w:sz w:val="24"/>
          <w:szCs w:val="24"/>
        </w:rPr>
        <w:t xml:space="preserve"> Court had to consider the constitutionality of the imposition of the death penalty for murder. The recently enacted interim South African Constitution did not directly address the issue of the death penalty but contained several provisions that were relevant to the issue. Section 11(2) provided that no person should be subjected to cruel, inhuman or degrading treatment or punishment. Section 9 guaranteed the right to life. Section 10 guaranteed respect and protection of dignity. Section 8 guaranteed the right to equality before the law and equal protection of the law. </w:t>
      </w:r>
    </w:p>
    <w:p w14:paraId="5D5DA221" w14:textId="67C68483" w:rsidR="00DC2029" w:rsidRPr="00AB003C" w:rsidRDefault="00DC2029" w:rsidP="008E5BE1">
      <w:pPr>
        <w:spacing w:line="360" w:lineRule="auto"/>
        <w:ind w:firstLine="720"/>
        <w:jc w:val="both"/>
        <w:rPr>
          <w:sz w:val="24"/>
          <w:szCs w:val="24"/>
          <w:lang w:val="en-US"/>
        </w:rPr>
      </w:pPr>
      <w:r w:rsidRPr="00AB003C">
        <w:rPr>
          <w:sz w:val="24"/>
          <w:szCs w:val="24"/>
        </w:rPr>
        <w:t>Chaskal</w:t>
      </w:r>
      <w:r w:rsidR="00A2614B" w:rsidRPr="00AB003C">
        <w:rPr>
          <w:sz w:val="24"/>
          <w:szCs w:val="24"/>
        </w:rPr>
        <w:t>s</w:t>
      </w:r>
      <w:r w:rsidRPr="00AB003C">
        <w:rPr>
          <w:sz w:val="24"/>
          <w:szCs w:val="24"/>
        </w:rPr>
        <w:t xml:space="preserve">on P referred to a wide range of foreign material, which he referred to as ‘authorities’. </w:t>
      </w:r>
      <w:r w:rsidRPr="00AB003C">
        <w:rPr>
          <w:sz w:val="24"/>
          <w:szCs w:val="24"/>
          <w:lang w:val="en-US"/>
        </w:rPr>
        <w:t>Foreign law was cited not just for its relevance to the substantive issue, but also for its assistance on the more technocratic problems of constitutionalism, such as the relevance of travaux préparatoires and how to approach limitation provisions. The judgments of the German Bundesverfassun</w:t>
      </w:r>
      <w:r w:rsidR="00021936" w:rsidRPr="00AB003C">
        <w:rPr>
          <w:sz w:val="24"/>
          <w:szCs w:val="24"/>
          <w:lang w:val="en-US"/>
        </w:rPr>
        <w:t>g</w:t>
      </w:r>
      <w:r w:rsidRPr="00AB003C">
        <w:rPr>
          <w:sz w:val="24"/>
          <w:szCs w:val="24"/>
          <w:lang w:val="en-US"/>
        </w:rPr>
        <w:t>sgericht were particularly important in this regard. On the substantive issue, Chaskal</w:t>
      </w:r>
      <w:r w:rsidR="00A2614B" w:rsidRPr="00AB003C">
        <w:rPr>
          <w:sz w:val="24"/>
          <w:szCs w:val="24"/>
          <w:lang w:val="en-US"/>
        </w:rPr>
        <w:t>s</w:t>
      </w:r>
      <w:r w:rsidRPr="00AB003C">
        <w:rPr>
          <w:sz w:val="24"/>
          <w:szCs w:val="24"/>
          <w:lang w:val="en-US"/>
        </w:rPr>
        <w:t xml:space="preserve">on P reviewed case law from Hungary, the USA, Canada, the ICCPR, the ECHR, India, California, Massachusetts, and Tanzania. </w:t>
      </w:r>
      <w:r w:rsidR="00A2614B" w:rsidRPr="00AB003C">
        <w:rPr>
          <w:sz w:val="24"/>
          <w:szCs w:val="24"/>
          <w:lang w:val="en-US"/>
        </w:rPr>
        <w:t>He</w:t>
      </w:r>
      <w:r w:rsidRPr="00AB003C">
        <w:rPr>
          <w:sz w:val="24"/>
          <w:szCs w:val="24"/>
          <w:lang w:val="en-US"/>
        </w:rPr>
        <w:t xml:space="preserve"> </w:t>
      </w:r>
      <w:r w:rsidRPr="00AB003C">
        <w:rPr>
          <w:sz w:val="24"/>
          <w:szCs w:val="24"/>
        </w:rPr>
        <w:t>described these as valuable ‘</w:t>
      </w:r>
      <w:r w:rsidRPr="00AB003C">
        <w:rPr>
          <w:sz w:val="24"/>
          <w:szCs w:val="24"/>
          <w:lang w:val="en-US"/>
        </w:rPr>
        <w:t>because they analyse arguments for and against the death sentence and show how courts of other jurisdictions have dealt with this vexed issue.’</w:t>
      </w:r>
      <w:r w:rsidRPr="00AB003C">
        <w:rPr>
          <w:sz w:val="24"/>
          <w:szCs w:val="24"/>
          <w:vertAlign w:val="superscript"/>
          <w:lang w:val="en-US"/>
        </w:rPr>
        <w:footnoteReference w:id="34"/>
      </w:r>
      <w:r w:rsidRPr="00AB003C">
        <w:rPr>
          <w:sz w:val="24"/>
          <w:szCs w:val="24"/>
          <w:lang w:val="en-US"/>
        </w:rPr>
        <w:t xml:space="preserve"> Four basic positions emerged. Courts in Hungary, California and Massachusetts had prohibited the death penalty, Hungary on the basis of the right to life, the two US States on the basis that it was impermissibly cruel. Courts in India and Tanzania had upheld the constitutionality of the death penalty. The USA had upheld the constitutionality of the death penalty but surrounded its practice with many procedural guarantees. This led to death row phenomenon, which in turn caused different levels of difficulty for Canada, the UNHRC and ECtHR when considering possible extraditions to the USA.</w:t>
      </w:r>
    </w:p>
    <w:p w14:paraId="6C21A85F" w14:textId="3D9FB292" w:rsidR="00DC2029" w:rsidRPr="00AB003C" w:rsidRDefault="00DC2029" w:rsidP="008E5BE1">
      <w:pPr>
        <w:spacing w:line="360" w:lineRule="auto"/>
        <w:ind w:firstLine="720"/>
        <w:jc w:val="both"/>
        <w:rPr>
          <w:sz w:val="24"/>
          <w:szCs w:val="24"/>
        </w:rPr>
      </w:pPr>
      <w:r w:rsidRPr="00AB003C">
        <w:rPr>
          <w:sz w:val="24"/>
          <w:szCs w:val="24"/>
          <w:lang w:val="en-US"/>
        </w:rPr>
        <w:t>Chaskal</w:t>
      </w:r>
      <w:r w:rsidR="00A2614B" w:rsidRPr="00AB003C">
        <w:rPr>
          <w:sz w:val="24"/>
          <w:szCs w:val="24"/>
          <w:lang w:val="en-US"/>
        </w:rPr>
        <w:t>s</w:t>
      </w:r>
      <w:r w:rsidRPr="00AB003C">
        <w:rPr>
          <w:sz w:val="24"/>
          <w:szCs w:val="24"/>
          <w:lang w:val="en-US"/>
        </w:rPr>
        <w:t>on P treated this case law as the starting point for his analysis, carefully interrogating the reasoning behind those conclusions and tracing both similarities and differences between the various constitutional texts and</w:t>
      </w:r>
      <w:r w:rsidR="00021936" w:rsidRPr="00AB003C">
        <w:rPr>
          <w:sz w:val="24"/>
          <w:szCs w:val="24"/>
          <w:lang w:val="en-US"/>
        </w:rPr>
        <w:t xml:space="preserve"> regimes and the South African I</w:t>
      </w:r>
      <w:r w:rsidRPr="00AB003C">
        <w:rPr>
          <w:sz w:val="24"/>
          <w:szCs w:val="24"/>
          <w:lang w:val="en-US"/>
        </w:rPr>
        <w:t xml:space="preserve">nterim Constitution. He rejected the US approach because of the endless litigation, considerable expense and interminable delays caused by using procedural fairness to mediate the contradiction between allowing the death penalty in principle </w:t>
      </w:r>
      <w:r w:rsidR="00021936" w:rsidRPr="00AB003C">
        <w:rPr>
          <w:sz w:val="24"/>
          <w:szCs w:val="24"/>
          <w:lang w:val="en-US"/>
        </w:rPr>
        <w:t>while accepting that it might amount to</w:t>
      </w:r>
      <w:r w:rsidRPr="00AB003C">
        <w:rPr>
          <w:sz w:val="24"/>
          <w:szCs w:val="24"/>
          <w:lang w:val="en-US"/>
        </w:rPr>
        <w:t xml:space="preserve"> cruel and unusual punishment in particular circumstances.</w:t>
      </w:r>
      <w:r w:rsidRPr="00AB003C">
        <w:rPr>
          <w:sz w:val="24"/>
          <w:szCs w:val="24"/>
          <w:vertAlign w:val="superscript"/>
          <w:lang w:val="en-US"/>
        </w:rPr>
        <w:footnoteReference w:id="35"/>
      </w:r>
      <w:r w:rsidRPr="00AB003C">
        <w:rPr>
          <w:sz w:val="24"/>
          <w:szCs w:val="24"/>
          <w:lang w:val="en-US"/>
        </w:rPr>
        <w:t xml:space="preserve"> The conclusions reached in the foreign cases provided possible positions on the question of whether the death penalty should be prohibited. In using these as the starting points for his analysis, Chaskal</w:t>
      </w:r>
      <w:r w:rsidR="00A2614B" w:rsidRPr="00AB003C">
        <w:rPr>
          <w:sz w:val="24"/>
          <w:szCs w:val="24"/>
          <w:lang w:val="en-US"/>
        </w:rPr>
        <w:t>s</w:t>
      </w:r>
      <w:r w:rsidRPr="00AB003C">
        <w:rPr>
          <w:sz w:val="24"/>
          <w:szCs w:val="24"/>
          <w:lang w:val="en-US"/>
        </w:rPr>
        <w:t xml:space="preserve">on P treated the foreign case law as theoretically authoritative. The positions recommended themselves to his consideration simply because they had been reached by other courts. However, as </w:t>
      </w:r>
      <w:r w:rsidR="00151993" w:rsidRPr="00AB003C">
        <w:rPr>
          <w:sz w:val="24"/>
          <w:szCs w:val="24"/>
          <w:lang w:val="en-US"/>
        </w:rPr>
        <w:t>h</w:t>
      </w:r>
      <w:r w:rsidR="000B622D">
        <w:rPr>
          <w:sz w:val="24"/>
          <w:szCs w:val="24"/>
          <w:lang w:val="en-US"/>
        </w:rPr>
        <w:t>e</w:t>
      </w:r>
      <w:r w:rsidRPr="00AB003C">
        <w:rPr>
          <w:sz w:val="24"/>
          <w:szCs w:val="24"/>
          <w:lang w:val="en-US"/>
        </w:rPr>
        <w:t xml:space="preserve"> engaged in the issue himself, the theoretical authority of the foreign case law dissipated. Ultimately, the foreign case law could only persuade on its merits, the chief question being its appropriateness to the South African context. Chaskalon P had also noted that foreign law would be particularly important in the early stages of transition where there is no developed indigenous jurisprudence.</w:t>
      </w:r>
      <w:r w:rsidRPr="00AB003C">
        <w:rPr>
          <w:sz w:val="24"/>
          <w:szCs w:val="24"/>
          <w:vertAlign w:val="superscript"/>
          <w:lang w:val="en-US"/>
        </w:rPr>
        <w:footnoteReference w:id="36"/>
      </w:r>
      <w:r w:rsidRPr="00AB003C">
        <w:rPr>
          <w:sz w:val="24"/>
          <w:szCs w:val="24"/>
          <w:lang w:val="en-US"/>
        </w:rPr>
        <w:t xml:space="preserve"> This illustrates the two dimensions of the theoretical authority concept as applied to </w:t>
      </w:r>
      <w:r w:rsidR="00021936" w:rsidRPr="00AB003C">
        <w:rPr>
          <w:sz w:val="24"/>
          <w:szCs w:val="24"/>
          <w:lang w:val="en-US"/>
        </w:rPr>
        <w:t xml:space="preserve">the use of </w:t>
      </w:r>
      <w:r w:rsidRPr="00AB003C">
        <w:rPr>
          <w:sz w:val="24"/>
          <w:szCs w:val="24"/>
          <w:lang w:val="en-US"/>
        </w:rPr>
        <w:t>foreign case law: the relative gap in wisdom that warrants theoretical authority applies both when a court approaches a new issue for the first time and, more generally, when a new court starts to approach constitutional issues for the first time. This explains why we tend to see greater reliance by new courts on foreign case law.</w:t>
      </w:r>
      <w:r w:rsidRPr="00AB003C">
        <w:rPr>
          <w:sz w:val="24"/>
          <w:szCs w:val="24"/>
          <w:vertAlign w:val="superscript"/>
          <w:lang w:val="en-US"/>
        </w:rPr>
        <w:footnoteReference w:id="37"/>
      </w:r>
    </w:p>
    <w:p w14:paraId="3EC21AD3" w14:textId="6941992C" w:rsidR="00C94294" w:rsidRPr="00AB003C" w:rsidRDefault="00052106" w:rsidP="008E5BE1">
      <w:pPr>
        <w:spacing w:line="360" w:lineRule="auto"/>
        <w:ind w:firstLine="720"/>
        <w:jc w:val="both"/>
        <w:rPr>
          <w:sz w:val="24"/>
          <w:szCs w:val="24"/>
        </w:rPr>
      </w:pPr>
      <w:r w:rsidRPr="00AB003C">
        <w:rPr>
          <w:sz w:val="24"/>
          <w:szCs w:val="24"/>
        </w:rPr>
        <w:t>Many have employed the phrase ‘judicial dialogue’ rather than judicial learning</w:t>
      </w:r>
      <w:r w:rsidR="00DC2029" w:rsidRPr="00AB003C">
        <w:rPr>
          <w:sz w:val="24"/>
          <w:szCs w:val="24"/>
        </w:rPr>
        <w:t xml:space="preserve"> to conceptualise the judicial use of foreign case law in constitutional cases</w:t>
      </w:r>
      <w:r w:rsidRPr="00AB003C">
        <w:rPr>
          <w:sz w:val="24"/>
          <w:szCs w:val="24"/>
        </w:rPr>
        <w:t>. L’Heureux-Dubé writes of courts involved in judicial dialogue, looking to one another for persuasive precedent.</w:t>
      </w:r>
      <w:bookmarkStart w:id="19" w:name="_Ref228267642"/>
      <w:r w:rsidRPr="00AB003C">
        <w:rPr>
          <w:rStyle w:val="FootnoteReference"/>
          <w:sz w:val="24"/>
          <w:szCs w:val="24"/>
        </w:rPr>
        <w:footnoteReference w:id="38"/>
      </w:r>
      <w:bookmarkEnd w:id="19"/>
      <w:r w:rsidRPr="00AB003C">
        <w:rPr>
          <w:sz w:val="24"/>
          <w:szCs w:val="24"/>
        </w:rPr>
        <w:t xml:space="preserve"> </w:t>
      </w:r>
      <w:r w:rsidR="00202FDC" w:rsidRPr="00AB003C">
        <w:rPr>
          <w:sz w:val="24"/>
          <w:szCs w:val="24"/>
        </w:rPr>
        <w:t>T</w:t>
      </w:r>
      <w:r w:rsidRPr="00AB003C">
        <w:rPr>
          <w:sz w:val="24"/>
          <w:szCs w:val="24"/>
        </w:rPr>
        <w:t>he word ‘dialogue’</w:t>
      </w:r>
      <w:r w:rsidR="00202FDC" w:rsidRPr="00AB003C">
        <w:rPr>
          <w:sz w:val="24"/>
          <w:szCs w:val="24"/>
        </w:rPr>
        <w:t>, however,</w:t>
      </w:r>
      <w:r w:rsidRPr="00AB003C">
        <w:rPr>
          <w:sz w:val="24"/>
          <w:szCs w:val="24"/>
        </w:rPr>
        <w:t xml:space="preserve"> </w:t>
      </w:r>
      <w:r w:rsidR="00DC2029" w:rsidRPr="00AB003C">
        <w:rPr>
          <w:sz w:val="24"/>
          <w:szCs w:val="24"/>
        </w:rPr>
        <w:t xml:space="preserve">does not </w:t>
      </w:r>
      <w:r w:rsidR="00202FDC" w:rsidRPr="00AB003C">
        <w:rPr>
          <w:sz w:val="24"/>
          <w:szCs w:val="24"/>
        </w:rPr>
        <w:t xml:space="preserve">seem a good </w:t>
      </w:r>
      <w:r w:rsidR="00DC2029" w:rsidRPr="00AB003C">
        <w:rPr>
          <w:sz w:val="24"/>
          <w:szCs w:val="24"/>
        </w:rPr>
        <w:t>fit</w:t>
      </w:r>
      <w:r w:rsidR="00202FDC" w:rsidRPr="00AB003C">
        <w:rPr>
          <w:sz w:val="24"/>
          <w:szCs w:val="24"/>
        </w:rPr>
        <w:t xml:space="preserve"> for</w:t>
      </w:r>
      <w:r w:rsidR="00DC2029" w:rsidRPr="00AB003C">
        <w:rPr>
          <w:sz w:val="24"/>
          <w:szCs w:val="24"/>
        </w:rPr>
        <w:t xml:space="preserve"> </w:t>
      </w:r>
      <w:r w:rsidRPr="00AB003C">
        <w:rPr>
          <w:sz w:val="24"/>
          <w:szCs w:val="24"/>
        </w:rPr>
        <w:t xml:space="preserve">the practice </w:t>
      </w:r>
      <w:r w:rsidR="00DC2029" w:rsidRPr="00AB003C">
        <w:rPr>
          <w:sz w:val="24"/>
          <w:szCs w:val="24"/>
        </w:rPr>
        <w:t>under discussion</w:t>
      </w:r>
      <w:r w:rsidRPr="00AB003C">
        <w:rPr>
          <w:sz w:val="24"/>
          <w:szCs w:val="24"/>
        </w:rPr>
        <w:t xml:space="preserve">. Dialogue </w:t>
      </w:r>
      <w:r w:rsidR="00202FDC" w:rsidRPr="00AB003C">
        <w:rPr>
          <w:sz w:val="24"/>
          <w:szCs w:val="24"/>
        </w:rPr>
        <w:t>would involve</w:t>
      </w:r>
      <w:r w:rsidRPr="00AB003C">
        <w:rPr>
          <w:sz w:val="24"/>
          <w:szCs w:val="24"/>
        </w:rPr>
        <w:t xml:space="preserve"> judges speaking directly to one another. </w:t>
      </w:r>
      <w:r w:rsidR="00DC2029" w:rsidRPr="00AB003C">
        <w:rPr>
          <w:sz w:val="24"/>
          <w:szCs w:val="24"/>
        </w:rPr>
        <w:t>Court A must understand its judgments a</w:t>
      </w:r>
      <w:r w:rsidR="005A52C4" w:rsidRPr="00AB003C">
        <w:rPr>
          <w:sz w:val="24"/>
          <w:szCs w:val="24"/>
        </w:rPr>
        <w:t>s being primarily addressed to c</w:t>
      </w:r>
      <w:r w:rsidR="00DC2029" w:rsidRPr="00AB003C">
        <w:rPr>
          <w:sz w:val="24"/>
          <w:szCs w:val="24"/>
        </w:rPr>
        <w:t xml:space="preserve">ourt B, and </w:t>
      </w:r>
      <w:r w:rsidR="00DC2029" w:rsidRPr="00AB003C">
        <w:rPr>
          <w:i/>
          <w:sz w:val="24"/>
          <w:szCs w:val="24"/>
        </w:rPr>
        <w:t>vice versa</w:t>
      </w:r>
      <w:r w:rsidR="00202FDC" w:rsidRPr="00AB003C">
        <w:rPr>
          <w:sz w:val="24"/>
          <w:szCs w:val="24"/>
        </w:rPr>
        <w:t xml:space="preserve">. There is little </w:t>
      </w:r>
      <w:r w:rsidR="00DC2029" w:rsidRPr="00AB003C">
        <w:rPr>
          <w:sz w:val="24"/>
          <w:szCs w:val="24"/>
        </w:rPr>
        <w:t>evidence to suggest that courts understand their judgment</w:t>
      </w:r>
      <w:r w:rsidR="00053027" w:rsidRPr="00AB003C">
        <w:rPr>
          <w:sz w:val="24"/>
          <w:szCs w:val="24"/>
        </w:rPr>
        <w:t>s</w:t>
      </w:r>
      <w:r w:rsidR="00DC2029" w:rsidRPr="00AB003C">
        <w:rPr>
          <w:sz w:val="24"/>
          <w:szCs w:val="24"/>
        </w:rPr>
        <w:t xml:space="preserve"> in this way</w:t>
      </w:r>
      <w:r w:rsidR="005A52C4" w:rsidRPr="00AB003C">
        <w:rPr>
          <w:sz w:val="24"/>
          <w:szCs w:val="24"/>
        </w:rPr>
        <w:t xml:space="preserve">: written judgments and extra-judicial commentary both assume that judgments are primarily addressed to the parties in the case. </w:t>
      </w:r>
      <w:r w:rsidR="00DC2A7C" w:rsidRPr="00AB003C">
        <w:rPr>
          <w:sz w:val="24"/>
          <w:szCs w:val="24"/>
        </w:rPr>
        <w:t xml:space="preserve">This is consistent with the model of judicial decision-making stipulated at the start of this article. </w:t>
      </w:r>
      <w:r w:rsidR="005A52C4" w:rsidRPr="00AB003C">
        <w:rPr>
          <w:sz w:val="24"/>
          <w:szCs w:val="24"/>
        </w:rPr>
        <w:t xml:space="preserve">In </w:t>
      </w:r>
      <w:r w:rsidR="00DC2A7C" w:rsidRPr="00AB003C">
        <w:rPr>
          <w:sz w:val="24"/>
          <w:szCs w:val="24"/>
        </w:rPr>
        <w:t xml:space="preserve">a judicial </w:t>
      </w:r>
      <w:r w:rsidR="005A52C4" w:rsidRPr="00AB003C">
        <w:rPr>
          <w:sz w:val="24"/>
          <w:szCs w:val="24"/>
        </w:rPr>
        <w:t xml:space="preserve">survey, Flanagan and Ahern did not directly ask whether apex court judges considered themselves in dialogue with foreign judges; however, through combining the responses to two questions, they conclude that nearly half of their respondents perceive distinguished foreign judges as </w:t>
      </w:r>
      <w:r w:rsidR="005A52C4" w:rsidRPr="00AB003C">
        <w:rPr>
          <w:i/>
          <w:sz w:val="24"/>
          <w:szCs w:val="24"/>
        </w:rPr>
        <w:t xml:space="preserve">part </w:t>
      </w:r>
      <w:r w:rsidR="005A52C4" w:rsidRPr="00AB003C">
        <w:rPr>
          <w:sz w:val="24"/>
          <w:szCs w:val="24"/>
        </w:rPr>
        <w:t>of the audience for their judgments.</w:t>
      </w:r>
      <w:r w:rsidR="005A52C4" w:rsidRPr="00AB003C">
        <w:rPr>
          <w:rStyle w:val="FootnoteReference"/>
          <w:sz w:val="24"/>
          <w:szCs w:val="24"/>
        </w:rPr>
        <w:footnoteReference w:id="39"/>
      </w:r>
      <w:r w:rsidR="005A52C4" w:rsidRPr="00AB003C">
        <w:rPr>
          <w:sz w:val="24"/>
          <w:szCs w:val="24"/>
        </w:rPr>
        <w:t xml:space="preserve"> Even if this is correct, however, it does not amount to judges engaging in a dialogue with foreign judges. What </w:t>
      </w:r>
      <w:r w:rsidR="00C94294" w:rsidRPr="00AB003C">
        <w:rPr>
          <w:sz w:val="24"/>
          <w:szCs w:val="24"/>
        </w:rPr>
        <w:t>these references gesture towards</w:t>
      </w:r>
      <w:r w:rsidR="005A52C4" w:rsidRPr="00AB003C">
        <w:rPr>
          <w:sz w:val="24"/>
          <w:szCs w:val="24"/>
        </w:rPr>
        <w:t xml:space="preserve">, however, is an increasingly prevalent practice of reciprocal listening: </w:t>
      </w:r>
      <w:r w:rsidRPr="00AB003C">
        <w:rPr>
          <w:sz w:val="24"/>
          <w:szCs w:val="24"/>
        </w:rPr>
        <w:t>court A has regard to the case law of court B while court B has regard to the case law of court A. This is not judicial dialogue</w:t>
      </w:r>
      <w:r w:rsidR="005A52C4" w:rsidRPr="00AB003C">
        <w:rPr>
          <w:sz w:val="24"/>
          <w:szCs w:val="24"/>
        </w:rPr>
        <w:t>, however, since neither court understands its judgments to be addressed primarily to the other</w:t>
      </w:r>
      <w:r w:rsidRPr="00AB003C">
        <w:rPr>
          <w:sz w:val="24"/>
          <w:szCs w:val="24"/>
        </w:rPr>
        <w:t>.</w:t>
      </w:r>
      <w:r w:rsidRPr="00AB003C">
        <w:rPr>
          <w:rStyle w:val="FootnoteReference"/>
          <w:sz w:val="24"/>
          <w:szCs w:val="24"/>
        </w:rPr>
        <w:footnoteReference w:id="40"/>
      </w:r>
    </w:p>
    <w:p w14:paraId="5EF8B246" w14:textId="04A34275" w:rsidR="00871CF3" w:rsidRPr="00AB003C" w:rsidRDefault="005A52C4" w:rsidP="00871CF3">
      <w:pPr>
        <w:spacing w:line="360" w:lineRule="auto"/>
        <w:ind w:firstLine="720"/>
        <w:jc w:val="both"/>
        <w:rPr>
          <w:sz w:val="24"/>
          <w:szCs w:val="24"/>
        </w:rPr>
      </w:pPr>
      <w:r w:rsidRPr="00AB003C">
        <w:rPr>
          <w:sz w:val="24"/>
          <w:szCs w:val="24"/>
        </w:rPr>
        <w:t xml:space="preserve">‘Judicial dialogue’ is also used </w:t>
      </w:r>
      <w:r w:rsidR="00C94294" w:rsidRPr="00AB003C">
        <w:rPr>
          <w:sz w:val="24"/>
          <w:szCs w:val="24"/>
        </w:rPr>
        <w:t xml:space="preserve">to describe </w:t>
      </w:r>
      <w:r w:rsidRPr="00AB003C">
        <w:rPr>
          <w:sz w:val="24"/>
          <w:szCs w:val="24"/>
        </w:rPr>
        <w:t xml:space="preserve">a </w:t>
      </w:r>
      <w:r w:rsidR="00467438" w:rsidRPr="00AB003C">
        <w:rPr>
          <w:sz w:val="24"/>
          <w:szCs w:val="24"/>
        </w:rPr>
        <w:t xml:space="preserve">process in which national judges use foreign law to identify and interrogate the presuppositions of their own system. In this vein, </w:t>
      </w:r>
      <w:r w:rsidR="00052106" w:rsidRPr="00AB003C">
        <w:rPr>
          <w:sz w:val="24"/>
          <w:szCs w:val="24"/>
        </w:rPr>
        <w:t>Choudhry provides a perceptive account of what he terms a dialogical use of foreign law</w:t>
      </w:r>
      <w:r w:rsidR="00C94294" w:rsidRPr="00AB003C">
        <w:rPr>
          <w:sz w:val="24"/>
          <w:szCs w:val="24"/>
        </w:rPr>
        <w:t xml:space="preserve">, by which </w:t>
      </w:r>
      <w:r w:rsidR="00052106" w:rsidRPr="00AB003C">
        <w:rPr>
          <w:sz w:val="24"/>
          <w:szCs w:val="24"/>
        </w:rPr>
        <w:t>he means that national courts carefully scrutinise foreign law to identify similarities and differences. They can use foreign law to emphasise the particular in their own system or to stimulate change. But he never suggests that the dialogic mode actually involves judges engaging in a dialogue with one another.</w:t>
      </w:r>
      <w:r w:rsidR="00052106" w:rsidRPr="00AB003C">
        <w:rPr>
          <w:rStyle w:val="FootnoteReference"/>
          <w:sz w:val="24"/>
          <w:szCs w:val="24"/>
        </w:rPr>
        <w:footnoteReference w:id="41"/>
      </w:r>
      <w:r w:rsidR="00052106" w:rsidRPr="00AB003C">
        <w:rPr>
          <w:sz w:val="24"/>
          <w:szCs w:val="24"/>
        </w:rPr>
        <w:t xml:space="preserve"> </w:t>
      </w:r>
      <w:r w:rsidR="00467438" w:rsidRPr="00AB003C">
        <w:rPr>
          <w:sz w:val="24"/>
          <w:szCs w:val="24"/>
        </w:rPr>
        <w:t>Judicial dialogue in both Choudhry’s sense and the reciprocal listening s</w:t>
      </w:r>
      <w:r w:rsidR="003770A5" w:rsidRPr="00AB003C">
        <w:rPr>
          <w:sz w:val="24"/>
          <w:szCs w:val="24"/>
        </w:rPr>
        <w:t xml:space="preserve">ense are better </w:t>
      </w:r>
      <w:r w:rsidR="00C94294" w:rsidRPr="00AB003C">
        <w:rPr>
          <w:sz w:val="24"/>
          <w:szCs w:val="24"/>
        </w:rPr>
        <w:t>understood as variations of</w:t>
      </w:r>
      <w:r w:rsidR="00467438" w:rsidRPr="00AB003C">
        <w:rPr>
          <w:sz w:val="24"/>
          <w:szCs w:val="24"/>
        </w:rPr>
        <w:t xml:space="preserve"> theoretical authority</w:t>
      </w:r>
      <w:r w:rsidR="00C94294" w:rsidRPr="00AB003C">
        <w:rPr>
          <w:sz w:val="24"/>
          <w:szCs w:val="24"/>
        </w:rPr>
        <w:t>: these accounts enhance our understanding of the different ways in which judges can learn from foreign law. However, the currency attained by the term ‘dialogue’ is unfortunate because it suggests a wholly different process in which judges use their judgments not primarily for the purpose of resolving the case before them but instead for the purpose of engaging in inter-jurisdictional dialogue</w:t>
      </w:r>
      <w:r w:rsidR="00DC2A7C" w:rsidRPr="00AB003C">
        <w:rPr>
          <w:sz w:val="24"/>
          <w:szCs w:val="24"/>
        </w:rPr>
        <w:t>.</w:t>
      </w:r>
      <w:r w:rsidR="00871CF3">
        <w:rPr>
          <w:sz w:val="24"/>
          <w:szCs w:val="24"/>
        </w:rPr>
        <w:t xml:space="preserve"> Such an approach would negate the entire basis for treating foreign law as theoretically authoritative in the first place which, as the next section explains, depends on the fact that a judgment is an attempt to resolve a real-world dispute, not an abstract philosophical exegesis.</w:t>
      </w:r>
    </w:p>
    <w:p w14:paraId="2D09DA42" w14:textId="77777777" w:rsidR="00052106" w:rsidRPr="00AB003C" w:rsidRDefault="00052106" w:rsidP="008E5BE1">
      <w:pPr>
        <w:spacing w:line="360" w:lineRule="auto"/>
        <w:jc w:val="both"/>
        <w:rPr>
          <w:sz w:val="24"/>
          <w:szCs w:val="24"/>
        </w:rPr>
      </w:pPr>
    </w:p>
    <w:p w14:paraId="6E06D224" w14:textId="71C0C40F" w:rsidR="00052106" w:rsidRPr="008E5BE1" w:rsidRDefault="00E1264A" w:rsidP="008E5BE1">
      <w:pPr>
        <w:spacing w:line="360" w:lineRule="auto"/>
        <w:jc w:val="both"/>
        <w:rPr>
          <w:b/>
          <w:sz w:val="24"/>
          <w:szCs w:val="24"/>
        </w:rPr>
      </w:pPr>
      <w:r>
        <w:rPr>
          <w:b/>
          <w:sz w:val="24"/>
          <w:szCs w:val="24"/>
        </w:rPr>
        <w:t>IV</w:t>
      </w:r>
      <w:r w:rsidR="008E5BE1">
        <w:rPr>
          <w:b/>
          <w:sz w:val="24"/>
          <w:szCs w:val="24"/>
        </w:rPr>
        <w:t>:</w:t>
      </w:r>
      <w:r w:rsidR="003B05CF" w:rsidRPr="008E5BE1">
        <w:rPr>
          <w:b/>
          <w:sz w:val="24"/>
          <w:szCs w:val="24"/>
        </w:rPr>
        <w:t xml:space="preserve"> </w:t>
      </w:r>
      <w:r w:rsidR="008E5BE1" w:rsidRPr="008E5BE1">
        <w:rPr>
          <w:b/>
          <w:sz w:val="24"/>
          <w:szCs w:val="24"/>
        </w:rPr>
        <w:t>The justification for treating foreign case law as authoritative</w:t>
      </w:r>
    </w:p>
    <w:p w14:paraId="720564E3" w14:textId="11C43ECD" w:rsidR="000D2FAC" w:rsidRPr="00AB003C" w:rsidRDefault="00871CF3" w:rsidP="00871CF3">
      <w:pPr>
        <w:spacing w:line="360" w:lineRule="auto"/>
        <w:jc w:val="both"/>
        <w:rPr>
          <w:sz w:val="24"/>
          <w:szCs w:val="24"/>
          <w:lang w:val="en-US"/>
        </w:rPr>
      </w:pPr>
      <w:r>
        <w:rPr>
          <w:sz w:val="24"/>
          <w:szCs w:val="24"/>
        </w:rPr>
        <w:t>T</w:t>
      </w:r>
      <w:r w:rsidR="00A10E3D" w:rsidRPr="00AB003C">
        <w:rPr>
          <w:sz w:val="24"/>
          <w:szCs w:val="24"/>
        </w:rPr>
        <w:t xml:space="preserve">he </w:t>
      </w:r>
      <w:r w:rsidR="00052106" w:rsidRPr="00AB003C">
        <w:rPr>
          <w:sz w:val="24"/>
          <w:szCs w:val="24"/>
        </w:rPr>
        <w:t>most strident criticism of the reliance on foreign law in constitutional cases</w:t>
      </w:r>
      <w:r>
        <w:rPr>
          <w:sz w:val="24"/>
          <w:szCs w:val="24"/>
        </w:rPr>
        <w:t xml:space="preserve"> </w:t>
      </w:r>
      <w:r w:rsidR="00052106" w:rsidRPr="00AB003C">
        <w:rPr>
          <w:sz w:val="24"/>
          <w:szCs w:val="24"/>
        </w:rPr>
        <w:t xml:space="preserve">wrongly assumes that </w:t>
      </w:r>
      <w:r>
        <w:rPr>
          <w:sz w:val="24"/>
          <w:szCs w:val="24"/>
        </w:rPr>
        <w:t xml:space="preserve">the </w:t>
      </w:r>
      <w:r w:rsidR="00052106" w:rsidRPr="00AB003C">
        <w:rPr>
          <w:sz w:val="24"/>
          <w:szCs w:val="24"/>
        </w:rPr>
        <w:t>foreign law is treated as practically authoritative</w:t>
      </w:r>
      <w:r w:rsidR="00A826F6" w:rsidRPr="00AB003C">
        <w:rPr>
          <w:sz w:val="24"/>
          <w:szCs w:val="24"/>
        </w:rPr>
        <w:t xml:space="preserve">, </w:t>
      </w:r>
      <w:r w:rsidR="00A826F6" w:rsidRPr="00AB003C">
        <w:rPr>
          <w:i/>
          <w:sz w:val="24"/>
          <w:szCs w:val="24"/>
        </w:rPr>
        <w:t>i.e.</w:t>
      </w:r>
      <w:r w:rsidR="00A826F6" w:rsidRPr="00AB003C">
        <w:rPr>
          <w:sz w:val="24"/>
          <w:szCs w:val="24"/>
        </w:rPr>
        <w:t xml:space="preserve"> as having direct normative force within the national legal system</w:t>
      </w:r>
      <w:r w:rsidR="00052106" w:rsidRPr="00AB003C">
        <w:rPr>
          <w:sz w:val="24"/>
          <w:szCs w:val="24"/>
        </w:rPr>
        <w:t xml:space="preserve">. </w:t>
      </w:r>
      <w:r w:rsidR="00052106" w:rsidRPr="00AB003C">
        <w:rPr>
          <w:sz w:val="24"/>
          <w:szCs w:val="24"/>
          <w:lang w:val="en-US"/>
        </w:rPr>
        <w:t xml:space="preserve">In </w:t>
      </w:r>
      <w:r w:rsidR="00052106" w:rsidRPr="00AB003C">
        <w:rPr>
          <w:i/>
          <w:sz w:val="24"/>
          <w:szCs w:val="24"/>
          <w:lang w:val="en-US"/>
        </w:rPr>
        <w:t>Roper v Simmons</w:t>
      </w:r>
      <w:r w:rsidR="00052106" w:rsidRPr="00AB003C">
        <w:rPr>
          <w:sz w:val="24"/>
          <w:szCs w:val="24"/>
          <w:lang w:val="en-US"/>
        </w:rPr>
        <w:t>, Scalia J of the US Supreme Court described the premise of the majority’s argument as being that ‘American law should conform to the laws of the rest of the world.’</w:t>
      </w:r>
      <w:r w:rsidR="00052106" w:rsidRPr="00AB003C">
        <w:rPr>
          <w:rStyle w:val="FootnoteReference"/>
          <w:sz w:val="24"/>
          <w:szCs w:val="24"/>
          <w:lang w:val="en-US"/>
        </w:rPr>
        <w:footnoteReference w:id="42"/>
      </w:r>
      <w:r w:rsidR="00052106" w:rsidRPr="00AB003C">
        <w:rPr>
          <w:sz w:val="24"/>
          <w:szCs w:val="24"/>
          <w:lang w:val="en-US"/>
        </w:rPr>
        <w:t xml:space="preserve"> </w:t>
      </w:r>
      <w:r w:rsidR="006D4922" w:rsidRPr="00AB003C">
        <w:rPr>
          <w:sz w:val="24"/>
          <w:szCs w:val="24"/>
          <w:lang w:val="en-US"/>
        </w:rPr>
        <w:t xml:space="preserve">If judges treated foreign law as practically authoritative, they would have to give it real normative weight that could </w:t>
      </w:r>
      <w:r w:rsidR="009A49B4" w:rsidRPr="00AB003C">
        <w:rPr>
          <w:sz w:val="24"/>
          <w:szCs w:val="24"/>
          <w:lang w:val="en-US"/>
        </w:rPr>
        <w:t xml:space="preserve">pull against and potentially override a normative direction democratically endorsed within their own system. This would </w:t>
      </w:r>
      <w:r>
        <w:rPr>
          <w:sz w:val="24"/>
          <w:szCs w:val="24"/>
          <w:lang w:val="en-US"/>
        </w:rPr>
        <w:t>involve the exercise of judicial power on the basis of standards that are not democratically revisable. T</w:t>
      </w:r>
      <w:r w:rsidR="00052106" w:rsidRPr="00AB003C">
        <w:rPr>
          <w:sz w:val="24"/>
          <w:szCs w:val="24"/>
          <w:lang w:val="en-US"/>
        </w:rPr>
        <w:t xml:space="preserve">he treatment of foreign law as theoretically authoritative </w:t>
      </w:r>
      <w:r w:rsidR="009A49B4" w:rsidRPr="00AB003C">
        <w:rPr>
          <w:sz w:val="24"/>
          <w:szCs w:val="24"/>
          <w:lang w:val="en-US"/>
        </w:rPr>
        <w:t xml:space="preserve">is fundamentally different. It </w:t>
      </w:r>
      <w:r w:rsidR="00052106" w:rsidRPr="00AB003C">
        <w:rPr>
          <w:sz w:val="24"/>
          <w:szCs w:val="24"/>
          <w:lang w:val="en-US"/>
        </w:rPr>
        <w:t xml:space="preserve">does not impose any obligation on the national court to </w:t>
      </w:r>
      <w:r w:rsidR="00B70B39" w:rsidRPr="00AB003C">
        <w:rPr>
          <w:sz w:val="24"/>
          <w:szCs w:val="24"/>
          <w:lang w:val="en-US"/>
        </w:rPr>
        <w:t>act in accordance with the law of the foreign country</w:t>
      </w:r>
      <w:r w:rsidR="00052106" w:rsidRPr="00AB003C">
        <w:rPr>
          <w:sz w:val="24"/>
          <w:szCs w:val="24"/>
          <w:lang w:val="en-US"/>
        </w:rPr>
        <w:t xml:space="preserve">. </w:t>
      </w:r>
      <w:r w:rsidR="000D2FAC" w:rsidRPr="00AB003C">
        <w:rPr>
          <w:sz w:val="24"/>
          <w:szCs w:val="24"/>
          <w:lang w:val="en-US"/>
        </w:rPr>
        <w:t>This is consistent with the extra-judicial observation of Sedley that he knows of no judge in the world who has ever decided a case differently because of persuasive authority in other jurisdictions.</w:t>
      </w:r>
      <w:r w:rsidR="000D2FAC" w:rsidRPr="00AB003C">
        <w:rPr>
          <w:rStyle w:val="FootnoteReference"/>
          <w:sz w:val="24"/>
          <w:szCs w:val="24"/>
          <w:lang w:val="en-US"/>
        </w:rPr>
        <w:footnoteReference w:id="43"/>
      </w:r>
      <w:r w:rsidR="000D2FAC" w:rsidRPr="00AB003C">
        <w:rPr>
          <w:sz w:val="24"/>
          <w:szCs w:val="24"/>
          <w:lang w:val="en-US"/>
        </w:rPr>
        <w:t xml:space="preserve"> </w:t>
      </w:r>
      <w:r w:rsidR="00052106" w:rsidRPr="00AB003C">
        <w:rPr>
          <w:sz w:val="24"/>
          <w:szCs w:val="24"/>
          <w:lang w:val="en-US"/>
        </w:rPr>
        <w:t>Once foreign law is being used only to help understand</w:t>
      </w:r>
      <w:r w:rsidR="000D2FAC" w:rsidRPr="00AB003C">
        <w:rPr>
          <w:sz w:val="24"/>
          <w:szCs w:val="24"/>
          <w:lang w:val="en-US"/>
        </w:rPr>
        <w:t xml:space="preserve"> national law concepts, there can be</w:t>
      </w:r>
      <w:r w:rsidR="00052106" w:rsidRPr="00AB003C">
        <w:rPr>
          <w:sz w:val="24"/>
          <w:szCs w:val="24"/>
          <w:lang w:val="en-US"/>
        </w:rPr>
        <w:t xml:space="preserve"> no significant democratic objection to the practice.</w:t>
      </w:r>
      <w:bookmarkStart w:id="20" w:name="_Ref299959136"/>
      <w:r w:rsidR="00052106" w:rsidRPr="00AB003C">
        <w:rPr>
          <w:rStyle w:val="FootnoteReference"/>
          <w:sz w:val="24"/>
          <w:szCs w:val="24"/>
          <w:lang w:val="en-US"/>
        </w:rPr>
        <w:footnoteReference w:id="44"/>
      </w:r>
      <w:bookmarkEnd w:id="20"/>
      <w:r w:rsidR="00052106" w:rsidRPr="00AB003C">
        <w:rPr>
          <w:sz w:val="24"/>
          <w:szCs w:val="24"/>
          <w:lang w:val="en-US"/>
        </w:rPr>
        <w:t xml:space="preserve"> </w:t>
      </w:r>
      <w:r w:rsidR="000D2FAC" w:rsidRPr="00AB003C">
        <w:rPr>
          <w:sz w:val="24"/>
          <w:szCs w:val="24"/>
          <w:lang w:val="en-US"/>
        </w:rPr>
        <w:t xml:space="preserve">With this most fundamental criticism out of the way, </w:t>
      </w:r>
      <w:r w:rsidR="00151993" w:rsidRPr="00AB003C">
        <w:rPr>
          <w:sz w:val="24"/>
          <w:szCs w:val="24"/>
          <w:lang w:val="en-US"/>
        </w:rPr>
        <w:t>the justification of</w:t>
      </w:r>
      <w:r w:rsidR="000D2FAC" w:rsidRPr="00AB003C">
        <w:rPr>
          <w:sz w:val="24"/>
          <w:szCs w:val="24"/>
          <w:lang w:val="en-US"/>
        </w:rPr>
        <w:t xml:space="preserve"> the practice can be considered.</w:t>
      </w:r>
    </w:p>
    <w:p w14:paraId="42E7E221" w14:textId="4CE3F0A4" w:rsidR="00052106" w:rsidRPr="00AB003C" w:rsidRDefault="00052106" w:rsidP="00871CF3">
      <w:pPr>
        <w:spacing w:line="360" w:lineRule="auto"/>
        <w:ind w:firstLine="720"/>
        <w:jc w:val="both"/>
        <w:rPr>
          <w:sz w:val="24"/>
          <w:szCs w:val="24"/>
        </w:rPr>
      </w:pPr>
      <w:r w:rsidRPr="00AB003C">
        <w:rPr>
          <w:sz w:val="24"/>
          <w:szCs w:val="24"/>
        </w:rPr>
        <w:t>Justification for theoretical authority depends on relative gaps in knowledge or wisdom. Climatologists</w:t>
      </w:r>
      <w:r w:rsidR="00871CF3">
        <w:rPr>
          <w:sz w:val="24"/>
          <w:szCs w:val="24"/>
        </w:rPr>
        <w:t>, Corkonians and classicists</w:t>
      </w:r>
      <w:r w:rsidRPr="00AB003C">
        <w:rPr>
          <w:sz w:val="24"/>
          <w:szCs w:val="24"/>
        </w:rPr>
        <w:t xml:space="preserve"> hold theoretical authority over most other people </w:t>
      </w:r>
      <w:r w:rsidR="00871CF3">
        <w:rPr>
          <w:sz w:val="24"/>
          <w:szCs w:val="24"/>
        </w:rPr>
        <w:t>in their relevant area of expertise.</w:t>
      </w:r>
      <w:r w:rsidR="00853C63" w:rsidRPr="00AB003C">
        <w:rPr>
          <w:sz w:val="24"/>
          <w:szCs w:val="24"/>
        </w:rPr>
        <w:t xml:space="preserve"> If one comes to know</w:t>
      </w:r>
      <w:r w:rsidRPr="00AB003C">
        <w:rPr>
          <w:sz w:val="24"/>
          <w:szCs w:val="24"/>
        </w:rPr>
        <w:t xml:space="preserve"> as much as, or more than, the person who held theoretical authority, there is no longer any justification to treat that person as theoretically authoritative. Even if one accepts the views of the previously authoritative figure, one does so because one is persuaded by their merits rather than compelled by authority. The same sort of observation can justify national courts treating some types of foreign law as authoritative in some circumstances. A fo</w:t>
      </w:r>
      <w:r w:rsidR="00871CF3">
        <w:rPr>
          <w:sz w:val="24"/>
          <w:szCs w:val="24"/>
        </w:rPr>
        <w:t>reign court’s understanding of the meaning and appropriate application of a</w:t>
      </w:r>
      <w:r w:rsidRPr="00AB003C">
        <w:rPr>
          <w:sz w:val="24"/>
          <w:szCs w:val="24"/>
        </w:rPr>
        <w:t xml:space="preserve"> legal concept at the end of a case should be stronger than the national court’s understanding at the start of a case. This </w:t>
      </w:r>
      <w:r w:rsidR="00151993" w:rsidRPr="00AB003C">
        <w:rPr>
          <w:sz w:val="24"/>
          <w:szCs w:val="24"/>
        </w:rPr>
        <w:t xml:space="preserve">analysis </w:t>
      </w:r>
      <w:r w:rsidRPr="00AB003C">
        <w:rPr>
          <w:sz w:val="24"/>
          <w:szCs w:val="24"/>
        </w:rPr>
        <w:t xml:space="preserve">does not of itself justify treating foreign law, more so than law review articles, as theoretically authoritative. The final step in the argument </w:t>
      </w:r>
      <w:r w:rsidR="00EE2C9C" w:rsidRPr="00AB003C">
        <w:rPr>
          <w:sz w:val="24"/>
          <w:szCs w:val="24"/>
        </w:rPr>
        <w:t xml:space="preserve">turns on </w:t>
      </w:r>
      <w:r w:rsidRPr="00AB003C">
        <w:rPr>
          <w:sz w:val="24"/>
          <w:szCs w:val="24"/>
        </w:rPr>
        <w:t xml:space="preserve">the special nature of </w:t>
      </w:r>
      <w:r w:rsidR="00EE2C9C" w:rsidRPr="00AB003C">
        <w:rPr>
          <w:sz w:val="24"/>
          <w:szCs w:val="24"/>
        </w:rPr>
        <w:t xml:space="preserve">court processes for </w:t>
      </w:r>
      <w:r w:rsidRPr="00AB003C">
        <w:rPr>
          <w:sz w:val="24"/>
          <w:szCs w:val="24"/>
        </w:rPr>
        <w:t>adjudication.</w:t>
      </w:r>
    </w:p>
    <w:p w14:paraId="54DADCFC" w14:textId="30CBBDB7" w:rsidR="00052106" w:rsidRPr="00AB003C" w:rsidRDefault="00052106" w:rsidP="008E5BE1">
      <w:pPr>
        <w:spacing w:line="360" w:lineRule="auto"/>
        <w:ind w:firstLine="720"/>
        <w:jc w:val="both"/>
        <w:rPr>
          <w:sz w:val="24"/>
          <w:szCs w:val="24"/>
        </w:rPr>
      </w:pPr>
      <w:r w:rsidRPr="00AB003C">
        <w:rPr>
          <w:sz w:val="24"/>
          <w:szCs w:val="24"/>
        </w:rPr>
        <w:t>A judgment is written only after the judge has the benefit of hearing arguments advanced by (at least) two reasonably well-funded opponents. Each side has the opportunity to deconstruct the other side’s argument, as does the judge. Moreover, the judge (conscious that the judgment will have real world effects and is not simply a philosophical teaser) can be assumed to have taken care in coming to her judgment.</w:t>
      </w:r>
      <w:r w:rsidRPr="00AB003C">
        <w:rPr>
          <w:rStyle w:val="FootnoteReference"/>
          <w:sz w:val="24"/>
          <w:szCs w:val="24"/>
        </w:rPr>
        <w:footnoteReference w:id="45"/>
      </w:r>
      <w:r w:rsidRPr="00AB003C">
        <w:rPr>
          <w:sz w:val="24"/>
          <w:szCs w:val="24"/>
        </w:rPr>
        <w:t xml:space="preserve"> Developing on this idea, Jackson suggests that the judgments of national courts have more weight than judgments of international tribunals, since they have binding effect and the judge lives in the country where that effect will take place.</w:t>
      </w:r>
      <w:r w:rsidRPr="00AB003C">
        <w:rPr>
          <w:rStyle w:val="FootnoteReference"/>
          <w:sz w:val="24"/>
          <w:szCs w:val="24"/>
        </w:rPr>
        <w:footnoteReference w:id="46"/>
      </w:r>
      <w:r w:rsidRPr="00AB003C">
        <w:rPr>
          <w:sz w:val="24"/>
          <w:szCs w:val="24"/>
        </w:rPr>
        <w:t xml:space="preserve"> Taken together, these features justify theoretical authority for foreign case law in a way that does not apply to other forms of foreign law or to other non-binding sources such as law review articles. As such, the justification coheres well with the general contours of judicial practice.</w:t>
      </w:r>
    </w:p>
    <w:p w14:paraId="5A17B53A" w14:textId="688759C9" w:rsidR="00052106" w:rsidRPr="00AB003C" w:rsidRDefault="00EE2C9C" w:rsidP="008E5BE1">
      <w:pPr>
        <w:spacing w:line="360" w:lineRule="auto"/>
        <w:ind w:firstLine="720"/>
        <w:jc w:val="both"/>
        <w:rPr>
          <w:sz w:val="24"/>
          <w:szCs w:val="24"/>
        </w:rPr>
      </w:pPr>
      <w:r w:rsidRPr="00AB003C">
        <w:rPr>
          <w:sz w:val="24"/>
          <w:szCs w:val="24"/>
        </w:rPr>
        <w:t>There are, however, four</w:t>
      </w:r>
      <w:r w:rsidR="00052106" w:rsidRPr="00AB003C">
        <w:rPr>
          <w:sz w:val="24"/>
          <w:szCs w:val="24"/>
        </w:rPr>
        <w:t xml:space="preserve"> significant limitations on this justification. First, </w:t>
      </w:r>
      <w:r w:rsidR="001A1C19" w:rsidRPr="00AB003C">
        <w:rPr>
          <w:sz w:val="24"/>
          <w:szCs w:val="24"/>
        </w:rPr>
        <w:t xml:space="preserve">the </w:t>
      </w:r>
      <w:r w:rsidR="00052106" w:rsidRPr="00AB003C">
        <w:rPr>
          <w:sz w:val="24"/>
          <w:szCs w:val="24"/>
        </w:rPr>
        <w:t xml:space="preserve">theoretical authority is temporally limited since the national court is embarking on the same process that the foreign court has already completed. Once the national judge starts to approach her own reasoned conclusion about the legal problem before her, the foreign case law loses its justified authority and has only the force of persuasion. In the same way as the theoretical </w:t>
      </w:r>
      <w:r w:rsidR="00923F68">
        <w:rPr>
          <w:sz w:val="24"/>
          <w:szCs w:val="24"/>
        </w:rPr>
        <w:t xml:space="preserve">authority of climatologists, </w:t>
      </w:r>
      <w:r w:rsidR="00052106" w:rsidRPr="00AB003C">
        <w:rPr>
          <w:sz w:val="24"/>
          <w:szCs w:val="24"/>
        </w:rPr>
        <w:t xml:space="preserve">Corkonians </w:t>
      </w:r>
      <w:r w:rsidR="00923F68">
        <w:rPr>
          <w:sz w:val="24"/>
          <w:szCs w:val="24"/>
        </w:rPr>
        <w:t xml:space="preserve">and classicists </w:t>
      </w:r>
      <w:r w:rsidR="00052106" w:rsidRPr="00AB003C">
        <w:rPr>
          <w:sz w:val="24"/>
          <w:szCs w:val="24"/>
        </w:rPr>
        <w:t xml:space="preserve">dissipates once the subject of authority gains as much knowledge, so the theoretical authority of foreign case law dissipates once the national court has equalized the knowledge base by going through the same judicial process that justified the theoretical authority of the foreign court in the first instance. The theoretical authority of foreign case law </w:t>
      </w:r>
      <w:r w:rsidR="00923F68">
        <w:rPr>
          <w:sz w:val="24"/>
          <w:szCs w:val="24"/>
        </w:rPr>
        <w:t>provides a starting point, guide and foil for analysis</w:t>
      </w:r>
      <w:r w:rsidR="00052106" w:rsidRPr="00AB003C">
        <w:rPr>
          <w:sz w:val="24"/>
          <w:szCs w:val="24"/>
        </w:rPr>
        <w:t>, but the</w:t>
      </w:r>
      <w:r w:rsidR="00923F68">
        <w:rPr>
          <w:sz w:val="24"/>
          <w:szCs w:val="24"/>
        </w:rPr>
        <w:t>reafter its force depends on its</w:t>
      </w:r>
      <w:r w:rsidR="00052106" w:rsidRPr="00AB003C">
        <w:rPr>
          <w:sz w:val="24"/>
          <w:szCs w:val="24"/>
        </w:rPr>
        <w:t xml:space="preserve"> persuasiveness.</w:t>
      </w:r>
    </w:p>
    <w:p w14:paraId="5A9060E3" w14:textId="4606FE9E" w:rsidR="00052106" w:rsidRPr="00AB003C" w:rsidRDefault="00EE2C9C" w:rsidP="008E5BE1">
      <w:pPr>
        <w:spacing w:line="360" w:lineRule="auto"/>
        <w:ind w:firstLine="720"/>
        <w:jc w:val="both"/>
        <w:rPr>
          <w:sz w:val="24"/>
          <w:szCs w:val="24"/>
        </w:rPr>
      </w:pPr>
      <w:r w:rsidRPr="00AB003C">
        <w:rPr>
          <w:sz w:val="24"/>
          <w:szCs w:val="24"/>
        </w:rPr>
        <w:t>Second</w:t>
      </w:r>
      <w:r w:rsidR="00052106" w:rsidRPr="00AB003C">
        <w:rPr>
          <w:sz w:val="24"/>
          <w:szCs w:val="24"/>
        </w:rPr>
        <w:t xml:space="preserve">, and related to this, a national court should not artificially preserve the justified theoretical authority of foreign case law by refusing to engage in its own reasoning process. </w:t>
      </w:r>
      <w:r w:rsidR="00052106" w:rsidRPr="00AB003C">
        <w:rPr>
          <w:i/>
          <w:sz w:val="24"/>
          <w:szCs w:val="24"/>
        </w:rPr>
        <w:t>D v Ireland</w:t>
      </w:r>
      <w:r w:rsidR="00052106" w:rsidRPr="00AB003C">
        <w:rPr>
          <w:sz w:val="24"/>
          <w:szCs w:val="24"/>
        </w:rPr>
        <w:t xml:space="preserve"> is an example of this.</w:t>
      </w:r>
      <w:r w:rsidR="00052106" w:rsidRPr="00AB003C">
        <w:rPr>
          <w:rStyle w:val="FootnoteReference"/>
          <w:sz w:val="24"/>
          <w:szCs w:val="24"/>
        </w:rPr>
        <w:footnoteReference w:id="47"/>
      </w:r>
      <w:r w:rsidR="00052106" w:rsidRPr="00AB003C">
        <w:rPr>
          <w:sz w:val="24"/>
          <w:szCs w:val="24"/>
        </w:rPr>
        <w:t xml:space="preserve"> The </w:t>
      </w:r>
      <w:r w:rsidR="00923F68">
        <w:rPr>
          <w:sz w:val="24"/>
          <w:szCs w:val="24"/>
        </w:rPr>
        <w:t xml:space="preserve">Irish </w:t>
      </w:r>
      <w:r w:rsidR="00052106" w:rsidRPr="00AB003C">
        <w:rPr>
          <w:sz w:val="24"/>
          <w:szCs w:val="24"/>
        </w:rPr>
        <w:t xml:space="preserve">Supreme Court upheld the constitutionality of the Criminal Law (Sexual Offences) Act 2006, which criminalised a wide range of sexual activity with persons under the age of 17, but exempted from criminal sanction females under the age of 17 who engaged in vaginal intercourse, as distinct from the other </w:t>
      </w:r>
      <w:r w:rsidR="00890F67" w:rsidRPr="00AB003C">
        <w:rPr>
          <w:sz w:val="24"/>
          <w:szCs w:val="24"/>
        </w:rPr>
        <w:t xml:space="preserve">criminalised </w:t>
      </w:r>
      <w:r w:rsidR="00052106" w:rsidRPr="00AB003C">
        <w:rPr>
          <w:sz w:val="24"/>
          <w:szCs w:val="24"/>
        </w:rPr>
        <w:t xml:space="preserve">forms of sexual activity. The Supreme Court did not cite any of its own case law on the Irish Constitution’s guarantee of equality, which suggested some heightened scrutiny for sex-based discriminations. Instead, the Court relied on the judgment of the US Supreme Court in </w:t>
      </w:r>
      <w:r w:rsidR="00052106" w:rsidRPr="00AB003C">
        <w:rPr>
          <w:i/>
          <w:sz w:val="24"/>
          <w:szCs w:val="24"/>
        </w:rPr>
        <w:t>Michael M v Superior Court of Sonoma County</w:t>
      </w:r>
      <w:r w:rsidR="00052106" w:rsidRPr="00AB003C">
        <w:rPr>
          <w:sz w:val="24"/>
          <w:szCs w:val="24"/>
        </w:rPr>
        <w:t>, which upheld the constitutionality of a law that made it unlawful for a male to have sexual intercourse with a female under the age of 18.</w:t>
      </w:r>
      <w:r w:rsidR="00052106" w:rsidRPr="00AB003C">
        <w:rPr>
          <w:rStyle w:val="FootnoteReference"/>
          <w:sz w:val="24"/>
          <w:szCs w:val="24"/>
        </w:rPr>
        <w:footnoteReference w:id="48"/>
      </w:r>
      <w:r w:rsidR="00052106" w:rsidRPr="00AB003C">
        <w:rPr>
          <w:sz w:val="24"/>
          <w:szCs w:val="24"/>
        </w:rPr>
        <w:t xml:space="preserve"> Denham CJ, delivering the judgment of the Court, adopted the rationale of Rehnquist J to the effect that discrimination in favour of females would provide an incentive for females to report the offence, which in turn would deter males from committing the offence, which in turn would reduce the risk of teenage pregnancy, the core objective of the Act. The difficulty is that this rationale does not carry over to the Irish Act in question, given that it </w:t>
      </w:r>
      <w:r w:rsidR="00923F68">
        <w:rPr>
          <w:sz w:val="24"/>
          <w:szCs w:val="24"/>
        </w:rPr>
        <w:t xml:space="preserve">also </w:t>
      </w:r>
      <w:r w:rsidR="00052106" w:rsidRPr="00AB003C">
        <w:rPr>
          <w:sz w:val="24"/>
          <w:szCs w:val="24"/>
        </w:rPr>
        <w:t>criminalizes for both males and females a wide range of other sexual acts in which – the evidence suggests – teenagers tend to engage.</w:t>
      </w:r>
      <w:r w:rsidR="00151993" w:rsidRPr="00AB003C">
        <w:rPr>
          <w:rStyle w:val="FootnoteReference"/>
          <w:sz w:val="24"/>
          <w:szCs w:val="24"/>
        </w:rPr>
        <w:footnoteReference w:id="49"/>
      </w:r>
      <w:r w:rsidR="00052106" w:rsidRPr="00AB003C">
        <w:rPr>
          <w:sz w:val="24"/>
          <w:szCs w:val="24"/>
        </w:rPr>
        <w:t xml:space="preserve"> In that context, the exception from criminal liability for females who engage in vaginal intercourse actually creates an incentive for young females to put themselves at risk of pregnancy rather than engage in other sexual activity for which they might be criminally liable. </w:t>
      </w:r>
      <w:r w:rsidR="00636F1B" w:rsidRPr="00AB003C">
        <w:rPr>
          <w:sz w:val="24"/>
          <w:szCs w:val="24"/>
        </w:rPr>
        <w:t xml:space="preserve">We can understand this in terms of the Irish Supreme Court continuing to treat the previous judgment of the US Supreme Court as theoretically authoritative after that authority should have been displaced by the Court’s own consideration of the issue. This led the Court to overlook some important differences between the two cases. </w:t>
      </w:r>
      <w:r w:rsidR="00710FCE" w:rsidRPr="00AB003C">
        <w:rPr>
          <w:sz w:val="24"/>
          <w:szCs w:val="24"/>
        </w:rPr>
        <w:t xml:space="preserve">A danger with the use of foreign case law is that it lends itself to over-use in this way. Because foreign law is framed in the same language of practical authority that the national court will use to decide its case, there is always the risk that the national court may </w:t>
      </w:r>
      <w:r w:rsidR="00151993" w:rsidRPr="00AB003C">
        <w:rPr>
          <w:sz w:val="24"/>
          <w:szCs w:val="24"/>
        </w:rPr>
        <w:t xml:space="preserve">treat it as </w:t>
      </w:r>
      <w:r w:rsidR="00923F68">
        <w:rPr>
          <w:sz w:val="24"/>
          <w:szCs w:val="24"/>
        </w:rPr>
        <w:t xml:space="preserve">practically </w:t>
      </w:r>
      <w:r w:rsidR="00151993" w:rsidRPr="00AB003C">
        <w:rPr>
          <w:sz w:val="24"/>
          <w:szCs w:val="24"/>
        </w:rPr>
        <w:t>authoritative</w:t>
      </w:r>
      <w:r w:rsidR="00710FCE" w:rsidRPr="00AB003C">
        <w:rPr>
          <w:sz w:val="24"/>
          <w:szCs w:val="24"/>
        </w:rPr>
        <w:t>.</w:t>
      </w:r>
    </w:p>
    <w:p w14:paraId="6FE1D71A" w14:textId="64EAEA45" w:rsidR="00052106" w:rsidRPr="00AB003C" w:rsidRDefault="00EE2C9C" w:rsidP="008E5BE1">
      <w:pPr>
        <w:spacing w:line="360" w:lineRule="auto"/>
        <w:ind w:firstLine="720"/>
        <w:jc w:val="both"/>
        <w:rPr>
          <w:sz w:val="24"/>
          <w:szCs w:val="24"/>
        </w:rPr>
      </w:pPr>
      <w:r w:rsidRPr="00AB003C">
        <w:rPr>
          <w:sz w:val="24"/>
          <w:szCs w:val="24"/>
        </w:rPr>
        <w:t>Third</w:t>
      </w:r>
      <w:r w:rsidR="0030706A" w:rsidRPr="00AB003C">
        <w:rPr>
          <w:sz w:val="24"/>
          <w:szCs w:val="24"/>
        </w:rPr>
        <w:t>, for the</w:t>
      </w:r>
      <w:r w:rsidR="00052106" w:rsidRPr="00AB003C">
        <w:rPr>
          <w:sz w:val="24"/>
          <w:szCs w:val="24"/>
        </w:rPr>
        <w:t xml:space="preserve"> limited justification </w:t>
      </w:r>
      <w:r w:rsidR="0030706A" w:rsidRPr="00AB003C">
        <w:rPr>
          <w:sz w:val="24"/>
          <w:szCs w:val="24"/>
        </w:rPr>
        <w:t xml:space="preserve">for theoretical authority </w:t>
      </w:r>
      <w:r w:rsidR="00052106" w:rsidRPr="00AB003C">
        <w:rPr>
          <w:sz w:val="24"/>
          <w:szCs w:val="24"/>
        </w:rPr>
        <w:t>to hold, the foreign court must be in a similar legal system, interpreting a similar constitutional position and addressing a similar problem. Writing extra-judicially, some judges</w:t>
      </w:r>
      <w:r w:rsidR="00B52BB9" w:rsidRPr="00AB003C">
        <w:rPr>
          <w:sz w:val="24"/>
          <w:szCs w:val="24"/>
        </w:rPr>
        <w:t>, such as Ackermann,</w:t>
      </w:r>
      <w:r w:rsidR="00052106" w:rsidRPr="00AB003C">
        <w:rPr>
          <w:sz w:val="24"/>
          <w:szCs w:val="24"/>
        </w:rPr>
        <w:t xml:space="preserve"> note the universalist character of modern constitutions;</w:t>
      </w:r>
      <w:r w:rsidR="00052106" w:rsidRPr="00AB003C">
        <w:rPr>
          <w:rStyle w:val="FootnoteReference"/>
          <w:sz w:val="24"/>
          <w:szCs w:val="24"/>
        </w:rPr>
        <w:footnoteReference w:id="50"/>
      </w:r>
      <w:r w:rsidR="00052106" w:rsidRPr="00AB003C">
        <w:rPr>
          <w:sz w:val="24"/>
          <w:szCs w:val="24"/>
        </w:rPr>
        <w:t xml:space="preserve"> other judges make the more modest claim of commonality between some constitutions.</w:t>
      </w:r>
      <w:r w:rsidR="00052106" w:rsidRPr="00AB003C">
        <w:rPr>
          <w:rStyle w:val="FootnoteReference"/>
          <w:sz w:val="24"/>
          <w:szCs w:val="24"/>
        </w:rPr>
        <w:footnoteReference w:id="51"/>
      </w:r>
      <w:r w:rsidR="00052106" w:rsidRPr="00AB003C">
        <w:rPr>
          <w:sz w:val="24"/>
          <w:szCs w:val="24"/>
        </w:rPr>
        <w:t xml:space="preserve"> These are taken to be preconditions for comparison. Of course, it may transpire that an initial apparent similarity is not real. This is not problematic provided the national court approaches the foreign law with care, bearing in mind that the courts’ role is not simply to resolve great social disputes over liberty, equality and fraternity, but rather to resolve those disputes according to some set of constitutional material.</w:t>
      </w:r>
      <w:r w:rsidR="00052106" w:rsidRPr="00AB003C">
        <w:rPr>
          <w:rStyle w:val="FootnoteReference"/>
          <w:sz w:val="24"/>
          <w:szCs w:val="24"/>
        </w:rPr>
        <w:footnoteReference w:id="52"/>
      </w:r>
      <w:r w:rsidR="00636F1B" w:rsidRPr="00AB003C">
        <w:rPr>
          <w:sz w:val="24"/>
          <w:szCs w:val="24"/>
        </w:rPr>
        <w:t xml:space="preserve"> </w:t>
      </w:r>
      <w:r w:rsidR="0033000F" w:rsidRPr="00AB003C">
        <w:rPr>
          <w:sz w:val="24"/>
          <w:szCs w:val="24"/>
        </w:rPr>
        <w:t xml:space="preserve">This is not to argue that only similarities between jurisdictions are relevant. As noted above, Choudhry and Jackson have both shown how courts can learn from differences as much as similarities. However, there must be a baseline of commonality before comparison is helpful. The constitutional case law of Saudi Arabia is probably not a useful comparator for a western liberal democracy seeking to understand a gender equality issue, and </w:t>
      </w:r>
      <w:r w:rsidR="0033000F" w:rsidRPr="00AB003C">
        <w:rPr>
          <w:i/>
          <w:sz w:val="24"/>
          <w:szCs w:val="24"/>
        </w:rPr>
        <w:t>vice versa</w:t>
      </w:r>
      <w:r w:rsidR="0033000F" w:rsidRPr="00AB003C">
        <w:rPr>
          <w:sz w:val="24"/>
          <w:szCs w:val="24"/>
        </w:rPr>
        <w:t>.</w:t>
      </w:r>
    </w:p>
    <w:p w14:paraId="4605FD33" w14:textId="264E702D" w:rsidR="00052106" w:rsidRDefault="00EE2C9C" w:rsidP="008E5BE1">
      <w:pPr>
        <w:spacing w:line="360" w:lineRule="auto"/>
        <w:ind w:firstLine="720"/>
        <w:jc w:val="both"/>
        <w:rPr>
          <w:sz w:val="24"/>
          <w:szCs w:val="24"/>
        </w:rPr>
      </w:pPr>
      <w:r w:rsidRPr="00AB003C">
        <w:rPr>
          <w:sz w:val="24"/>
          <w:szCs w:val="24"/>
        </w:rPr>
        <w:t>Fourth</w:t>
      </w:r>
      <w:r w:rsidR="00052106" w:rsidRPr="00AB003C">
        <w:rPr>
          <w:sz w:val="24"/>
          <w:szCs w:val="24"/>
        </w:rPr>
        <w:t xml:space="preserve">, </w:t>
      </w:r>
      <w:r w:rsidRPr="00AB003C">
        <w:rPr>
          <w:sz w:val="24"/>
          <w:szCs w:val="24"/>
        </w:rPr>
        <w:t xml:space="preserve">this is a justification for </w:t>
      </w:r>
      <w:r w:rsidR="00052106" w:rsidRPr="00AB003C">
        <w:rPr>
          <w:sz w:val="24"/>
          <w:szCs w:val="24"/>
        </w:rPr>
        <w:t>reciprocal judicial learning</w:t>
      </w:r>
      <w:r w:rsidR="00A826F6" w:rsidRPr="00AB003C">
        <w:rPr>
          <w:sz w:val="24"/>
          <w:szCs w:val="24"/>
        </w:rPr>
        <w:t xml:space="preserve"> and cross-jurisdictional comparison,</w:t>
      </w:r>
      <w:r w:rsidR="00052106" w:rsidRPr="00AB003C">
        <w:rPr>
          <w:sz w:val="24"/>
          <w:szCs w:val="24"/>
        </w:rPr>
        <w:t xml:space="preserve"> but not </w:t>
      </w:r>
      <w:r w:rsidR="00A826F6" w:rsidRPr="00AB003C">
        <w:rPr>
          <w:sz w:val="24"/>
          <w:szCs w:val="24"/>
        </w:rPr>
        <w:t xml:space="preserve">for inter-jurisdictional </w:t>
      </w:r>
      <w:r w:rsidR="00052106" w:rsidRPr="00AB003C">
        <w:rPr>
          <w:sz w:val="24"/>
          <w:szCs w:val="24"/>
        </w:rPr>
        <w:t xml:space="preserve">judicial dialogue. As discussed above, the term ‘judicial dialogue’ is generally </w:t>
      </w:r>
      <w:r w:rsidR="0033000F" w:rsidRPr="00AB003C">
        <w:rPr>
          <w:sz w:val="24"/>
          <w:szCs w:val="24"/>
        </w:rPr>
        <w:t xml:space="preserve">taken to mean </w:t>
      </w:r>
      <w:r w:rsidR="00052106" w:rsidRPr="00AB003C">
        <w:rPr>
          <w:sz w:val="24"/>
          <w:szCs w:val="24"/>
        </w:rPr>
        <w:t>reciprocal judicial learning</w:t>
      </w:r>
      <w:r w:rsidR="0030706A" w:rsidRPr="00AB003C">
        <w:rPr>
          <w:sz w:val="24"/>
          <w:szCs w:val="24"/>
        </w:rPr>
        <w:t xml:space="preserve"> or a process of the court scrutinising its own legal material in the light of the positions adopted in foreign law</w:t>
      </w:r>
      <w:r w:rsidR="00052106" w:rsidRPr="00AB003C">
        <w:rPr>
          <w:sz w:val="24"/>
          <w:szCs w:val="24"/>
        </w:rPr>
        <w:t xml:space="preserve">. However, some academic literature and extra-judicial writing encourages judges to engage in </w:t>
      </w:r>
      <w:r w:rsidRPr="00AB003C">
        <w:rPr>
          <w:sz w:val="24"/>
          <w:szCs w:val="24"/>
        </w:rPr>
        <w:t xml:space="preserve">judicial </w:t>
      </w:r>
      <w:r w:rsidR="00052106" w:rsidRPr="00AB003C">
        <w:rPr>
          <w:sz w:val="24"/>
          <w:szCs w:val="24"/>
        </w:rPr>
        <w:t>dialogue</w:t>
      </w:r>
      <w:r w:rsidR="0033000F" w:rsidRPr="00AB003C">
        <w:rPr>
          <w:sz w:val="24"/>
          <w:szCs w:val="24"/>
        </w:rPr>
        <w:t xml:space="preserve"> in the sense of speaking directly to foreign courts</w:t>
      </w:r>
      <w:r w:rsidR="00052106" w:rsidRPr="00AB003C">
        <w:rPr>
          <w:sz w:val="24"/>
          <w:szCs w:val="24"/>
        </w:rPr>
        <w:t>. Markesinis and Fedtke muse:</w:t>
      </w:r>
    </w:p>
    <w:p w14:paraId="4A61FA12" w14:textId="77777777" w:rsidR="008E5BE1" w:rsidRPr="00AB003C" w:rsidRDefault="008E5BE1" w:rsidP="008E5BE1">
      <w:pPr>
        <w:spacing w:line="360" w:lineRule="auto"/>
        <w:ind w:firstLine="720"/>
        <w:jc w:val="both"/>
        <w:rPr>
          <w:sz w:val="24"/>
          <w:szCs w:val="24"/>
        </w:rPr>
      </w:pPr>
    </w:p>
    <w:p w14:paraId="6ECF77FF" w14:textId="77777777" w:rsidR="00052106" w:rsidRDefault="00052106" w:rsidP="008E5BE1">
      <w:pPr>
        <w:spacing w:line="360" w:lineRule="auto"/>
        <w:ind w:left="720"/>
        <w:jc w:val="both"/>
        <w:rPr>
          <w:sz w:val="24"/>
          <w:szCs w:val="24"/>
        </w:rPr>
      </w:pPr>
      <w:r w:rsidRPr="00AB003C">
        <w:rPr>
          <w:sz w:val="24"/>
          <w:szCs w:val="24"/>
        </w:rPr>
        <w:t>it is permissible to speculate as to whether, notwithstanding past practice, in the years to come foreign courts may turn more and more towards those sister courts which prove themselves to be the richest source of inspiration while at the same time openly fashioning solutions that are exportable and do not depend-and are clearly stated not to depend-on the text of one constitution alone, however famous (and old) it may be.</w:t>
      </w:r>
      <w:bookmarkStart w:id="21" w:name="_Ref259877027"/>
      <w:r w:rsidRPr="00AB003C">
        <w:rPr>
          <w:rStyle w:val="FootnoteReference"/>
          <w:sz w:val="24"/>
          <w:szCs w:val="24"/>
        </w:rPr>
        <w:footnoteReference w:id="53"/>
      </w:r>
      <w:bookmarkEnd w:id="21"/>
    </w:p>
    <w:p w14:paraId="2BC35E01" w14:textId="77777777" w:rsidR="008E5BE1" w:rsidRPr="00AB003C" w:rsidRDefault="008E5BE1" w:rsidP="008E5BE1">
      <w:pPr>
        <w:spacing w:line="360" w:lineRule="auto"/>
        <w:ind w:left="720"/>
        <w:jc w:val="both"/>
        <w:rPr>
          <w:sz w:val="24"/>
          <w:szCs w:val="24"/>
        </w:rPr>
      </w:pPr>
    </w:p>
    <w:p w14:paraId="653881B9" w14:textId="1FEBB790" w:rsidR="00923F68" w:rsidRDefault="000D2FAC" w:rsidP="008E5BE1">
      <w:pPr>
        <w:spacing w:line="360" w:lineRule="auto"/>
        <w:ind w:firstLine="720"/>
        <w:jc w:val="both"/>
        <w:rPr>
          <w:sz w:val="24"/>
          <w:szCs w:val="24"/>
        </w:rPr>
      </w:pPr>
      <w:r w:rsidRPr="00AB003C">
        <w:rPr>
          <w:sz w:val="24"/>
          <w:szCs w:val="24"/>
        </w:rPr>
        <w:t>Some see the promotion of judicial dialogue as justification for having regard to foreign law. Slaughter argues that judges perceive themselves as engaged in a common endeavour that transcends national boundaries – this ‘creates an incentive to both lender and borrower be.’</w:t>
      </w:r>
      <w:r w:rsidRPr="00AB003C">
        <w:rPr>
          <w:rStyle w:val="FootnoteReference"/>
          <w:sz w:val="24"/>
          <w:szCs w:val="24"/>
        </w:rPr>
        <w:footnoteReference w:id="54"/>
      </w:r>
      <w:r w:rsidRPr="00AB003C">
        <w:rPr>
          <w:sz w:val="24"/>
          <w:szCs w:val="24"/>
        </w:rPr>
        <w:t xml:space="preserve"> O’Connor </w:t>
      </w:r>
      <w:r w:rsidR="00C1414F" w:rsidRPr="00AB003C">
        <w:rPr>
          <w:sz w:val="24"/>
          <w:szCs w:val="24"/>
        </w:rPr>
        <w:t xml:space="preserve">offers a justification for judicial dialogue </w:t>
      </w:r>
      <w:r w:rsidRPr="00AB003C">
        <w:rPr>
          <w:sz w:val="24"/>
          <w:szCs w:val="24"/>
        </w:rPr>
        <w:t>by suggesting that the US courts should cite foreign case law in order to create ‘</w:t>
      </w:r>
      <w:r w:rsidRPr="00AB003C">
        <w:rPr>
          <w:sz w:val="24"/>
          <w:szCs w:val="24"/>
          <w:lang w:val="en-US"/>
        </w:rPr>
        <w:t>that all-important good impression’ and enhance the ability of the US to act as a rule-of-law model for other nations.</w:t>
      </w:r>
      <w:bookmarkStart w:id="22" w:name="_Ref230005149"/>
      <w:r w:rsidRPr="00AB003C">
        <w:rPr>
          <w:rStyle w:val="FootnoteReference"/>
          <w:sz w:val="24"/>
          <w:szCs w:val="24"/>
          <w:lang w:val="en-US"/>
        </w:rPr>
        <w:footnoteReference w:id="55"/>
      </w:r>
      <w:bookmarkEnd w:id="22"/>
      <w:r w:rsidRPr="00AB003C">
        <w:rPr>
          <w:sz w:val="24"/>
          <w:szCs w:val="24"/>
          <w:lang w:val="en-US"/>
        </w:rPr>
        <w:t xml:space="preserve"> </w:t>
      </w:r>
      <w:r w:rsidR="00243278" w:rsidRPr="00AB003C">
        <w:rPr>
          <w:sz w:val="24"/>
          <w:szCs w:val="24"/>
          <w:lang w:val="en-US"/>
        </w:rPr>
        <w:t xml:space="preserve">Similarly, </w:t>
      </w:r>
      <w:r w:rsidR="00243278" w:rsidRPr="00AB003C">
        <w:rPr>
          <w:sz w:val="24"/>
          <w:szCs w:val="24"/>
        </w:rPr>
        <w:t>Breyer has suggested that the US Supreme Court should refer to judicial decisions in emerging democracies in order to bolster those democracies.</w:t>
      </w:r>
      <w:r w:rsidR="00243278" w:rsidRPr="00AB003C">
        <w:rPr>
          <w:rStyle w:val="FootnoteReference"/>
          <w:sz w:val="24"/>
          <w:szCs w:val="24"/>
        </w:rPr>
        <w:footnoteReference w:id="56"/>
      </w:r>
      <w:r w:rsidR="00243278" w:rsidRPr="00AB003C">
        <w:rPr>
          <w:sz w:val="24"/>
          <w:szCs w:val="24"/>
        </w:rPr>
        <w:t xml:space="preserve"> </w:t>
      </w:r>
      <w:r w:rsidR="00C1414F" w:rsidRPr="00AB003C">
        <w:rPr>
          <w:sz w:val="24"/>
          <w:szCs w:val="24"/>
          <w:lang w:val="en-US"/>
        </w:rPr>
        <w:t xml:space="preserve">Although these are noble sentiments, they are inconsistent with </w:t>
      </w:r>
      <w:r w:rsidR="00923F68">
        <w:rPr>
          <w:sz w:val="24"/>
          <w:szCs w:val="24"/>
          <w:lang w:val="en-US"/>
        </w:rPr>
        <w:t xml:space="preserve">the very basis on which foreign law can be treated as theoretically authoritative in the first instance. </w:t>
      </w:r>
      <w:r w:rsidR="00243278" w:rsidRPr="00AB003C">
        <w:rPr>
          <w:sz w:val="24"/>
          <w:szCs w:val="24"/>
        </w:rPr>
        <w:t xml:space="preserve">Paying attention to how her judgment will be received in foreign countries introduces a tension with the judge’s primary obligation to decide a case based on norms democratically endorsed in her own legal system for the benefit of the litigants and her own community. The tension may well be resolved in favour of the judge’s primary obligation (as indeed was the case in Justice O’Connor’s judgment in </w:t>
      </w:r>
      <w:r w:rsidR="00243278" w:rsidRPr="00AB003C">
        <w:rPr>
          <w:i/>
          <w:sz w:val="24"/>
          <w:szCs w:val="24"/>
        </w:rPr>
        <w:t>Roper v Simmons</w:t>
      </w:r>
      <w:r w:rsidR="00243278" w:rsidRPr="00AB003C">
        <w:rPr>
          <w:sz w:val="24"/>
          <w:szCs w:val="24"/>
        </w:rPr>
        <w:t xml:space="preserve"> discussed above), but it would be far better if the tension were not introduced in the first place. </w:t>
      </w:r>
      <w:r w:rsidR="00923F68">
        <w:rPr>
          <w:sz w:val="24"/>
          <w:szCs w:val="24"/>
        </w:rPr>
        <w:t xml:space="preserve">The theoretical authority of </w:t>
      </w:r>
      <w:r w:rsidR="00640EF7">
        <w:rPr>
          <w:sz w:val="24"/>
          <w:szCs w:val="24"/>
        </w:rPr>
        <w:t xml:space="preserve">country A’s </w:t>
      </w:r>
      <w:r w:rsidR="00923F68">
        <w:rPr>
          <w:sz w:val="24"/>
          <w:szCs w:val="24"/>
        </w:rPr>
        <w:t>case law for the judges in country B depends on that case law being an attempt to resolve a dispute in country A not an attempt to fashion a cosmopolitan value for export to country B.</w:t>
      </w:r>
    </w:p>
    <w:p w14:paraId="0C2EEF69" w14:textId="77777777" w:rsidR="00052106" w:rsidRPr="00AB003C" w:rsidRDefault="00052106" w:rsidP="008E5BE1">
      <w:pPr>
        <w:spacing w:line="360" w:lineRule="auto"/>
        <w:jc w:val="both"/>
        <w:rPr>
          <w:sz w:val="24"/>
          <w:szCs w:val="24"/>
        </w:rPr>
      </w:pPr>
    </w:p>
    <w:p w14:paraId="7FA33D72" w14:textId="0B2E5A08" w:rsidR="00052106" w:rsidRPr="008E5BE1" w:rsidRDefault="008E5BE1" w:rsidP="008E5BE1">
      <w:pPr>
        <w:spacing w:line="360" w:lineRule="auto"/>
        <w:jc w:val="both"/>
        <w:rPr>
          <w:b/>
          <w:sz w:val="24"/>
          <w:szCs w:val="24"/>
        </w:rPr>
      </w:pPr>
      <w:r>
        <w:rPr>
          <w:b/>
          <w:sz w:val="24"/>
          <w:szCs w:val="24"/>
        </w:rPr>
        <w:t>V:</w:t>
      </w:r>
      <w:r w:rsidR="003B05CF" w:rsidRPr="008E5BE1">
        <w:rPr>
          <w:b/>
          <w:sz w:val="24"/>
          <w:szCs w:val="24"/>
        </w:rPr>
        <w:t xml:space="preserve"> </w:t>
      </w:r>
      <w:r w:rsidRPr="008E5BE1">
        <w:rPr>
          <w:b/>
          <w:sz w:val="24"/>
          <w:szCs w:val="24"/>
        </w:rPr>
        <w:t>The dangers of treating foreign case law as authoritative</w:t>
      </w:r>
    </w:p>
    <w:p w14:paraId="3479485C" w14:textId="4747570D" w:rsidR="00052106" w:rsidRPr="00AB003C" w:rsidRDefault="00052106" w:rsidP="008E5BE1">
      <w:pPr>
        <w:spacing w:line="360" w:lineRule="auto"/>
        <w:jc w:val="both"/>
        <w:rPr>
          <w:sz w:val="24"/>
          <w:szCs w:val="24"/>
        </w:rPr>
      </w:pPr>
      <w:r w:rsidRPr="00AB003C">
        <w:rPr>
          <w:sz w:val="24"/>
          <w:szCs w:val="24"/>
        </w:rPr>
        <w:t xml:space="preserve">There is </w:t>
      </w:r>
      <w:r w:rsidR="00640EF7">
        <w:rPr>
          <w:sz w:val="24"/>
          <w:szCs w:val="24"/>
        </w:rPr>
        <w:t xml:space="preserve">therefore </w:t>
      </w:r>
      <w:r w:rsidRPr="00AB003C">
        <w:rPr>
          <w:sz w:val="24"/>
          <w:szCs w:val="24"/>
        </w:rPr>
        <w:t xml:space="preserve">a </w:t>
      </w:r>
      <w:r w:rsidRPr="00AB003C">
        <w:rPr>
          <w:i/>
          <w:sz w:val="24"/>
          <w:szCs w:val="24"/>
        </w:rPr>
        <w:t xml:space="preserve">pro tanto </w:t>
      </w:r>
      <w:r w:rsidRPr="00AB003C">
        <w:rPr>
          <w:sz w:val="24"/>
          <w:szCs w:val="24"/>
        </w:rPr>
        <w:t>justification for judges treating foreign case law as theoretically authoritative, subject to significant limits that flow from the nature of th</w:t>
      </w:r>
      <w:r w:rsidR="00212B03" w:rsidRPr="00AB003C">
        <w:rPr>
          <w:sz w:val="24"/>
          <w:szCs w:val="24"/>
        </w:rPr>
        <w:t>e justification itself</w:t>
      </w:r>
      <w:r w:rsidRPr="00AB003C">
        <w:rPr>
          <w:sz w:val="24"/>
          <w:szCs w:val="24"/>
        </w:rPr>
        <w:t xml:space="preserve">. However, there are also two counter-arguments that tend to undermine the force of that justificatory argument. The first turns on the selection criteria to be applied when deciding which foreign case law to refer to. The import of the justification for treating foreign case law as </w:t>
      </w:r>
      <w:r w:rsidR="00212B03" w:rsidRPr="00AB003C">
        <w:rPr>
          <w:sz w:val="24"/>
          <w:szCs w:val="24"/>
        </w:rPr>
        <w:t xml:space="preserve">theoretically </w:t>
      </w:r>
      <w:r w:rsidRPr="00AB003C">
        <w:rPr>
          <w:sz w:val="24"/>
          <w:szCs w:val="24"/>
        </w:rPr>
        <w:t xml:space="preserve">authoritative in the first instance is that the judgments of all courts that share those desirable structural requirements are </w:t>
      </w:r>
      <w:r w:rsidRPr="00AB003C">
        <w:rPr>
          <w:i/>
          <w:sz w:val="24"/>
          <w:szCs w:val="24"/>
        </w:rPr>
        <w:t xml:space="preserve">equally </w:t>
      </w:r>
      <w:r w:rsidRPr="00AB003C">
        <w:rPr>
          <w:sz w:val="24"/>
          <w:szCs w:val="24"/>
        </w:rPr>
        <w:t>theoretically authoritative. If only some of those courts are referred to, what selection principle is used? The national court will probably do one of two things: reach for those foreign cases that are most easily available (presumably those available on the internet with a version in the judge’s own language, ideally from a legal system with which the judge has some familiarity) or seek out those cases that support the conclusion that the judge wishes to reach.</w:t>
      </w:r>
      <w:bookmarkStart w:id="23" w:name="_Ref228847407"/>
      <w:r w:rsidRPr="00AB003C">
        <w:rPr>
          <w:rStyle w:val="FootnoteReference"/>
          <w:sz w:val="24"/>
          <w:szCs w:val="24"/>
        </w:rPr>
        <w:footnoteReference w:id="57"/>
      </w:r>
      <w:bookmarkEnd w:id="23"/>
      <w:r w:rsidRPr="00AB003C">
        <w:rPr>
          <w:sz w:val="24"/>
          <w:szCs w:val="24"/>
        </w:rPr>
        <w:t xml:space="preserve"> Either way, there is a significant bias in the selection principle. It could be argued that if judges behave with such intellectual dishonesty, there is a general problem of judicial ethics not peculiar to the foreign law debate. However, the particular way in which foreign case law is treated as theoretically authoritative means that the concerns remain valid. Because foreign case law, on account of its theoretical authority, has some force independent of its ability to persuade (unlike other non-binding sources), a selected set of foreign case law is likely to be treated as more relevant than the intrinsic merit of the arguments contained in that case law would suggest. </w:t>
      </w:r>
      <w:r w:rsidR="005A2D7D" w:rsidRPr="00AB003C">
        <w:rPr>
          <w:sz w:val="24"/>
          <w:szCs w:val="24"/>
        </w:rPr>
        <w:t>The manner in which it is selected therefore remains critical.</w:t>
      </w:r>
    </w:p>
    <w:p w14:paraId="2BD9B456" w14:textId="13FFDCA9" w:rsidR="00052106" w:rsidRPr="00AB003C" w:rsidRDefault="00052106" w:rsidP="008E5BE1">
      <w:pPr>
        <w:spacing w:line="360" w:lineRule="auto"/>
        <w:ind w:firstLine="720"/>
        <w:jc w:val="both"/>
        <w:rPr>
          <w:sz w:val="24"/>
          <w:szCs w:val="24"/>
        </w:rPr>
      </w:pPr>
      <w:r w:rsidRPr="00AB003C">
        <w:rPr>
          <w:sz w:val="24"/>
          <w:szCs w:val="24"/>
        </w:rPr>
        <w:t>The second counter-argument turns on the difficulty of properly understanding the laws of a foreign legal system. In this regard, Jackson has helpfully coined the phrase ‘bilegalism.’</w:t>
      </w:r>
      <w:r w:rsidRPr="00AB003C">
        <w:rPr>
          <w:rStyle w:val="FootnoteReference"/>
          <w:sz w:val="24"/>
          <w:szCs w:val="24"/>
        </w:rPr>
        <w:footnoteReference w:id="58"/>
      </w:r>
      <w:r w:rsidRPr="00AB003C">
        <w:rPr>
          <w:sz w:val="24"/>
          <w:szCs w:val="24"/>
        </w:rPr>
        <w:t xml:space="preserve"> In order to understand the case law of a foreign legal system, it is necessary to understand both the surrounding legal context and the legal culture in which it is placed. Behind most constitutional judgments lie layers of assumptions about the constitutional text, precedent cases and attitudes to judicial deference. These are difficult enough to gauge when one has spent a professional life studying that legal context and living in that legal culture. It is far more difficult when one is an occasional visitor to a legal system. Various strategies have been suggested to counteract this problem. Law Schools could become more proficient at teaching comparative law; lawyers and judges would become more versed in the laws of foreign legal systems; academia could be called on to provide evidence as to the law in foreign countries.</w:t>
      </w:r>
      <w:r w:rsidRPr="00AB003C">
        <w:rPr>
          <w:rStyle w:val="FootnoteReference"/>
          <w:sz w:val="24"/>
          <w:szCs w:val="24"/>
        </w:rPr>
        <w:footnoteReference w:id="59"/>
      </w:r>
      <w:r w:rsidRPr="00AB003C">
        <w:rPr>
          <w:sz w:val="24"/>
          <w:szCs w:val="24"/>
        </w:rPr>
        <w:t xml:space="preserve"> As admirable as these developments might be, they seem either impractical or excessively costly. Law students would not have to study comparative law so much as the foreign law of many other legal systems (at least 40 or 50 if the selection bias principle is not to be replicated). The knowledge base of many lawyers largely crystallizes, outside their areas of practice, at the point at which they completed formal education. There is little reason to think that this would be different in relation to the laws of other legal systems, which would remain unconsidered until the lawyer was involved in relevant litigation. To ensure accurate and properly tested evidence of foreign law would be costly both in terms of preparation and court time. The prospect of reaching a better judgment scarcely justifies the delay and expense.</w:t>
      </w:r>
      <w:r w:rsidRPr="00AB003C">
        <w:rPr>
          <w:rStyle w:val="FootnoteReference"/>
          <w:sz w:val="24"/>
          <w:szCs w:val="24"/>
        </w:rPr>
        <w:footnoteReference w:id="60"/>
      </w:r>
      <w:r w:rsidRPr="00AB003C">
        <w:rPr>
          <w:sz w:val="24"/>
          <w:szCs w:val="24"/>
        </w:rPr>
        <w:t xml:space="preserve"> The cost implications might instead lead to the task not being done properly, reintroducing the problem of selection criteria.</w:t>
      </w:r>
    </w:p>
    <w:p w14:paraId="133BADDE" w14:textId="74BC5A1B" w:rsidR="00052106" w:rsidRPr="00AB003C" w:rsidRDefault="005A2D7D" w:rsidP="008E5BE1">
      <w:pPr>
        <w:spacing w:line="360" w:lineRule="auto"/>
        <w:ind w:firstLine="720"/>
        <w:jc w:val="both"/>
        <w:rPr>
          <w:sz w:val="24"/>
          <w:szCs w:val="24"/>
        </w:rPr>
      </w:pPr>
      <w:r w:rsidRPr="00AB003C">
        <w:rPr>
          <w:sz w:val="24"/>
          <w:szCs w:val="24"/>
        </w:rPr>
        <w:t xml:space="preserve">The general justification for treating foreign case law as theoretically authoritative is undermined by these two counter-arguments. However, the </w:t>
      </w:r>
      <w:r w:rsidR="00052106" w:rsidRPr="00AB003C">
        <w:rPr>
          <w:sz w:val="24"/>
          <w:szCs w:val="24"/>
        </w:rPr>
        <w:t>counter-arguments are contingent. In a particular case, a judge might employ a reasonable selection principle. In a particular case, a judge might know enough of the foreign legal system properly to understand the case in question. Nevertheless, the</w:t>
      </w:r>
      <w:r w:rsidRPr="00AB003C">
        <w:rPr>
          <w:sz w:val="24"/>
          <w:szCs w:val="24"/>
        </w:rPr>
        <w:t xml:space="preserve">re is good reason to consider that these contingencies are likely to occur. </w:t>
      </w:r>
      <w:r w:rsidR="00052106" w:rsidRPr="00AB003C">
        <w:rPr>
          <w:sz w:val="24"/>
          <w:szCs w:val="24"/>
        </w:rPr>
        <w:t>Ultimately, the question of whether reference to foreign law is appropriate is highly context-specific. The desirability of referring to foreign law is a function of two factors: the limits of the justification for referring to foreign case law at all and the strength of the considerations militating against reference.</w:t>
      </w:r>
      <w:r w:rsidR="00A826F6" w:rsidRPr="00AB003C">
        <w:rPr>
          <w:rStyle w:val="FootnoteReference"/>
          <w:sz w:val="24"/>
          <w:szCs w:val="24"/>
        </w:rPr>
        <w:footnoteReference w:id="61"/>
      </w:r>
      <w:r w:rsidR="00052106" w:rsidRPr="00AB003C">
        <w:rPr>
          <w:sz w:val="24"/>
          <w:szCs w:val="24"/>
        </w:rPr>
        <w:t xml:space="preserve"> </w:t>
      </w:r>
      <w:r w:rsidR="00A826F6" w:rsidRPr="00AB003C">
        <w:rPr>
          <w:sz w:val="24"/>
          <w:szCs w:val="24"/>
        </w:rPr>
        <w:t xml:space="preserve">These </w:t>
      </w:r>
      <w:r w:rsidR="00052106" w:rsidRPr="00AB003C">
        <w:rPr>
          <w:sz w:val="24"/>
          <w:szCs w:val="24"/>
        </w:rPr>
        <w:t>considerations will vary from case to case. The purpose of this article is not to offer a set of bright-line rules, but a number of general points may be made.</w:t>
      </w:r>
    </w:p>
    <w:p w14:paraId="7389C67B" w14:textId="4498ED4B" w:rsidR="00052106" w:rsidRPr="00AB003C" w:rsidRDefault="00052106" w:rsidP="008E5BE1">
      <w:pPr>
        <w:spacing w:line="360" w:lineRule="auto"/>
        <w:ind w:firstLine="720"/>
        <w:jc w:val="both"/>
        <w:rPr>
          <w:sz w:val="24"/>
          <w:szCs w:val="24"/>
        </w:rPr>
      </w:pPr>
      <w:r w:rsidRPr="00AB003C">
        <w:rPr>
          <w:sz w:val="24"/>
          <w:szCs w:val="24"/>
        </w:rPr>
        <w:t xml:space="preserve">First, </w:t>
      </w:r>
      <w:r w:rsidR="00171775" w:rsidRPr="00AB003C">
        <w:rPr>
          <w:sz w:val="24"/>
          <w:szCs w:val="24"/>
        </w:rPr>
        <w:t xml:space="preserve">most </w:t>
      </w:r>
      <w:r w:rsidRPr="00AB003C">
        <w:rPr>
          <w:sz w:val="24"/>
          <w:szCs w:val="24"/>
        </w:rPr>
        <w:t>constitutions are both contingent and universalist in character. Where a foreign constitution is a contingent response to a local problem, reference to its case law is less appropriate. Where a foreign constitution commits itself to a universal ideal shared by the national constitution, reference to its case law is more appropriate. Many commentators have suggested that reference to foreign law is inappropriate in cases concerning federalism and distribution of governmental powers. Jackson argues that constitutional provisions about federalism are more likely to be the result of historic compromise.</w:t>
      </w:r>
      <w:r w:rsidRPr="00AB003C">
        <w:rPr>
          <w:rStyle w:val="FootnoteReference"/>
          <w:sz w:val="24"/>
          <w:szCs w:val="24"/>
        </w:rPr>
        <w:footnoteReference w:id="62"/>
      </w:r>
      <w:r w:rsidR="00F6088F" w:rsidRPr="00AB003C">
        <w:rPr>
          <w:sz w:val="24"/>
          <w:szCs w:val="24"/>
        </w:rPr>
        <w:t xml:space="preserve"> Kent</w:t>
      </w:r>
      <w:r w:rsidRPr="00AB003C">
        <w:rPr>
          <w:sz w:val="24"/>
          <w:szCs w:val="24"/>
        </w:rPr>
        <w:t>ridge has commented that ‘separation of powers’ is an international catchphrase but it means different things in different counties.</w:t>
      </w:r>
      <w:bookmarkStart w:id="24" w:name="_Ref259612296"/>
      <w:r w:rsidRPr="00AB003C">
        <w:rPr>
          <w:rStyle w:val="FootnoteReference"/>
          <w:sz w:val="24"/>
          <w:szCs w:val="24"/>
        </w:rPr>
        <w:footnoteReference w:id="63"/>
      </w:r>
      <w:bookmarkEnd w:id="24"/>
      <w:r w:rsidRPr="00AB003C">
        <w:rPr>
          <w:sz w:val="24"/>
          <w:szCs w:val="24"/>
        </w:rPr>
        <w:t xml:space="preserve"> Conversely, most agree that the more universalist human rights provisions provide a better case for comparison. This cannot be simply assumed, however, and should be verified. For example, in one sense, both the US</w:t>
      </w:r>
      <w:r w:rsidR="00171775" w:rsidRPr="00AB003C">
        <w:rPr>
          <w:sz w:val="24"/>
          <w:szCs w:val="24"/>
        </w:rPr>
        <w:t xml:space="preserve"> Constitution</w:t>
      </w:r>
      <w:r w:rsidRPr="00AB003C">
        <w:rPr>
          <w:sz w:val="24"/>
          <w:szCs w:val="24"/>
        </w:rPr>
        <w:t xml:space="preserve"> and the </w:t>
      </w:r>
      <w:r w:rsidR="00171775" w:rsidRPr="00AB003C">
        <w:rPr>
          <w:sz w:val="24"/>
          <w:szCs w:val="24"/>
        </w:rPr>
        <w:t xml:space="preserve">ECHR </w:t>
      </w:r>
      <w:r w:rsidR="00D37FB5" w:rsidRPr="00AB003C">
        <w:rPr>
          <w:sz w:val="24"/>
          <w:szCs w:val="24"/>
        </w:rPr>
        <w:t xml:space="preserve">protect property rights. But </w:t>
      </w:r>
      <w:r w:rsidRPr="00AB003C">
        <w:rPr>
          <w:sz w:val="24"/>
          <w:szCs w:val="24"/>
        </w:rPr>
        <w:t xml:space="preserve">a prohibition on the taking of private property for public use without just compensation </w:t>
      </w:r>
      <w:r w:rsidR="00D37FB5" w:rsidRPr="00AB003C">
        <w:rPr>
          <w:sz w:val="24"/>
          <w:szCs w:val="24"/>
        </w:rPr>
        <w:t xml:space="preserve">cannot be assumed to be </w:t>
      </w:r>
      <w:r w:rsidRPr="00AB003C">
        <w:rPr>
          <w:sz w:val="24"/>
          <w:szCs w:val="24"/>
        </w:rPr>
        <w:t>the same as a</w:t>
      </w:r>
      <w:r w:rsidR="00171775" w:rsidRPr="00AB003C">
        <w:rPr>
          <w:sz w:val="24"/>
          <w:szCs w:val="24"/>
        </w:rPr>
        <w:t>n entitlement to the peaceful enjoyment of possessions</w:t>
      </w:r>
      <w:r w:rsidR="00D37FB5" w:rsidRPr="00AB003C">
        <w:rPr>
          <w:sz w:val="24"/>
          <w:szCs w:val="24"/>
        </w:rPr>
        <w:t xml:space="preserve">, subject to various exceptions. Any reliance on foreign case law must therefore take great care to ensure that like is being compared with like and/or that lessons are </w:t>
      </w:r>
      <w:r w:rsidR="00A826F6" w:rsidRPr="00AB003C">
        <w:rPr>
          <w:sz w:val="24"/>
          <w:szCs w:val="24"/>
        </w:rPr>
        <w:t xml:space="preserve">only </w:t>
      </w:r>
      <w:r w:rsidR="00D37FB5" w:rsidRPr="00AB003C">
        <w:rPr>
          <w:sz w:val="24"/>
          <w:szCs w:val="24"/>
        </w:rPr>
        <w:t xml:space="preserve">being drawn from relevant differences. </w:t>
      </w:r>
      <w:r w:rsidRPr="00AB003C">
        <w:rPr>
          <w:sz w:val="24"/>
          <w:szCs w:val="24"/>
        </w:rPr>
        <w:t xml:space="preserve"> </w:t>
      </w:r>
    </w:p>
    <w:p w14:paraId="1D99978E" w14:textId="2CD63A0C" w:rsidR="00D37FB5" w:rsidRPr="00AB003C" w:rsidRDefault="00052106" w:rsidP="008E5BE1">
      <w:pPr>
        <w:spacing w:line="360" w:lineRule="auto"/>
        <w:ind w:firstLine="720"/>
        <w:jc w:val="both"/>
        <w:rPr>
          <w:sz w:val="24"/>
          <w:szCs w:val="24"/>
        </w:rPr>
      </w:pPr>
      <w:r w:rsidRPr="00AB003C">
        <w:rPr>
          <w:sz w:val="24"/>
          <w:szCs w:val="24"/>
        </w:rPr>
        <w:t xml:space="preserve">Second, the most appropriate type of constitutional case for reference to foreign law is one of judicial method. The processes of constitutional litigation produce problems that are generally unanticipated in the constitutional text and </w:t>
      </w:r>
      <w:r w:rsidR="00D37FB5" w:rsidRPr="00AB003C">
        <w:rPr>
          <w:sz w:val="24"/>
          <w:szCs w:val="24"/>
        </w:rPr>
        <w:t>best seen as technocratic lawyering issues. The two most obvious of these are questions of standing and the effects of a declaration of unconstitutionality. In this type of case, the problems of misunderstanding are lowest</w:t>
      </w:r>
      <w:r w:rsidR="008276A0" w:rsidRPr="00AB003C">
        <w:rPr>
          <w:sz w:val="24"/>
          <w:szCs w:val="24"/>
        </w:rPr>
        <w:t xml:space="preserve"> and it is safest to take the foreign case law at face value. There can still be latent differences, however. Federalism may affect the foreign court’s judicial review power in unanticipated ways. A textual ‘case or controversy’ provision may imply a stricter approach to standing. Limitation issues, particularly given the widespread adoption of ‘proportionality’ tests, might be thought a safe arena in which to learn from foreign case law. However, in this context, judicial attitudes of deference to elected organs of government are most important and also most difficult to identify. These attitudes are seldom discernible from the explicit comments of judges in any one case but rather can only be identified with a thorough-going knowledge not only of constitutional case law but also the unspoken norms and conventions that govern a particular legal community.</w:t>
      </w:r>
      <w:r w:rsidR="00640EF7">
        <w:rPr>
          <w:rStyle w:val="FootnoteReference"/>
          <w:sz w:val="24"/>
          <w:szCs w:val="24"/>
        </w:rPr>
        <w:footnoteReference w:id="64"/>
      </w:r>
      <w:r w:rsidR="008276A0" w:rsidRPr="00AB003C">
        <w:rPr>
          <w:sz w:val="24"/>
          <w:szCs w:val="24"/>
        </w:rPr>
        <w:t xml:space="preserve"> Learning from foreign case law is at its most fraught in this context and should be avoided.</w:t>
      </w:r>
    </w:p>
    <w:p w14:paraId="483FA286" w14:textId="65A284DE" w:rsidR="00052106" w:rsidRPr="00AB003C" w:rsidRDefault="00052106" w:rsidP="008E5BE1">
      <w:pPr>
        <w:spacing w:line="360" w:lineRule="auto"/>
        <w:ind w:firstLine="720"/>
        <w:jc w:val="both"/>
        <w:rPr>
          <w:sz w:val="24"/>
          <w:szCs w:val="24"/>
        </w:rPr>
      </w:pPr>
      <w:r w:rsidRPr="00AB003C">
        <w:rPr>
          <w:sz w:val="24"/>
          <w:szCs w:val="24"/>
        </w:rPr>
        <w:t>Third, where there are genealogical connections between different constitutions, the similarity between the provisions is likely to be greater and the justification for having regard to foreign law stronger. For instance, where the judicial committee of the Privy Council interpreted the constitutions of former colonies – all drafted on similar lines – cross-comparison of the case law from the different jurisdictions was appropriate.</w:t>
      </w:r>
      <w:r w:rsidRPr="00AB003C">
        <w:rPr>
          <w:rStyle w:val="FootnoteReference"/>
          <w:sz w:val="24"/>
          <w:szCs w:val="24"/>
        </w:rPr>
        <w:footnoteReference w:id="65"/>
      </w:r>
      <w:r w:rsidR="00FC32B9" w:rsidRPr="00AB003C">
        <w:rPr>
          <w:sz w:val="24"/>
          <w:szCs w:val="24"/>
        </w:rPr>
        <w:t xml:space="preserve"> The same applies where constitutions share provisions derived from the Universal Declaration of Human Rights and mediated through the ICCPR or ECHR.</w:t>
      </w:r>
      <w:r w:rsidR="00FC32B9" w:rsidRPr="00AB003C">
        <w:rPr>
          <w:rStyle w:val="FootnoteReference"/>
          <w:sz w:val="24"/>
          <w:szCs w:val="24"/>
        </w:rPr>
        <w:footnoteReference w:id="66"/>
      </w:r>
      <w:r w:rsidR="00FC32B9" w:rsidRPr="00AB003C">
        <w:rPr>
          <w:sz w:val="24"/>
          <w:szCs w:val="24"/>
        </w:rPr>
        <w:t xml:space="preserve"> Nevertheless, over time each country’s approach may have become encrusted with different judicial attitude</w:t>
      </w:r>
      <w:r w:rsidR="006D4922" w:rsidRPr="00AB003C">
        <w:rPr>
          <w:sz w:val="24"/>
          <w:szCs w:val="24"/>
        </w:rPr>
        <w:t>s</w:t>
      </w:r>
      <w:r w:rsidR="00FC32B9" w:rsidRPr="00AB003C">
        <w:rPr>
          <w:sz w:val="24"/>
          <w:szCs w:val="24"/>
        </w:rPr>
        <w:t>, meaning that judicial learning still requires great care.</w:t>
      </w:r>
    </w:p>
    <w:p w14:paraId="42DE1A8B" w14:textId="77777777" w:rsidR="00A6583B" w:rsidRPr="00AB003C" w:rsidRDefault="00A6583B" w:rsidP="008E5BE1">
      <w:pPr>
        <w:spacing w:line="360" w:lineRule="auto"/>
        <w:jc w:val="both"/>
        <w:rPr>
          <w:sz w:val="24"/>
          <w:szCs w:val="24"/>
        </w:rPr>
      </w:pPr>
    </w:p>
    <w:p w14:paraId="543A465F" w14:textId="0C408BA6" w:rsidR="00A6583B" w:rsidRPr="008E5BE1" w:rsidRDefault="008E5BE1" w:rsidP="008E5BE1">
      <w:pPr>
        <w:spacing w:line="360" w:lineRule="auto"/>
        <w:jc w:val="both"/>
        <w:rPr>
          <w:rFonts w:cs="Verdana"/>
          <w:b/>
          <w:sz w:val="24"/>
          <w:szCs w:val="24"/>
        </w:rPr>
      </w:pPr>
      <w:r w:rsidRPr="008E5BE1">
        <w:rPr>
          <w:b/>
          <w:sz w:val="24"/>
          <w:szCs w:val="24"/>
        </w:rPr>
        <w:t>V</w:t>
      </w:r>
      <w:r w:rsidR="00E1264A">
        <w:rPr>
          <w:b/>
          <w:sz w:val="24"/>
          <w:szCs w:val="24"/>
        </w:rPr>
        <w:t>I</w:t>
      </w:r>
      <w:r>
        <w:rPr>
          <w:b/>
          <w:sz w:val="24"/>
          <w:szCs w:val="24"/>
        </w:rPr>
        <w:t>:</w:t>
      </w:r>
      <w:r w:rsidR="001C079D" w:rsidRPr="008E5BE1">
        <w:rPr>
          <w:b/>
          <w:sz w:val="24"/>
          <w:szCs w:val="24"/>
        </w:rPr>
        <w:t xml:space="preserve"> </w:t>
      </w:r>
      <w:r w:rsidRPr="008E5BE1">
        <w:rPr>
          <w:b/>
          <w:sz w:val="24"/>
          <w:szCs w:val="24"/>
        </w:rPr>
        <w:t>Other justified uses of foreign law</w:t>
      </w:r>
    </w:p>
    <w:p w14:paraId="5AAA9728" w14:textId="31D3A98F" w:rsidR="00A6583B" w:rsidRPr="00AB003C" w:rsidRDefault="00A6583B" w:rsidP="008E5BE1">
      <w:pPr>
        <w:spacing w:line="360" w:lineRule="auto"/>
        <w:jc w:val="both"/>
        <w:rPr>
          <w:rFonts w:cs="Verdana"/>
          <w:sz w:val="24"/>
          <w:szCs w:val="24"/>
        </w:rPr>
      </w:pPr>
      <w:r w:rsidRPr="00AB003C">
        <w:rPr>
          <w:rFonts w:cs="Verdana"/>
          <w:sz w:val="24"/>
          <w:szCs w:val="24"/>
        </w:rPr>
        <w:t>The claim of this a</w:t>
      </w:r>
      <w:r w:rsidR="00640EF7">
        <w:rPr>
          <w:rFonts w:cs="Verdana"/>
          <w:sz w:val="24"/>
          <w:szCs w:val="24"/>
        </w:rPr>
        <w:t>rticle is that the central case</w:t>
      </w:r>
      <w:r w:rsidRPr="00AB003C">
        <w:rPr>
          <w:rFonts w:cs="Verdana"/>
          <w:sz w:val="24"/>
          <w:szCs w:val="24"/>
        </w:rPr>
        <w:t xml:space="preserve"> of </w:t>
      </w:r>
      <w:r w:rsidR="00151993" w:rsidRPr="00AB003C">
        <w:rPr>
          <w:rFonts w:cs="Verdana"/>
          <w:sz w:val="24"/>
          <w:szCs w:val="24"/>
        </w:rPr>
        <w:t xml:space="preserve">the use of </w:t>
      </w:r>
      <w:r w:rsidRPr="00AB003C">
        <w:rPr>
          <w:rFonts w:cs="Verdana"/>
          <w:sz w:val="24"/>
          <w:szCs w:val="24"/>
        </w:rPr>
        <w:t xml:space="preserve">foreign law involves judges treating foreign case law as theoretically authoritative. In general, the more the practice departs from the central case, the less justified it is likely to be. However, there are at least two other ways of using foreign law that may be justified. First, courts sometimes refer to foreign law in constitutional cases not as theoretical authority for what a provision of national law might mean but rather as direct evidence of the possible effects of a particular course of action. A good example of this is the judgment of Rehnquist CJ of the US Supreme Court in </w:t>
      </w:r>
      <w:r w:rsidRPr="00AB003C">
        <w:rPr>
          <w:rFonts w:cs="Verdana"/>
          <w:i/>
          <w:sz w:val="24"/>
          <w:szCs w:val="24"/>
        </w:rPr>
        <w:t>Washington v Glucksberg</w:t>
      </w:r>
      <w:r w:rsidRPr="00AB003C">
        <w:rPr>
          <w:rFonts w:cs="Verdana"/>
          <w:sz w:val="24"/>
          <w:szCs w:val="24"/>
        </w:rPr>
        <w:t>.</w:t>
      </w:r>
      <w:r w:rsidRPr="00AB003C">
        <w:rPr>
          <w:rStyle w:val="FootnoteReference"/>
          <w:rFonts w:cs="Verdana"/>
          <w:sz w:val="24"/>
          <w:szCs w:val="24"/>
        </w:rPr>
        <w:footnoteReference w:id="67"/>
      </w:r>
      <w:r w:rsidRPr="00AB003C">
        <w:rPr>
          <w:rFonts w:cs="Verdana"/>
          <w:sz w:val="24"/>
          <w:szCs w:val="24"/>
        </w:rPr>
        <w:t xml:space="preserve"> Upholding the state’s criminal prohibition of assisted suicide, Rehnquist CJ referred to reports from the Netherlands to substantiate the concern that, despite precautionary measures, there was a tendency for a relaxation of a ban on assisted suicide to lead to pressure on vulnerable persons and less than fully voluntary euthanasia. Under this approach, the Dutch experience had no greater or lesser weight than, say, empirical evidence about how a particular practice might have fared in the court’s own jurisdiction. Many of those within the US generally sceptical about reliance on foreign law do not see this practice as problematic, perhaps because it does not involve the notion of authority.</w:t>
      </w:r>
      <w:bookmarkStart w:id="25" w:name="_Ref228359198"/>
      <w:r w:rsidRPr="00AB003C">
        <w:rPr>
          <w:rStyle w:val="FootnoteReference"/>
          <w:rFonts w:cs="Verdana"/>
          <w:sz w:val="24"/>
          <w:szCs w:val="24"/>
        </w:rPr>
        <w:footnoteReference w:id="68"/>
      </w:r>
      <w:bookmarkEnd w:id="25"/>
      <w:r w:rsidRPr="00AB003C">
        <w:rPr>
          <w:rFonts w:cs="Verdana"/>
          <w:sz w:val="24"/>
          <w:szCs w:val="24"/>
        </w:rPr>
        <w:t xml:space="preserve"> This practice is justified if the foreign law in question does, in fact, provide relevant evidence.</w:t>
      </w:r>
    </w:p>
    <w:p w14:paraId="099CBC19" w14:textId="201CA8AB" w:rsidR="00A6583B" w:rsidRPr="00AB003C" w:rsidRDefault="00A6583B" w:rsidP="008E5BE1">
      <w:pPr>
        <w:spacing w:line="360" w:lineRule="auto"/>
        <w:ind w:firstLine="720"/>
        <w:jc w:val="both"/>
        <w:rPr>
          <w:sz w:val="24"/>
          <w:szCs w:val="24"/>
          <w:lang w:val="en-US"/>
        </w:rPr>
      </w:pPr>
      <w:r w:rsidRPr="00AB003C">
        <w:rPr>
          <w:rFonts w:cs="Verdana"/>
          <w:sz w:val="24"/>
          <w:szCs w:val="24"/>
        </w:rPr>
        <w:t xml:space="preserve">Second, </w:t>
      </w:r>
      <w:r w:rsidRPr="00AB003C">
        <w:rPr>
          <w:sz w:val="24"/>
          <w:szCs w:val="24"/>
        </w:rPr>
        <w:t xml:space="preserve">a legal system may develop a constitutional rule that regard must be had to foreign law as an aid to understanding certain provisions of national law. Rules of this type tend not to distinguish between foreign case law and foreign law. What is important is the position actually adopted by foreign legal systems rather than learning from any process of judicial reasoning. For instance, </w:t>
      </w:r>
      <w:r w:rsidRPr="00AB003C">
        <w:rPr>
          <w:sz w:val="24"/>
          <w:szCs w:val="24"/>
          <w:lang w:val="en-US"/>
        </w:rPr>
        <w:t>as a matter of US constitutional law, the phrase ‘cruel and unusual punishment’ in the Eighth Amendment is to be interpreted with reference to the evolving standards of decency that mark the progress of a maturing society. Jackson traces the practice of having regard to foreign law to an 1859 case upholding execution by firing squad in the Utah territory.</w:t>
      </w:r>
      <w:r w:rsidRPr="00AB003C">
        <w:rPr>
          <w:rStyle w:val="FootnoteReference"/>
          <w:sz w:val="24"/>
          <w:szCs w:val="24"/>
          <w:lang w:val="en-US"/>
        </w:rPr>
        <w:footnoteReference w:id="69"/>
      </w:r>
      <w:r w:rsidRPr="00AB003C">
        <w:rPr>
          <w:sz w:val="24"/>
          <w:szCs w:val="24"/>
          <w:lang w:val="en-US"/>
        </w:rPr>
        <w:t xml:space="preserve"> In </w:t>
      </w:r>
      <w:r w:rsidRPr="00AB003C">
        <w:rPr>
          <w:i/>
          <w:sz w:val="24"/>
          <w:szCs w:val="24"/>
          <w:lang w:val="en-US"/>
        </w:rPr>
        <w:t>Roper v Simmons</w:t>
      </w:r>
      <w:r w:rsidRPr="00AB003C">
        <w:rPr>
          <w:sz w:val="24"/>
          <w:szCs w:val="24"/>
          <w:lang w:val="en-US"/>
        </w:rPr>
        <w:t>, Kennedy J, delivering the judgment of the majority of the US Supreme Court, prompted much of the controversy in the US on this issue by making extensive references to foreign and international law on the legitimacy of the execution of adults for crimes committed when minors.</w:t>
      </w:r>
      <w:r w:rsidRPr="00AB003C">
        <w:rPr>
          <w:rStyle w:val="FootnoteReference"/>
          <w:sz w:val="24"/>
          <w:szCs w:val="24"/>
          <w:lang w:val="en-US"/>
        </w:rPr>
        <w:footnoteReference w:id="70"/>
      </w:r>
      <w:r w:rsidRPr="00AB003C">
        <w:rPr>
          <w:sz w:val="24"/>
          <w:szCs w:val="24"/>
          <w:lang w:val="en-US"/>
        </w:rPr>
        <w:t xml:space="preserve"> Foreign law, national consensus and psychological literature were interpreted alongside one another, all leading the majority to conclude that the practice amounted to cruel and unusual punishment. The fact of being foreign law led those judges to treat that foreign law as evidence of contemporary standards of decency, rather than as theoretically authoritative in relation to the meaning of cruel and unusual punishment. The legitimacy of this approach is a doctrinal and interpretative question for specific legal systems. </w:t>
      </w:r>
    </w:p>
    <w:p w14:paraId="5DAD1638" w14:textId="77777777" w:rsidR="00A6583B" w:rsidRPr="00AB003C" w:rsidRDefault="00A6583B" w:rsidP="008E5BE1">
      <w:pPr>
        <w:spacing w:line="360" w:lineRule="auto"/>
        <w:jc w:val="both"/>
        <w:rPr>
          <w:sz w:val="24"/>
          <w:szCs w:val="24"/>
        </w:rPr>
      </w:pPr>
    </w:p>
    <w:p w14:paraId="0924EF95" w14:textId="233A0F43" w:rsidR="00CD723B" w:rsidRPr="008E5BE1" w:rsidRDefault="008E5BE1" w:rsidP="008E5BE1">
      <w:pPr>
        <w:spacing w:line="360" w:lineRule="auto"/>
        <w:jc w:val="both"/>
        <w:rPr>
          <w:b/>
          <w:sz w:val="24"/>
          <w:szCs w:val="24"/>
        </w:rPr>
      </w:pPr>
      <w:r w:rsidRPr="008E5BE1">
        <w:rPr>
          <w:b/>
          <w:sz w:val="24"/>
          <w:szCs w:val="24"/>
        </w:rPr>
        <w:t>VI</w:t>
      </w:r>
      <w:r w:rsidR="00E1264A">
        <w:rPr>
          <w:b/>
          <w:sz w:val="24"/>
          <w:szCs w:val="24"/>
        </w:rPr>
        <w:t>I</w:t>
      </w:r>
      <w:r>
        <w:rPr>
          <w:b/>
          <w:sz w:val="24"/>
          <w:szCs w:val="24"/>
        </w:rPr>
        <w:t>:</w:t>
      </w:r>
      <w:r w:rsidR="001C079D" w:rsidRPr="008E5BE1">
        <w:rPr>
          <w:b/>
          <w:sz w:val="24"/>
          <w:szCs w:val="24"/>
        </w:rPr>
        <w:t xml:space="preserve"> </w:t>
      </w:r>
      <w:r w:rsidRPr="008E5BE1">
        <w:rPr>
          <w:b/>
          <w:sz w:val="24"/>
          <w:szCs w:val="24"/>
        </w:rPr>
        <w:t>Conclusion</w:t>
      </w:r>
    </w:p>
    <w:p w14:paraId="17283660" w14:textId="067F7A2C" w:rsidR="00CE6893" w:rsidRPr="00AB003C" w:rsidRDefault="00E52F70" w:rsidP="008E5BE1">
      <w:pPr>
        <w:spacing w:line="360" w:lineRule="auto"/>
        <w:jc w:val="both"/>
        <w:rPr>
          <w:sz w:val="24"/>
          <w:szCs w:val="24"/>
        </w:rPr>
      </w:pPr>
      <w:r w:rsidRPr="00AB003C">
        <w:rPr>
          <w:sz w:val="24"/>
          <w:szCs w:val="24"/>
        </w:rPr>
        <w:t xml:space="preserve">I have argued that the </w:t>
      </w:r>
      <w:r w:rsidR="006D4922" w:rsidRPr="00AB003C">
        <w:rPr>
          <w:sz w:val="24"/>
          <w:szCs w:val="24"/>
        </w:rPr>
        <w:t xml:space="preserve">central case of the judicial use of </w:t>
      </w:r>
      <w:r w:rsidRPr="00AB003C">
        <w:rPr>
          <w:sz w:val="24"/>
          <w:szCs w:val="24"/>
        </w:rPr>
        <w:t xml:space="preserve">foreign law in constitutional cases </w:t>
      </w:r>
      <w:r w:rsidR="006D4922" w:rsidRPr="00AB003C">
        <w:rPr>
          <w:sz w:val="24"/>
          <w:szCs w:val="24"/>
        </w:rPr>
        <w:t xml:space="preserve">involves </w:t>
      </w:r>
      <w:r w:rsidR="00A826F6" w:rsidRPr="00AB003C">
        <w:rPr>
          <w:sz w:val="24"/>
          <w:szCs w:val="24"/>
        </w:rPr>
        <w:t>a judge</w:t>
      </w:r>
      <w:r w:rsidRPr="00AB003C">
        <w:rPr>
          <w:sz w:val="24"/>
          <w:szCs w:val="24"/>
        </w:rPr>
        <w:t xml:space="preserve"> </w:t>
      </w:r>
      <w:r w:rsidR="00A826F6" w:rsidRPr="00AB003C">
        <w:rPr>
          <w:sz w:val="24"/>
          <w:szCs w:val="24"/>
        </w:rPr>
        <w:t xml:space="preserve">initially </w:t>
      </w:r>
      <w:r w:rsidRPr="00AB003C">
        <w:rPr>
          <w:sz w:val="24"/>
          <w:szCs w:val="24"/>
        </w:rPr>
        <w:t xml:space="preserve">treating </w:t>
      </w:r>
      <w:r w:rsidR="00A826F6" w:rsidRPr="00AB003C">
        <w:rPr>
          <w:sz w:val="24"/>
          <w:szCs w:val="24"/>
        </w:rPr>
        <w:t xml:space="preserve">foreign case law </w:t>
      </w:r>
      <w:r w:rsidRPr="00AB003C">
        <w:rPr>
          <w:sz w:val="24"/>
          <w:szCs w:val="24"/>
        </w:rPr>
        <w:t>as theoretically authoritative</w:t>
      </w:r>
      <w:r w:rsidR="00A826F6" w:rsidRPr="00AB003C">
        <w:rPr>
          <w:sz w:val="24"/>
          <w:szCs w:val="24"/>
        </w:rPr>
        <w:t>, having employed a reasonable selection method and where the judge has the competence to understand the foreign case law in question</w:t>
      </w:r>
      <w:r w:rsidRPr="00AB003C">
        <w:rPr>
          <w:sz w:val="24"/>
          <w:szCs w:val="24"/>
        </w:rPr>
        <w:t xml:space="preserve">. </w:t>
      </w:r>
      <w:r w:rsidR="00A826F6" w:rsidRPr="00AB003C">
        <w:rPr>
          <w:sz w:val="24"/>
          <w:szCs w:val="24"/>
        </w:rPr>
        <w:t xml:space="preserve">The use of foreign law is justified in these circumstances, </w:t>
      </w:r>
      <w:r w:rsidRPr="00AB003C">
        <w:rPr>
          <w:sz w:val="24"/>
          <w:szCs w:val="24"/>
        </w:rPr>
        <w:t>given the relative gap in wisdom between a national court at the start of its reasoning process and a foreign court that has completed its reasoning process on the same issue. However, this gap in wisdom dissipate</w:t>
      </w:r>
      <w:r w:rsidR="003E6063" w:rsidRPr="00AB003C">
        <w:rPr>
          <w:sz w:val="24"/>
          <w:szCs w:val="24"/>
        </w:rPr>
        <w:t>s</w:t>
      </w:r>
      <w:r w:rsidRPr="00AB003C">
        <w:rPr>
          <w:sz w:val="24"/>
          <w:szCs w:val="24"/>
        </w:rPr>
        <w:t xml:space="preserve"> as the national court gives its own consideration to the issues before it: ultimately, foreign case law should only persuade on its merits. This rather limited justification must</w:t>
      </w:r>
      <w:r w:rsidR="004D1A51" w:rsidRPr="00AB003C">
        <w:rPr>
          <w:sz w:val="24"/>
          <w:szCs w:val="24"/>
        </w:rPr>
        <w:t>, on a case-by-case basis,</w:t>
      </w:r>
      <w:r w:rsidRPr="00AB003C">
        <w:rPr>
          <w:sz w:val="24"/>
          <w:szCs w:val="24"/>
        </w:rPr>
        <w:t xml:space="preserve"> be weighed against the </w:t>
      </w:r>
      <w:r w:rsidR="004D1A51" w:rsidRPr="00AB003C">
        <w:rPr>
          <w:sz w:val="24"/>
          <w:szCs w:val="24"/>
        </w:rPr>
        <w:t>problems of selection bias and lack of judici</w:t>
      </w:r>
      <w:r w:rsidR="00053027" w:rsidRPr="00AB003C">
        <w:rPr>
          <w:sz w:val="24"/>
          <w:szCs w:val="24"/>
        </w:rPr>
        <w:t xml:space="preserve">al competence. </w:t>
      </w:r>
      <w:r w:rsidR="00A826F6" w:rsidRPr="00AB003C">
        <w:rPr>
          <w:sz w:val="24"/>
          <w:szCs w:val="24"/>
        </w:rPr>
        <w:t>When faced with arguments that refer to foreign law or with an issue that appears to call for analysis in those terms, a judge should try to approximate her behaviour to the central case of the practice insofar as that is possible.</w:t>
      </w:r>
    </w:p>
    <w:p w14:paraId="4C4AD46F" w14:textId="4EA18DC2" w:rsidR="00FA11E5" w:rsidRDefault="006D4922" w:rsidP="008B3A87">
      <w:pPr>
        <w:spacing w:line="360" w:lineRule="auto"/>
        <w:ind w:firstLine="720"/>
        <w:jc w:val="both"/>
        <w:rPr>
          <w:sz w:val="24"/>
          <w:szCs w:val="24"/>
        </w:rPr>
      </w:pPr>
      <w:r w:rsidRPr="00AB003C">
        <w:rPr>
          <w:sz w:val="24"/>
          <w:szCs w:val="24"/>
        </w:rPr>
        <w:t>T</w:t>
      </w:r>
      <w:r w:rsidR="004D1A51" w:rsidRPr="00AB003C">
        <w:rPr>
          <w:sz w:val="24"/>
          <w:szCs w:val="24"/>
        </w:rPr>
        <w:t xml:space="preserve">he theoretical authority </w:t>
      </w:r>
      <w:r w:rsidRPr="00AB003C">
        <w:rPr>
          <w:sz w:val="24"/>
          <w:szCs w:val="24"/>
        </w:rPr>
        <w:t xml:space="preserve">concept </w:t>
      </w:r>
      <w:r w:rsidR="004D1A51" w:rsidRPr="00AB003C">
        <w:rPr>
          <w:sz w:val="24"/>
          <w:szCs w:val="24"/>
        </w:rPr>
        <w:t xml:space="preserve">also explains and addresses the shortcomings </w:t>
      </w:r>
      <w:r w:rsidR="00F847FA" w:rsidRPr="00AB003C">
        <w:rPr>
          <w:sz w:val="24"/>
          <w:szCs w:val="24"/>
        </w:rPr>
        <w:t xml:space="preserve">in the scholarly debate over </w:t>
      </w:r>
      <w:r w:rsidR="00151993" w:rsidRPr="00AB003C">
        <w:rPr>
          <w:sz w:val="24"/>
          <w:szCs w:val="24"/>
        </w:rPr>
        <w:t>the use of foreign law</w:t>
      </w:r>
      <w:r w:rsidRPr="00AB003C">
        <w:rPr>
          <w:sz w:val="24"/>
          <w:szCs w:val="24"/>
        </w:rPr>
        <w:t xml:space="preserve">, by bringing </w:t>
      </w:r>
      <w:r w:rsidR="004D1A51" w:rsidRPr="00AB003C">
        <w:rPr>
          <w:sz w:val="24"/>
          <w:szCs w:val="24"/>
        </w:rPr>
        <w:t xml:space="preserve">together the persuasive authority account and the judicial learning account. It thus remains true to </w:t>
      </w:r>
      <w:r w:rsidR="00FC32B9" w:rsidRPr="00AB003C">
        <w:rPr>
          <w:sz w:val="24"/>
          <w:szCs w:val="24"/>
        </w:rPr>
        <w:t xml:space="preserve">the predominant </w:t>
      </w:r>
      <w:r w:rsidR="004D1A51" w:rsidRPr="00AB003C">
        <w:rPr>
          <w:sz w:val="24"/>
          <w:szCs w:val="24"/>
        </w:rPr>
        <w:t>judicia</w:t>
      </w:r>
      <w:r w:rsidR="00E87BC8" w:rsidRPr="00AB003C">
        <w:rPr>
          <w:sz w:val="24"/>
          <w:szCs w:val="24"/>
        </w:rPr>
        <w:t>l self-explanation of the practice</w:t>
      </w:r>
      <w:r w:rsidR="004D1A51" w:rsidRPr="00AB003C">
        <w:rPr>
          <w:sz w:val="24"/>
          <w:szCs w:val="24"/>
        </w:rPr>
        <w:t xml:space="preserve"> while </w:t>
      </w:r>
      <w:r w:rsidR="00E87BC8" w:rsidRPr="00AB003C">
        <w:rPr>
          <w:sz w:val="24"/>
          <w:szCs w:val="24"/>
        </w:rPr>
        <w:t>accommodating much of the external, scholarly reflection.</w:t>
      </w:r>
      <w:r w:rsidR="004D1A51" w:rsidRPr="00AB003C">
        <w:rPr>
          <w:sz w:val="24"/>
          <w:szCs w:val="24"/>
        </w:rPr>
        <w:t xml:space="preserve"> Moreover, it does so in a way that explains precisely how f</w:t>
      </w:r>
      <w:r w:rsidR="00E87BC8" w:rsidRPr="00AB003C">
        <w:rPr>
          <w:sz w:val="24"/>
          <w:szCs w:val="24"/>
        </w:rPr>
        <w:t xml:space="preserve">oreign case law can help a judge’s reasoning but never cause a </w:t>
      </w:r>
      <w:r w:rsidR="004D1A51" w:rsidRPr="00AB003C">
        <w:rPr>
          <w:sz w:val="24"/>
          <w:szCs w:val="24"/>
        </w:rPr>
        <w:t xml:space="preserve">provision of national law to be overridden. </w:t>
      </w:r>
      <w:r w:rsidR="00E87BC8" w:rsidRPr="00AB003C">
        <w:rPr>
          <w:sz w:val="24"/>
          <w:szCs w:val="24"/>
        </w:rPr>
        <w:t xml:space="preserve">This </w:t>
      </w:r>
      <w:r w:rsidR="00FC32B9" w:rsidRPr="00AB003C">
        <w:rPr>
          <w:sz w:val="24"/>
          <w:szCs w:val="24"/>
        </w:rPr>
        <w:t xml:space="preserve">position underpins </w:t>
      </w:r>
      <w:r w:rsidR="00E87BC8" w:rsidRPr="00AB003C">
        <w:rPr>
          <w:sz w:val="24"/>
          <w:szCs w:val="24"/>
        </w:rPr>
        <w:t xml:space="preserve">most normative argument in favour of the practice </w:t>
      </w:r>
      <w:r w:rsidR="00FC32B9" w:rsidRPr="00AB003C">
        <w:rPr>
          <w:sz w:val="24"/>
          <w:szCs w:val="24"/>
        </w:rPr>
        <w:t xml:space="preserve">(what I identified at the outset as Bingham’s broadly sympathetic attitude) </w:t>
      </w:r>
      <w:r w:rsidR="00E87BC8" w:rsidRPr="00AB003C">
        <w:rPr>
          <w:sz w:val="24"/>
          <w:szCs w:val="24"/>
        </w:rPr>
        <w:t xml:space="preserve">but </w:t>
      </w:r>
      <w:r w:rsidR="00D5286E" w:rsidRPr="00AB003C">
        <w:rPr>
          <w:sz w:val="24"/>
          <w:szCs w:val="24"/>
        </w:rPr>
        <w:t xml:space="preserve">which </w:t>
      </w:r>
      <w:r w:rsidR="00E87BC8" w:rsidRPr="00AB003C">
        <w:rPr>
          <w:sz w:val="24"/>
          <w:szCs w:val="24"/>
        </w:rPr>
        <w:t xml:space="preserve">has always lacked a clear conceptual explanation. </w:t>
      </w:r>
      <w:r w:rsidR="00FC32B9" w:rsidRPr="00AB003C">
        <w:rPr>
          <w:sz w:val="24"/>
          <w:szCs w:val="24"/>
        </w:rPr>
        <w:t xml:space="preserve">The theoretical authority account provides that explanation. Conceived in this way, judicial use of foreign case law </w:t>
      </w:r>
      <w:r w:rsidR="00FC1D67" w:rsidRPr="00AB003C">
        <w:rPr>
          <w:sz w:val="24"/>
          <w:szCs w:val="24"/>
        </w:rPr>
        <w:t xml:space="preserve">in constitutional cases does not warrant the extreme criticisms advanced by Scalia. </w:t>
      </w:r>
      <w:r w:rsidR="004D1A51" w:rsidRPr="00AB003C">
        <w:rPr>
          <w:sz w:val="24"/>
          <w:szCs w:val="24"/>
        </w:rPr>
        <w:t xml:space="preserve">At the same time, the theoretical authority account </w:t>
      </w:r>
      <w:r w:rsidR="00FC1D67" w:rsidRPr="00AB003C">
        <w:rPr>
          <w:sz w:val="24"/>
          <w:szCs w:val="24"/>
        </w:rPr>
        <w:t xml:space="preserve">focuses attention on what is valuable and what is dangerous about the practice. </w:t>
      </w:r>
      <w:r w:rsidR="00E87BC8" w:rsidRPr="00AB003C">
        <w:rPr>
          <w:sz w:val="24"/>
          <w:szCs w:val="24"/>
        </w:rPr>
        <w:t>It clearly identifies how judicial dialogue</w:t>
      </w:r>
      <w:r w:rsidR="00640EF7">
        <w:rPr>
          <w:sz w:val="24"/>
          <w:szCs w:val="24"/>
        </w:rPr>
        <w:t>, in the</w:t>
      </w:r>
      <w:r w:rsidR="003D1E22">
        <w:rPr>
          <w:sz w:val="24"/>
          <w:szCs w:val="24"/>
        </w:rPr>
        <w:t xml:space="preserve"> sense of courts using their judgments to speak to foreign courts,</w:t>
      </w:r>
      <w:r w:rsidR="00E87BC8" w:rsidRPr="00AB003C">
        <w:rPr>
          <w:sz w:val="24"/>
          <w:szCs w:val="24"/>
        </w:rPr>
        <w:t xml:space="preserve"> is different from judicial learning and </w:t>
      </w:r>
      <w:r w:rsidR="003D1E22">
        <w:rPr>
          <w:sz w:val="24"/>
          <w:szCs w:val="24"/>
        </w:rPr>
        <w:t xml:space="preserve">undermines the justification for treating foreign law as authoritative. </w:t>
      </w:r>
      <w:r w:rsidR="00F847FA" w:rsidRPr="00AB003C">
        <w:rPr>
          <w:sz w:val="24"/>
          <w:szCs w:val="24"/>
        </w:rPr>
        <w:t xml:space="preserve">In sum, </w:t>
      </w:r>
      <w:r w:rsidR="00E87BC8" w:rsidRPr="00AB003C">
        <w:rPr>
          <w:sz w:val="24"/>
          <w:szCs w:val="24"/>
        </w:rPr>
        <w:t xml:space="preserve">a debate conducted in terms of the theoretical authority account </w:t>
      </w:r>
      <w:r w:rsidR="00F847FA" w:rsidRPr="00AB003C">
        <w:rPr>
          <w:sz w:val="24"/>
          <w:szCs w:val="24"/>
        </w:rPr>
        <w:t xml:space="preserve">has the greatest </w:t>
      </w:r>
      <w:r w:rsidR="00993AE0" w:rsidRPr="00AB003C">
        <w:rPr>
          <w:sz w:val="24"/>
          <w:szCs w:val="24"/>
        </w:rPr>
        <w:t xml:space="preserve">capacity to </w:t>
      </w:r>
      <w:r w:rsidR="000A5BA2" w:rsidRPr="00AB003C">
        <w:rPr>
          <w:sz w:val="24"/>
          <w:szCs w:val="24"/>
        </w:rPr>
        <w:t>struc</w:t>
      </w:r>
      <w:r w:rsidR="00F847FA" w:rsidRPr="00AB003C">
        <w:rPr>
          <w:sz w:val="24"/>
          <w:szCs w:val="24"/>
        </w:rPr>
        <w:t xml:space="preserve">ture </w:t>
      </w:r>
      <w:r w:rsidR="00993AE0" w:rsidRPr="00AB003C">
        <w:rPr>
          <w:sz w:val="24"/>
          <w:szCs w:val="24"/>
        </w:rPr>
        <w:t>j</w:t>
      </w:r>
      <w:r w:rsidR="009261D8" w:rsidRPr="00AB003C">
        <w:rPr>
          <w:sz w:val="24"/>
          <w:szCs w:val="24"/>
        </w:rPr>
        <w:t>u</w:t>
      </w:r>
      <w:r w:rsidR="00E87BC8" w:rsidRPr="00AB003C">
        <w:rPr>
          <w:sz w:val="24"/>
          <w:szCs w:val="24"/>
        </w:rPr>
        <w:t>dicial</w:t>
      </w:r>
      <w:r w:rsidR="009261D8" w:rsidRPr="00AB003C">
        <w:rPr>
          <w:sz w:val="24"/>
          <w:szCs w:val="24"/>
        </w:rPr>
        <w:t xml:space="preserve"> participation in</w:t>
      </w:r>
      <w:r w:rsidR="00E87BC8" w:rsidRPr="00AB003C">
        <w:rPr>
          <w:sz w:val="24"/>
          <w:szCs w:val="24"/>
        </w:rPr>
        <w:t>, as well as academic reflection on,</w:t>
      </w:r>
      <w:r w:rsidR="009261D8" w:rsidRPr="00AB003C">
        <w:rPr>
          <w:sz w:val="24"/>
          <w:szCs w:val="24"/>
        </w:rPr>
        <w:t xml:space="preserve"> a practice</w:t>
      </w:r>
      <w:r w:rsidR="00993AE0" w:rsidRPr="00AB003C">
        <w:rPr>
          <w:sz w:val="24"/>
          <w:szCs w:val="24"/>
        </w:rPr>
        <w:t xml:space="preserve"> that has real value but real dangers.</w:t>
      </w:r>
    </w:p>
    <w:p w14:paraId="192C5F68" w14:textId="77777777" w:rsidR="00E1264A" w:rsidRDefault="00E1264A" w:rsidP="00D640CE">
      <w:pPr>
        <w:spacing w:line="360" w:lineRule="auto"/>
        <w:jc w:val="both"/>
        <w:rPr>
          <w:b/>
          <w:sz w:val="24"/>
          <w:szCs w:val="24"/>
        </w:rPr>
      </w:pPr>
    </w:p>
    <w:p w14:paraId="6BA12162" w14:textId="05683A69" w:rsidR="00D640CE" w:rsidRDefault="00E1264A" w:rsidP="00D640CE">
      <w:pPr>
        <w:spacing w:line="360" w:lineRule="auto"/>
        <w:jc w:val="both"/>
        <w:rPr>
          <w:sz w:val="24"/>
          <w:szCs w:val="24"/>
        </w:rPr>
      </w:pPr>
      <w:r>
        <w:rPr>
          <w:b/>
          <w:sz w:val="24"/>
          <w:szCs w:val="24"/>
        </w:rPr>
        <w:t xml:space="preserve">VIII: </w:t>
      </w:r>
      <w:r w:rsidR="00D640CE">
        <w:rPr>
          <w:b/>
          <w:sz w:val="24"/>
          <w:szCs w:val="24"/>
        </w:rPr>
        <w:t>Acknowledgements</w:t>
      </w:r>
    </w:p>
    <w:p w14:paraId="22E3D150" w14:textId="02DD7245" w:rsidR="00D640CE" w:rsidRPr="00D640CE" w:rsidRDefault="00E1264A" w:rsidP="00D640CE">
      <w:pPr>
        <w:spacing w:line="360" w:lineRule="auto"/>
        <w:jc w:val="both"/>
        <w:rPr>
          <w:sz w:val="24"/>
          <w:szCs w:val="24"/>
        </w:rPr>
      </w:pPr>
      <w:r w:rsidRPr="00E1264A">
        <w:rPr>
          <w:sz w:val="24"/>
          <w:szCs w:val="24"/>
          <w:lang w:val="en-US"/>
        </w:rPr>
        <w:t xml:space="preserve">This article was mostly researched and written while I was a visiting scholar in Boston College Law School. I am very grateful to Dean Vincent Rougeau for providing me with that opportunity and to the library staff for their assistance. Versions of this paper were presented to </w:t>
      </w:r>
      <w:r w:rsidR="008448DC">
        <w:rPr>
          <w:sz w:val="24"/>
          <w:szCs w:val="24"/>
          <w:lang w:val="en-US"/>
        </w:rPr>
        <w:t xml:space="preserve">the </w:t>
      </w:r>
      <w:r w:rsidRPr="00E1264A">
        <w:rPr>
          <w:sz w:val="24"/>
          <w:szCs w:val="24"/>
          <w:lang w:val="en-US"/>
        </w:rPr>
        <w:t xml:space="preserve">constitutional law and policy group in Trinity College Dublin, a faculty research workshop in Boston College Law School, and the annual conference of the Younger Comparativists Committee of the American Society for Comparative Law in Indianapolis. I am grateful to </w:t>
      </w:r>
      <w:r w:rsidR="008448DC">
        <w:rPr>
          <w:sz w:val="24"/>
          <w:szCs w:val="24"/>
          <w:lang w:val="en-US"/>
        </w:rPr>
        <w:t xml:space="preserve">the organisers and to </w:t>
      </w:r>
      <w:r w:rsidRPr="00E1264A">
        <w:rPr>
          <w:sz w:val="24"/>
          <w:szCs w:val="24"/>
          <w:lang w:val="en-US"/>
        </w:rPr>
        <w:t xml:space="preserve">all who commented on the paper in these forums. Finally, I am most grateful to </w:t>
      </w:r>
      <w:r w:rsidR="009A6C3A">
        <w:rPr>
          <w:sz w:val="24"/>
          <w:szCs w:val="24"/>
          <w:lang w:val="en-US"/>
        </w:rPr>
        <w:t xml:space="preserve">the anonymous reviewers for their comments and to </w:t>
      </w:r>
      <w:r w:rsidRPr="00E1264A">
        <w:rPr>
          <w:sz w:val="24"/>
          <w:szCs w:val="24"/>
          <w:lang w:val="en-US"/>
        </w:rPr>
        <w:t xml:space="preserve">those who read and commented on </w:t>
      </w:r>
      <w:r w:rsidR="009A6C3A">
        <w:rPr>
          <w:sz w:val="24"/>
          <w:szCs w:val="24"/>
          <w:lang w:val="en-US"/>
        </w:rPr>
        <w:t xml:space="preserve">earlier </w:t>
      </w:r>
      <w:r w:rsidRPr="00E1264A">
        <w:rPr>
          <w:sz w:val="24"/>
          <w:szCs w:val="24"/>
          <w:lang w:val="en-US"/>
        </w:rPr>
        <w:t>drafts of the paper: Richard Albert, Sam Halabi, David Kenny, Madhav Khosla, David Prendergast and Barry Sullivan.</w:t>
      </w:r>
    </w:p>
    <w:sectPr w:rsidR="00D640CE" w:rsidRPr="00D640CE" w:rsidSect="00802895">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C2D241" w14:textId="77777777" w:rsidR="000E04CC" w:rsidRDefault="000E04CC" w:rsidP="00123589">
      <w:r>
        <w:separator/>
      </w:r>
    </w:p>
  </w:endnote>
  <w:endnote w:type="continuationSeparator" w:id="0">
    <w:p w14:paraId="5E301217" w14:textId="77777777" w:rsidR="000E04CC" w:rsidRDefault="000E04CC" w:rsidP="00123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auto"/>
    <w:pitch w:val="variable"/>
    <w:sig w:usb0="00000287" w:usb1="00000000" w:usb2="00000000" w:usb3="00000000" w:csb0="000000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AF1514" w14:textId="77777777" w:rsidR="000E04CC" w:rsidRDefault="000E04CC" w:rsidP="000521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CC87A68" w14:textId="77777777" w:rsidR="000E04CC" w:rsidRDefault="000E04CC">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A102A3" w14:textId="77777777" w:rsidR="000E04CC" w:rsidRPr="00123589" w:rsidRDefault="000E04CC" w:rsidP="00052106">
    <w:pPr>
      <w:pStyle w:val="Footer"/>
      <w:framePr w:wrap="around" w:vAnchor="text" w:hAnchor="margin" w:xAlign="center" w:y="1"/>
      <w:rPr>
        <w:rStyle w:val="PageNumber"/>
        <w:sz w:val="22"/>
        <w:szCs w:val="22"/>
      </w:rPr>
    </w:pPr>
    <w:r w:rsidRPr="00123589">
      <w:rPr>
        <w:rStyle w:val="PageNumber"/>
        <w:sz w:val="22"/>
        <w:szCs w:val="22"/>
      </w:rPr>
      <w:fldChar w:fldCharType="begin"/>
    </w:r>
    <w:r w:rsidRPr="00123589">
      <w:rPr>
        <w:rStyle w:val="PageNumber"/>
        <w:sz w:val="22"/>
        <w:szCs w:val="22"/>
      </w:rPr>
      <w:instrText xml:space="preserve">PAGE  </w:instrText>
    </w:r>
    <w:r w:rsidRPr="00123589">
      <w:rPr>
        <w:rStyle w:val="PageNumber"/>
        <w:sz w:val="22"/>
        <w:szCs w:val="22"/>
      </w:rPr>
      <w:fldChar w:fldCharType="separate"/>
    </w:r>
    <w:r w:rsidR="00486E42">
      <w:rPr>
        <w:rStyle w:val="PageNumber"/>
        <w:noProof/>
        <w:sz w:val="22"/>
        <w:szCs w:val="22"/>
      </w:rPr>
      <w:t>1</w:t>
    </w:r>
    <w:r w:rsidRPr="00123589">
      <w:rPr>
        <w:rStyle w:val="PageNumber"/>
        <w:sz w:val="22"/>
        <w:szCs w:val="22"/>
      </w:rPr>
      <w:fldChar w:fldCharType="end"/>
    </w:r>
  </w:p>
  <w:p w14:paraId="2AEEF6F1" w14:textId="77777777" w:rsidR="000E04CC" w:rsidRPr="00123589" w:rsidRDefault="000E04CC">
    <w:pPr>
      <w:pStyle w:val="Footer"/>
      <w:rPr>
        <w:sz w:val="22"/>
        <w:szCs w:val="2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C4736C" w14:textId="77777777" w:rsidR="000E04CC" w:rsidRDefault="000E04CC" w:rsidP="00123589">
      <w:r>
        <w:separator/>
      </w:r>
    </w:p>
  </w:footnote>
  <w:footnote w:type="continuationSeparator" w:id="0">
    <w:p w14:paraId="4E4FDE70" w14:textId="77777777" w:rsidR="000E04CC" w:rsidRDefault="000E04CC" w:rsidP="00123589">
      <w:r>
        <w:continuationSeparator/>
      </w:r>
    </w:p>
  </w:footnote>
  <w:footnote w:id="1">
    <w:p w14:paraId="4E53BE3C" w14:textId="48B98CE8" w:rsidR="000E04CC" w:rsidRPr="00804C65" w:rsidRDefault="000E04CC" w:rsidP="008B3A87">
      <w:pPr>
        <w:pStyle w:val="FootnoteText"/>
        <w:jc w:val="both"/>
        <w:rPr>
          <w:lang w:val="en-US"/>
        </w:rPr>
      </w:pPr>
      <w:r>
        <w:rPr>
          <w:rStyle w:val="FootnoteReference"/>
        </w:rPr>
        <w:footnoteRef/>
      </w:r>
      <w:r>
        <w:t xml:space="preserve"> Although foreign law is cited in many types of cases, the debate over legitimacy is fiercest in respect of constitutional cases. I suspect this is for a combination of two reasons: first, in constitutional cases, judicial power is at its greatest relative to other organs of government; second, constitutional cases often involve broad commitments giving greater interpretative freedom to judges. There is no common conception of ‘constitution’ across jurisdictions, but these two reasons point to the sorts of cases that are the subject of this debate: those where judges have a strong-form judicial review power and those where judges are interpreting broad human rights provisions. These two types of cases, which will often but not always overlap, are what I have in mind when I talk of constitutional cases in this article.</w:t>
      </w:r>
    </w:p>
  </w:footnote>
  <w:footnote w:id="2">
    <w:p w14:paraId="62D8CF15" w14:textId="714C6965" w:rsidR="000E04CC" w:rsidRPr="003F58F2" w:rsidRDefault="000E04CC" w:rsidP="008B3A87">
      <w:pPr>
        <w:pStyle w:val="FootnoteText"/>
        <w:jc w:val="both"/>
        <w:rPr>
          <w:lang w:val="en-US"/>
        </w:rPr>
      </w:pPr>
      <w:r w:rsidRPr="003F58F2">
        <w:rPr>
          <w:rStyle w:val="FootnoteReference"/>
        </w:rPr>
        <w:footnoteRef/>
      </w:r>
      <w:r>
        <w:t xml:space="preserve"> </w:t>
      </w:r>
      <w:r w:rsidRPr="003F58F2">
        <w:t>(1996)</w:t>
      </w:r>
      <w:r>
        <w:t xml:space="preserve"> A</w:t>
      </w:r>
      <w:r w:rsidRPr="003F58F2">
        <w:t xml:space="preserve"> Scalia, ‘Commentary’ 40 </w:t>
      </w:r>
      <w:r w:rsidRPr="00611F17">
        <w:rPr>
          <w:i/>
        </w:rPr>
        <w:t xml:space="preserve">St Louis ULJ </w:t>
      </w:r>
      <w:r w:rsidRPr="003F58F2">
        <w:t>1119, 1121.</w:t>
      </w:r>
    </w:p>
  </w:footnote>
  <w:footnote w:id="3">
    <w:p w14:paraId="328D3FA8" w14:textId="1B743996" w:rsidR="000E04CC" w:rsidRPr="00A309AA" w:rsidRDefault="000E04CC" w:rsidP="008B3A87">
      <w:pPr>
        <w:pStyle w:val="FootnoteText"/>
        <w:jc w:val="both"/>
        <w:rPr>
          <w:lang w:val="en-US"/>
        </w:rPr>
      </w:pPr>
      <w:r>
        <w:rPr>
          <w:rStyle w:val="FootnoteReference"/>
        </w:rPr>
        <w:footnoteRef/>
      </w:r>
      <w:r>
        <w:t xml:space="preserve"> </w:t>
      </w:r>
      <w:r>
        <w:rPr>
          <w:lang w:val="en-US"/>
        </w:rPr>
        <w:t xml:space="preserve">T Bingham, </w:t>
      </w:r>
      <w:r>
        <w:rPr>
          <w:i/>
          <w:lang w:val="en-US"/>
        </w:rPr>
        <w:t>Widening Horizons</w:t>
      </w:r>
      <w:r>
        <w:rPr>
          <w:lang w:val="en-US"/>
        </w:rPr>
        <w:t xml:space="preserve"> (Cambridge University Press, Cambridge, 2009) 6. Bingham’s comments are not limited to the constitutional context. This article does not address the citation of foreign law in other contexts, in respect of which different considerations may arise.</w:t>
      </w:r>
    </w:p>
  </w:footnote>
  <w:footnote w:id="4">
    <w:p w14:paraId="34AFD695" w14:textId="200D0DA4" w:rsidR="000E04CC" w:rsidRPr="00AD6A0D" w:rsidRDefault="000E04CC" w:rsidP="008B3A87">
      <w:pPr>
        <w:pStyle w:val="FootnoteText"/>
        <w:jc w:val="both"/>
        <w:rPr>
          <w:lang w:val="en-US"/>
        </w:rPr>
      </w:pPr>
      <w:r>
        <w:rPr>
          <w:rStyle w:val="FootnoteReference"/>
        </w:rPr>
        <w:footnoteRef/>
      </w:r>
      <w:r>
        <w:t xml:space="preserve"> </w:t>
      </w:r>
      <w:r>
        <w:rPr>
          <w:lang w:val="en-US"/>
        </w:rPr>
        <w:t xml:space="preserve">See </w:t>
      </w:r>
      <w:r w:rsidRPr="00710FCE">
        <w:rPr>
          <w:lang w:val="en-US"/>
        </w:rPr>
        <w:t xml:space="preserve">HP Glenn, ‘Persuasive Authority’ (1987) </w:t>
      </w:r>
      <w:r w:rsidRPr="00710FCE">
        <w:t xml:space="preserve">32 </w:t>
      </w:r>
      <w:r w:rsidRPr="00794CCD">
        <w:rPr>
          <w:i/>
        </w:rPr>
        <w:t xml:space="preserve">McGill Law Journal </w:t>
      </w:r>
      <w:r w:rsidRPr="00710FCE">
        <w:t>261</w:t>
      </w:r>
      <w:r>
        <w:t xml:space="preserve">, </w:t>
      </w:r>
      <w:r>
        <w:rPr>
          <w:lang w:val="en-US"/>
        </w:rPr>
        <w:t>F</w:t>
      </w:r>
      <w:r w:rsidRPr="00710FCE">
        <w:rPr>
          <w:lang w:val="en-US"/>
        </w:rPr>
        <w:t xml:space="preserve"> Schau</w:t>
      </w:r>
      <w:r>
        <w:rPr>
          <w:lang w:val="en-US"/>
        </w:rPr>
        <w:t>er, ‘Authority and Authorities’</w:t>
      </w:r>
      <w:r w:rsidRPr="00710FCE">
        <w:rPr>
          <w:lang w:val="en-US"/>
        </w:rPr>
        <w:t xml:space="preserve"> </w:t>
      </w:r>
      <w:r>
        <w:rPr>
          <w:lang w:val="en-US"/>
        </w:rPr>
        <w:t xml:space="preserve">(2008) </w:t>
      </w:r>
      <w:r w:rsidRPr="00710FCE">
        <w:rPr>
          <w:lang w:val="en-US"/>
        </w:rPr>
        <w:t xml:space="preserve">94 </w:t>
      </w:r>
      <w:r w:rsidRPr="00611F17">
        <w:rPr>
          <w:i/>
          <w:lang w:val="en-US"/>
        </w:rPr>
        <w:t xml:space="preserve">Virginia Law Review </w:t>
      </w:r>
      <w:r w:rsidRPr="00710FCE">
        <w:rPr>
          <w:lang w:val="en-US"/>
        </w:rPr>
        <w:t>1931</w:t>
      </w:r>
      <w:r>
        <w:rPr>
          <w:lang w:val="en-US"/>
        </w:rPr>
        <w:t xml:space="preserve"> and </w:t>
      </w:r>
      <w:r>
        <w:t>J</w:t>
      </w:r>
      <w:r w:rsidRPr="00710FCE">
        <w:t xml:space="preserve"> Waldron, </w:t>
      </w:r>
      <w:r w:rsidRPr="00710FCE">
        <w:rPr>
          <w:i/>
        </w:rPr>
        <w:t>Partly Laws Common to All Mankind</w:t>
      </w:r>
      <w:r w:rsidRPr="00710FCE">
        <w:t xml:space="preserve"> (Yale University Press, </w:t>
      </w:r>
      <w:r>
        <w:t xml:space="preserve">New Haven, </w:t>
      </w:r>
      <w:r w:rsidRPr="00710FCE">
        <w:t>2012)</w:t>
      </w:r>
      <w:r>
        <w:t>.</w:t>
      </w:r>
    </w:p>
  </w:footnote>
  <w:footnote w:id="5">
    <w:p w14:paraId="5FA63D16" w14:textId="68EEE2FE" w:rsidR="000E04CC" w:rsidRPr="00AD6A0D" w:rsidRDefault="000E04CC" w:rsidP="008B3A87">
      <w:pPr>
        <w:pStyle w:val="FootnoteText"/>
        <w:jc w:val="both"/>
        <w:rPr>
          <w:lang w:val="en-US"/>
        </w:rPr>
      </w:pPr>
      <w:r>
        <w:rPr>
          <w:rStyle w:val="FootnoteReference"/>
        </w:rPr>
        <w:footnoteRef/>
      </w:r>
      <w:r>
        <w:t xml:space="preserve"> </w:t>
      </w:r>
      <w:r>
        <w:rPr>
          <w:lang w:val="en-US"/>
        </w:rPr>
        <w:t xml:space="preserve">See </w:t>
      </w:r>
      <w:r>
        <w:t>B</w:t>
      </w:r>
      <w:r w:rsidRPr="00710FCE">
        <w:t xml:space="preserve"> </w:t>
      </w:r>
      <w:r>
        <w:rPr>
          <w:lang w:val="en-US"/>
        </w:rPr>
        <w:t>Markesinis with J</w:t>
      </w:r>
      <w:r w:rsidRPr="00710FCE">
        <w:rPr>
          <w:lang w:val="en-US"/>
        </w:rPr>
        <w:t xml:space="preserve"> Fedtke, </w:t>
      </w:r>
      <w:r w:rsidRPr="00710FCE">
        <w:rPr>
          <w:i/>
          <w:lang w:val="en-US"/>
        </w:rPr>
        <w:t>Engaging with Foreign Law</w:t>
      </w:r>
      <w:r w:rsidRPr="00710FCE">
        <w:rPr>
          <w:lang w:val="en-US"/>
        </w:rPr>
        <w:t xml:space="preserve"> (Hart</w:t>
      </w:r>
      <w:r>
        <w:rPr>
          <w:lang w:val="en-US"/>
        </w:rPr>
        <w:t xml:space="preserve"> Publishing</w:t>
      </w:r>
      <w:r w:rsidRPr="00710FCE">
        <w:rPr>
          <w:lang w:val="en-US"/>
        </w:rPr>
        <w:t xml:space="preserve">, </w:t>
      </w:r>
      <w:r>
        <w:rPr>
          <w:lang w:val="en-US"/>
        </w:rPr>
        <w:t xml:space="preserve">Oxford, </w:t>
      </w:r>
      <w:r w:rsidRPr="00710FCE">
        <w:rPr>
          <w:lang w:val="en-US"/>
        </w:rPr>
        <w:t>2009)</w:t>
      </w:r>
      <w:r>
        <w:rPr>
          <w:lang w:val="en-US"/>
        </w:rPr>
        <w:t>, A</w:t>
      </w:r>
      <w:r w:rsidRPr="00710FCE">
        <w:rPr>
          <w:lang w:val="en-US"/>
        </w:rPr>
        <w:t xml:space="preserve"> Slaughter, </w:t>
      </w:r>
      <w:r w:rsidRPr="00710FCE">
        <w:rPr>
          <w:i/>
          <w:lang w:val="en-US"/>
        </w:rPr>
        <w:t>A New World Order</w:t>
      </w:r>
      <w:r w:rsidRPr="00710FCE">
        <w:rPr>
          <w:lang w:val="en-US"/>
        </w:rPr>
        <w:t xml:space="preserve"> (Princeton University Press, </w:t>
      </w:r>
      <w:r>
        <w:rPr>
          <w:lang w:val="en-US"/>
        </w:rPr>
        <w:t xml:space="preserve">Princeton, </w:t>
      </w:r>
      <w:r w:rsidRPr="00710FCE">
        <w:rPr>
          <w:lang w:val="en-US"/>
        </w:rPr>
        <w:t>2004)</w:t>
      </w:r>
      <w:r>
        <w:rPr>
          <w:lang w:val="en-US"/>
        </w:rPr>
        <w:t xml:space="preserve">, and the comments of Breyer in </w:t>
      </w:r>
      <w:r w:rsidRPr="00710FCE">
        <w:rPr>
          <w:lang w:val="en-US"/>
        </w:rPr>
        <w:t>A</w:t>
      </w:r>
      <w:r>
        <w:rPr>
          <w:lang w:val="en-US"/>
        </w:rPr>
        <w:t xml:space="preserve"> </w:t>
      </w:r>
      <w:r w:rsidRPr="00710FCE">
        <w:rPr>
          <w:lang w:val="en-US"/>
        </w:rPr>
        <w:t xml:space="preserve">Scalia and </w:t>
      </w:r>
      <w:r>
        <w:rPr>
          <w:lang w:val="en-US"/>
        </w:rPr>
        <w:t xml:space="preserve">S </w:t>
      </w:r>
      <w:r w:rsidRPr="00710FCE">
        <w:rPr>
          <w:lang w:val="en-US"/>
        </w:rPr>
        <w:t xml:space="preserve">Breyer, ‘A Conversation between US Supreme Court Justices’ (2005) 3 </w:t>
      </w:r>
      <w:r w:rsidRPr="00794CCD">
        <w:rPr>
          <w:lang w:val="en-US"/>
        </w:rPr>
        <w:t xml:space="preserve">Int’l J Const L </w:t>
      </w:r>
      <w:r w:rsidRPr="00710FCE">
        <w:rPr>
          <w:lang w:val="en-US"/>
        </w:rPr>
        <w:t>519</w:t>
      </w:r>
      <w:r>
        <w:rPr>
          <w:lang w:val="en-US"/>
        </w:rPr>
        <w:t>.</w:t>
      </w:r>
    </w:p>
  </w:footnote>
  <w:footnote w:id="6">
    <w:p w14:paraId="121DD15D" w14:textId="7B4E2288" w:rsidR="000E04CC" w:rsidRPr="00C84CF6" w:rsidRDefault="000E04CC" w:rsidP="008B3A87">
      <w:pPr>
        <w:pStyle w:val="FootnoteText"/>
        <w:jc w:val="both"/>
        <w:rPr>
          <w:lang w:val="en-US"/>
        </w:rPr>
      </w:pPr>
      <w:r>
        <w:rPr>
          <w:rStyle w:val="FootnoteReference"/>
        </w:rPr>
        <w:footnoteRef/>
      </w:r>
      <w:r>
        <w:t xml:space="preserve"> </w:t>
      </w:r>
      <w:r w:rsidRPr="00C84CF6">
        <w:t>L’Heureux-Dubé presents judicial dialogue as an enhanced form of judicial learning</w:t>
      </w:r>
      <w:r>
        <w:t xml:space="preserve">. </w:t>
      </w:r>
      <w:r w:rsidRPr="004E38E6">
        <w:rPr>
          <w:lang w:val="en-US"/>
        </w:rPr>
        <w:t>Claire L'Heureux-Du</w:t>
      </w:r>
      <w:r>
        <w:rPr>
          <w:lang w:val="en-US"/>
        </w:rPr>
        <w:t xml:space="preserve">bé, </w:t>
      </w:r>
      <w:r w:rsidRPr="008E5612">
        <w:rPr>
          <w:i/>
          <w:iCs/>
          <w:lang w:val="en-US"/>
        </w:rPr>
        <w:t>The Importance of Dialogue: Globalization and the International Impact of the Rehnquist Cour</w:t>
      </w:r>
      <w:r>
        <w:rPr>
          <w:i/>
          <w:iCs/>
          <w:lang w:val="en-US"/>
        </w:rPr>
        <w:t>t</w:t>
      </w:r>
      <w:r>
        <w:rPr>
          <w:iCs/>
          <w:lang w:val="en-US"/>
        </w:rPr>
        <w:t xml:space="preserve"> (1998)</w:t>
      </w:r>
      <w:r w:rsidRPr="004E38E6">
        <w:rPr>
          <w:iCs/>
          <w:lang w:val="en-US"/>
        </w:rPr>
        <w:t xml:space="preserve"> </w:t>
      </w:r>
      <w:r>
        <w:rPr>
          <w:bCs/>
          <w:lang w:val="en-US"/>
        </w:rPr>
        <w:t xml:space="preserve">34 </w:t>
      </w:r>
      <w:r w:rsidRPr="00611F17">
        <w:rPr>
          <w:bCs/>
          <w:i/>
          <w:lang w:val="en-US"/>
        </w:rPr>
        <w:t>Tulsa LJ</w:t>
      </w:r>
      <w:r w:rsidRPr="00611F17">
        <w:rPr>
          <w:bCs/>
          <w:i/>
          <w:smallCaps/>
          <w:lang w:val="en-US"/>
        </w:rPr>
        <w:t xml:space="preserve"> </w:t>
      </w:r>
      <w:r>
        <w:rPr>
          <w:bCs/>
          <w:lang w:val="en-US"/>
        </w:rPr>
        <w:t>15, 17</w:t>
      </w:r>
      <w:r w:rsidRPr="004E38E6">
        <w:rPr>
          <w:bCs/>
          <w:lang w:val="en-US"/>
        </w:rPr>
        <w:t>.</w:t>
      </w:r>
      <w:r>
        <w:rPr>
          <w:bCs/>
          <w:lang w:val="en-US"/>
        </w:rPr>
        <w:t xml:space="preserve"> </w:t>
      </w:r>
      <w:r w:rsidRPr="00C84CF6">
        <w:rPr>
          <w:bCs/>
        </w:rPr>
        <w:t>Choudhry presents judicial dialogue as something akin to a dialectical comparison of national law with foreign law.</w:t>
      </w:r>
      <w:r>
        <w:rPr>
          <w:bCs/>
        </w:rPr>
        <w:t xml:space="preserve"> </w:t>
      </w:r>
      <w:r w:rsidRPr="00370B5A">
        <w:rPr>
          <w:lang w:val="en-US"/>
        </w:rPr>
        <w:t xml:space="preserve">Sujit Choudhry, </w:t>
      </w:r>
      <w:r>
        <w:rPr>
          <w:lang w:val="en-US"/>
        </w:rPr>
        <w:t>‘</w:t>
      </w:r>
      <w:r w:rsidRPr="00611F17">
        <w:rPr>
          <w:iCs/>
          <w:lang w:val="en-US"/>
        </w:rPr>
        <w:t>Globalsation in Search of Justification: Toward a Theory of Comparative Constitutional Interpretation</w:t>
      </w:r>
      <w:r>
        <w:rPr>
          <w:iCs/>
          <w:lang w:val="en-US"/>
        </w:rPr>
        <w:t>’ (1999)</w:t>
      </w:r>
      <w:r w:rsidRPr="00370B5A">
        <w:rPr>
          <w:i/>
          <w:iCs/>
          <w:lang w:val="en-US"/>
        </w:rPr>
        <w:t xml:space="preserve"> </w:t>
      </w:r>
      <w:r w:rsidRPr="00370B5A">
        <w:rPr>
          <w:lang w:val="en-US"/>
        </w:rPr>
        <w:t>74</w:t>
      </w:r>
      <w:r>
        <w:rPr>
          <w:lang w:val="en-US"/>
        </w:rPr>
        <w:t xml:space="preserve"> </w:t>
      </w:r>
      <w:r w:rsidRPr="00611F17">
        <w:rPr>
          <w:i/>
          <w:lang w:val="en-US"/>
        </w:rPr>
        <w:t>Ind LJ</w:t>
      </w:r>
      <w:r w:rsidRPr="00611F17">
        <w:rPr>
          <w:bCs/>
          <w:i/>
          <w:smallCaps/>
          <w:lang w:val="en-US"/>
        </w:rPr>
        <w:t xml:space="preserve"> </w:t>
      </w:r>
      <w:r w:rsidRPr="00370B5A">
        <w:rPr>
          <w:bCs/>
          <w:lang w:val="en-US"/>
        </w:rPr>
        <w:t>819</w:t>
      </w:r>
      <w:r>
        <w:rPr>
          <w:bCs/>
          <w:lang w:val="en-US"/>
        </w:rPr>
        <w:t xml:space="preserve">, 858. </w:t>
      </w:r>
      <w:r w:rsidRPr="00C84CF6">
        <w:rPr>
          <w:bCs/>
        </w:rPr>
        <w:t>Markisenis and Fedtke raise the possibility of an inter-jurisdictional discussion among judges, carried on through their written judgments, about the meaning of rights and other constitutional issues</w:t>
      </w:r>
      <w:r>
        <w:rPr>
          <w:bCs/>
        </w:rPr>
        <w:t xml:space="preserve">. </w:t>
      </w:r>
      <w:r>
        <w:rPr>
          <w:lang w:val="en-US"/>
        </w:rPr>
        <w:t xml:space="preserve">Markesinis with </w:t>
      </w:r>
      <w:r w:rsidRPr="00710FCE">
        <w:rPr>
          <w:lang w:val="en-US"/>
        </w:rPr>
        <w:t xml:space="preserve">Fedtke, </w:t>
      </w:r>
      <w:r w:rsidRPr="00710FCE">
        <w:rPr>
          <w:i/>
          <w:lang w:val="en-US"/>
        </w:rPr>
        <w:t>Engaging with Foreign Law</w:t>
      </w:r>
      <w:r w:rsidRPr="00710FCE">
        <w:rPr>
          <w:lang w:val="en-US"/>
        </w:rPr>
        <w:t xml:space="preserve"> </w:t>
      </w:r>
      <w:r>
        <w:rPr>
          <w:lang w:val="en-US"/>
        </w:rPr>
        <w:t>(n</w:t>
      </w:r>
      <w:r>
        <w:rPr>
          <w:lang w:val="en-US"/>
        </w:rPr>
        <w:fldChar w:fldCharType="begin"/>
      </w:r>
      <w:r>
        <w:rPr>
          <w:lang w:val="en-US"/>
        </w:rPr>
        <w:instrText xml:space="preserve"> NOTEREF _Ref308947543 \h </w:instrText>
      </w:r>
      <w:r>
        <w:rPr>
          <w:lang w:val="en-US"/>
        </w:rPr>
      </w:r>
      <w:r>
        <w:rPr>
          <w:lang w:val="en-US"/>
        </w:rPr>
        <w:fldChar w:fldCharType="separate"/>
      </w:r>
      <w:r>
        <w:rPr>
          <w:lang w:val="en-US"/>
        </w:rPr>
        <w:t>5</w:t>
      </w:r>
      <w:r>
        <w:rPr>
          <w:lang w:val="en-US"/>
        </w:rPr>
        <w:fldChar w:fldCharType="end"/>
      </w:r>
      <w:r>
        <w:rPr>
          <w:lang w:val="en-US"/>
        </w:rPr>
        <w:t>) 48.</w:t>
      </w:r>
    </w:p>
  </w:footnote>
  <w:footnote w:id="7">
    <w:p w14:paraId="5AB76D46" w14:textId="77777777" w:rsidR="000E04CC" w:rsidRPr="00440D55" w:rsidRDefault="000E04CC" w:rsidP="008B3A87">
      <w:pPr>
        <w:pStyle w:val="FootnoteText"/>
        <w:jc w:val="both"/>
        <w:rPr>
          <w:lang w:val="en-US"/>
        </w:rPr>
      </w:pPr>
      <w:r>
        <w:rPr>
          <w:rStyle w:val="FootnoteReference"/>
        </w:rPr>
        <w:footnoteRef/>
      </w:r>
      <w:r>
        <w:t xml:space="preserve"> </w:t>
      </w:r>
      <w:r>
        <w:rPr>
          <w:lang w:val="en-US"/>
        </w:rPr>
        <w:t>This assumes that it is not democratic for, say, the people of Switzerland to make laws for the people of Austria, even if the law-making procedures employed would be unimpeachably democratic if the Swiss were making laws for themselves.</w:t>
      </w:r>
    </w:p>
  </w:footnote>
  <w:footnote w:id="8">
    <w:p w14:paraId="7A76DD90" w14:textId="51863559" w:rsidR="000E04CC" w:rsidRPr="00A6583B" w:rsidRDefault="000E04CC" w:rsidP="008B3A87">
      <w:pPr>
        <w:pStyle w:val="FootnoteText"/>
        <w:jc w:val="both"/>
        <w:rPr>
          <w:lang w:val="en-US"/>
        </w:rPr>
      </w:pPr>
      <w:r>
        <w:rPr>
          <w:rStyle w:val="FootnoteReference"/>
        </w:rPr>
        <w:footnoteRef/>
      </w:r>
      <w:r>
        <w:t xml:space="preserve"> </w:t>
      </w:r>
      <w:r>
        <w:rPr>
          <w:lang w:val="en-US"/>
        </w:rPr>
        <w:t xml:space="preserve">In a survey of apex court judges, Flanagan and Ahern uncover some evidence that judges engage in such references. </w:t>
      </w:r>
      <w:r>
        <w:t>B Flanagan and S</w:t>
      </w:r>
      <w:r w:rsidRPr="00710FCE">
        <w:t xml:space="preserve"> Ahern, </w:t>
      </w:r>
      <w:r w:rsidRPr="00710FCE">
        <w:rPr>
          <w:lang w:val="en-US"/>
        </w:rPr>
        <w:t>‘Judicial Decision-Making and Transnational Law: A Survey of Common Law Supreme</w:t>
      </w:r>
      <w:r>
        <w:rPr>
          <w:lang w:val="en-US"/>
        </w:rPr>
        <w:t xml:space="preserve"> Court Judges’ (2011) 60 </w:t>
      </w:r>
      <w:r w:rsidRPr="00611F17">
        <w:rPr>
          <w:i/>
          <w:lang w:val="en-US"/>
        </w:rPr>
        <w:t>ICLQ</w:t>
      </w:r>
      <w:r>
        <w:rPr>
          <w:lang w:val="en-US"/>
        </w:rPr>
        <w:t xml:space="preserve"> 1, 23.</w:t>
      </w:r>
    </w:p>
  </w:footnote>
  <w:footnote w:id="9">
    <w:p w14:paraId="1E55203B" w14:textId="0C7135AF" w:rsidR="000E04CC" w:rsidRPr="00710FCE" w:rsidRDefault="000E04CC" w:rsidP="008B3A87">
      <w:pPr>
        <w:pStyle w:val="FootnoteText"/>
        <w:jc w:val="both"/>
      </w:pPr>
      <w:r w:rsidRPr="00710FCE">
        <w:rPr>
          <w:rStyle w:val="FootnoteReference"/>
        </w:rPr>
        <w:footnoteRef/>
      </w:r>
      <w:r w:rsidRPr="00710FCE">
        <w:t xml:space="preserve"> </w:t>
      </w:r>
      <w:r>
        <w:t xml:space="preserve">For instance, there may be differences between </w:t>
      </w:r>
      <w:r w:rsidRPr="00710FCE">
        <w:t>common law and civil law jurisdictions. For an exampl</w:t>
      </w:r>
      <w:r>
        <w:t>e of this approach, see C</w:t>
      </w:r>
      <w:r w:rsidRPr="00710FCE">
        <w:t xml:space="preserve"> Saunders, ‘Judicial Engagem</w:t>
      </w:r>
      <w:r>
        <w:t>ent with Comparative Law’ in T Ginsberg and R</w:t>
      </w:r>
      <w:r w:rsidRPr="00710FCE">
        <w:t xml:space="preserve"> Dixon (eds), </w:t>
      </w:r>
      <w:r w:rsidRPr="00710FCE">
        <w:rPr>
          <w:i/>
        </w:rPr>
        <w:t>Comparative Constitutional Law</w:t>
      </w:r>
      <w:r w:rsidRPr="00710FCE">
        <w:t xml:space="preserve"> (</w:t>
      </w:r>
      <w:r>
        <w:t>Edward Elgar, Cheltenham, 2011).</w:t>
      </w:r>
    </w:p>
  </w:footnote>
  <w:footnote w:id="10">
    <w:p w14:paraId="5595FF95" w14:textId="25CE7E97" w:rsidR="000E04CC" w:rsidRPr="00710FCE" w:rsidRDefault="000E04CC" w:rsidP="008B3A87">
      <w:pPr>
        <w:pStyle w:val="FootnoteText"/>
        <w:jc w:val="both"/>
        <w:rPr>
          <w:lang w:val="en-US"/>
        </w:rPr>
      </w:pPr>
      <w:r w:rsidRPr="00710FCE">
        <w:rPr>
          <w:rStyle w:val="FootnoteReference"/>
        </w:rPr>
        <w:footnoteRef/>
      </w:r>
      <w:r>
        <w:t xml:space="preserve"> Scalia (n </w:t>
      </w:r>
      <w:r>
        <w:fldChar w:fldCharType="begin"/>
      </w:r>
      <w:r>
        <w:instrText xml:space="preserve"> NOTEREF _Ref259875208 \h </w:instrText>
      </w:r>
      <w:r>
        <w:fldChar w:fldCharType="separate"/>
      </w:r>
      <w:r>
        <w:t>2</w:t>
      </w:r>
      <w:r>
        <w:fldChar w:fldCharType="end"/>
      </w:r>
      <w:r>
        <w:t>)</w:t>
      </w:r>
      <w:r w:rsidRPr="00710FCE">
        <w:t xml:space="preserve"> 1122.</w:t>
      </w:r>
    </w:p>
  </w:footnote>
  <w:footnote w:id="11">
    <w:p w14:paraId="767AD8D5" w14:textId="1C58E996" w:rsidR="000E04CC" w:rsidRPr="00710FCE" w:rsidRDefault="000E04CC" w:rsidP="008B3A87">
      <w:pPr>
        <w:pStyle w:val="FootnoteText"/>
        <w:jc w:val="both"/>
      </w:pPr>
      <w:r w:rsidRPr="00710FCE">
        <w:rPr>
          <w:rStyle w:val="FootnoteReference"/>
        </w:rPr>
        <w:footnoteRef/>
      </w:r>
      <w:r w:rsidRPr="00710FCE">
        <w:t xml:space="preserve"> </w:t>
      </w:r>
      <w:r w:rsidRPr="006C6A28">
        <w:t xml:space="preserve">Vlad Perju, ‘Constitutional Transplants, Borrowing, and Migrations’ in Rosenfeld and Sajó </w:t>
      </w:r>
      <w:r>
        <w:t xml:space="preserve">(eds) </w:t>
      </w:r>
      <w:r w:rsidRPr="00484EBC">
        <w:rPr>
          <w:i/>
          <w:lang w:val="en-US"/>
        </w:rPr>
        <w:t>Oxford Handbook of Comparative Constitutional law</w:t>
      </w:r>
      <w:r>
        <w:rPr>
          <w:lang w:val="en-US"/>
        </w:rPr>
        <w:t xml:space="preserve"> (Oxford University Press, Oxford, 2012).</w:t>
      </w:r>
    </w:p>
  </w:footnote>
  <w:footnote w:id="12">
    <w:p w14:paraId="61DD5E2F" w14:textId="3F22307E" w:rsidR="000E04CC" w:rsidRPr="00710FCE" w:rsidRDefault="000E04CC" w:rsidP="008B3A87">
      <w:pPr>
        <w:pStyle w:val="FootnoteText"/>
        <w:jc w:val="both"/>
        <w:rPr>
          <w:lang w:val="en-US"/>
        </w:rPr>
      </w:pPr>
      <w:r w:rsidRPr="00710FCE">
        <w:rPr>
          <w:rStyle w:val="FootnoteReference"/>
        </w:rPr>
        <w:footnoteRef/>
      </w:r>
      <w:r w:rsidRPr="00710FCE">
        <w:t xml:space="preserve"> </w:t>
      </w:r>
      <w:r w:rsidRPr="00710FCE">
        <w:rPr>
          <w:lang w:val="en-US"/>
        </w:rPr>
        <w:t>For st</w:t>
      </w:r>
      <w:r>
        <w:rPr>
          <w:lang w:val="en-US"/>
        </w:rPr>
        <w:t>rains of this approach, see M</w:t>
      </w:r>
      <w:r w:rsidRPr="00710FCE">
        <w:rPr>
          <w:lang w:val="en-US"/>
        </w:rPr>
        <w:t xml:space="preserve"> Tushnet, ‘Transnation</w:t>
      </w:r>
      <w:r>
        <w:rPr>
          <w:lang w:val="en-US"/>
        </w:rPr>
        <w:t>al/Domestic Constitutional Law’</w:t>
      </w:r>
      <w:r w:rsidRPr="00710FCE">
        <w:rPr>
          <w:lang w:val="en-US"/>
        </w:rPr>
        <w:t xml:space="preserve"> </w:t>
      </w:r>
      <w:r>
        <w:rPr>
          <w:lang w:val="en-US"/>
        </w:rPr>
        <w:t xml:space="preserve">(2004) </w:t>
      </w:r>
      <w:r w:rsidRPr="00710FCE">
        <w:rPr>
          <w:lang w:val="en-US"/>
        </w:rPr>
        <w:t xml:space="preserve">37 </w:t>
      </w:r>
      <w:r w:rsidRPr="00822FD3">
        <w:rPr>
          <w:i/>
          <w:lang w:val="en-US"/>
        </w:rPr>
        <w:t>Loyola of Los Angeles Law Review</w:t>
      </w:r>
      <w:r w:rsidRPr="00710FCE">
        <w:rPr>
          <w:lang w:val="en-US"/>
        </w:rPr>
        <w:t xml:space="preserve"> 239, 264 (2004)</w:t>
      </w:r>
      <w:r>
        <w:rPr>
          <w:lang w:val="en-US"/>
        </w:rPr>
        <w:t xml:space="preserve"> and V</w:t>
      </w:r>
      <w:r w:rsidRPr="00710FCE">
        <w:rPr>
          <w:lang w:val="en-US"/>
        </w:rPr>
        <w:t>C Jackson, ‘</w:t>
      </w:r>
      <w:r w:rsidRPr="00710FCE">
        <w:rPr>
          <w:iCs/>
          <w:lang w:val="en-US"/>
        </w:rPr>
        <w:t>Constitutional Comparisons: Convergence, Resistance, Engagement’</w:t>
      </w:r>
      <w:r w:rsidRPr="00710FCE">
        <w:rPr>
          <w:i/>
          <w:iCs/>
          <w:lang w:val="en-US"/>
        </w:rPr>
        <w:t xml:space="preserve"> </w:t>
      </w:r>
      <w:r>
        <w:rPr>
          <w:iCs/>
          <w:lang w:val="en-US"/>
        </w:rPr>
        <w:t xml:space="preserve">(2005) </w:t>
      </w:r>
      <w:r w:rsidRPr="00710FCE">
        <w:rPr>
          <w:lang w:val="en-US"/>
        </w:rPr>
        <w:t xml:space="preserve">119 </w:t>
      </w:r>
      <w:r w:rsidRPr="00611F17">
        <w:rPr>
          <w:i/>
          <w:lang w:val="en-US"/>
        </w:rPr>
        <w:t>Harv L Rev</w:t>
      </w:r>
      <w:r w:rsidRPr="00710FCE">
        <w:rPr>
          <w:lang w:val="en-US"/>
        </w:rPr>
        <w:t xml:space="preserve"> 109, 119.</w:t>
      </w:r>
    </w:p>
  </w:footnote>
  <w:footnote w:id="13">
    <w:p w14:paraId="45EB70CD" w14:textId="261EB0B7" w:rsidR="000E04CC" w:rsidRPr="00710FCE" w:rsidRDefault="000E04CC" w:rsidP="008B3A87">
      <w:pPr>
        <w:pStyle w:val="FootnoteText"/>
        <w:jc w:val="both"/>
      </w:pPr>
      <w:r w:rsidRPr="00710FCE">
        <w:rPr>
          <w:rStyle w:val="FootnoteReference"/>
        </w:rPr>
        <w:footnoteRef/>
      </w:r>
      <w:r>
        <w:t xml:space="preserve"> Waldron (n</w:t>
      </w:r>
      <w:r>
        <w:fldChar w:fldCharType="begin"/>
      </w:r>
      <w:r>
        <w:instrText xml:space="preserve"> NOTEREF _Ref308947579 \h </w:instrText>
      </w:r>
      <w:r>
        <w:fldChar w:fldCharType="separate"/>
      </w:r>
      <w:r>
        <w:t>4</w:t>
      </w:r>
      <w:r>
        <w:fldChar w:fldCharType="end"/>
      </w:r>
      <w:r>
        <w:t xml:space="preserve">) </w:t>
      </w:r>
      <w:r w:rsidRPr="00710FCE">
        <w:t>21.</w:t>
      </w:r>
    </w:p>
  </w:footnote>
  <w:footnote w:id="14">
    <w:p w14:paraId="74534BF9" w14:textId="58C3AB98" w:rsidR="000E04CC" w:rsidRPr="00710FCE" w:rsidRDefault="000E04CC" w:rsidP="008B3A87">
      <w:pPr>
        <w:pStyle w:val="FootnoteText"/>
        <w:jc w:val="both"/>
        <w:rPr>
          <w:lang w:val="en-US"/>
        </w:rPr>
      </w:pPr>
      <w:r w:rsidRPr="00710FCE">
        <w:rPr>
          <w:rStyle w:val="FootnoteReference"/>
        </w:rPr>
        <w:footnoteRef/>
      </w:r>
      <w:r w:rsidRPr="00710FCE">
        <w:t xml:space="preserve"> </w:t>
      </w:r>
      <w:r w:rsidRPr="00484EBC">
        <w:rPr>
          <w:lang w:val="en-US"/>
        </w:rPr>
        <w:t xml:space="preserve">ibid </w:t>
      </w:r>
      <w:r w:rsidRPr="00710FCE">
        <w:rPr>
          <w:lang w:val="en-US"/>
        </w:rPr>
        <w:t>61.</w:t>
      </w:r>
    </w:p>
  </w:footnote>
  <w:footnote w:id="15">
    <w:p w14:paraId="632FA12D" w14:textId="7DFD4327" w:rsidR="000E04CC" w:rsidRPr="00710FCE" w:rsidRDefault="000E04CC" w:rsidP="008B3A87">
      <w:pPr>
        <w:pStyle w:val="FootnoteText"/>
        <w:jc w:val="both"/>
        <w:rPr>
          <w:lang w:val="en-US"/>
        </w:rPr>
      </w:pPr>
      <w:r w:rsidRPr="00710FCE">
        <w:rPr>
          <w:rStyle w:val="FootnoteReference"/>
        </w:rPr>
        <w:footnoteRef/>
      </w:r>
      <w:r w:rsidRPr="00710FCE">
        <w:t xml:space="preserve"> </w:t>
      </w:r>
      <w:r>
        <w:rPr>
          <w:lang w:val="en-US"/>
        </w:rPr>
        <w:t>S</w:t>
      </w:r>
      <w:r w:rsidRPr="00710FCE">
        <w:rPr>
          <w:lang w:val="en-US"/>
        </w:rPr>
        <w:t xml:space="preserve"> Sedley, ‘Constitutional Court Judges Roundtable’ (2005) 3 Int’l J Const L 569, 570.</w:t>
      </w:r>
    </w:p>
  </w:footnote>
  <w:footnote w:id="16">
    <w:p w14:paraId="262E0500" w14:textId="7607F5F7" w:rsidR="000E04CC" w:rsidRPr="00710FCE" w:rsidRDefault="000E04CC" w:rsidP="008B3A87">
      <w:pPr>
        <w:pStyle w:val="FootnoteText"/>
        <w:jc w:val="both"/>
        <w:rPr>
          <w:lang w:val="en-US"/>
        </w:rPr>
      </w:pPr>
      <w:r w:rsidRPr="00710FCE">
        <w:rPr>
          <w:rStyle w:val="FootnoteReference"/>
        </w:rPr>
        <w:footnoteRef/>
      </w:r>
      <w:r w:rsidRPr="00710FCE">
        <w:t xml:space="preserve"> </w:t>
      </w:r>
      <w:r>
        <w:t>Glenn (</w:t>
      </w:r>
      <w:r>
        <w:rPr>
          <w:lang w:val="en-US"/>
        </w:rPr>
        <w:t>n</w:t>
      </w:r>
      <w:r>
        <w:rPr>
          <w:lang w:val="en-US"/>
        </w:rPr>
        <w:fldChar w:fldCharType="begin"/>
      </w:r>
      <w:r>
        <w:rPr>
          <w:lang w:val="en-US"/>
        </w:rPr>
        <w:instrText xml:space="preserve"> NOTEREF _Ref308947579 \h </w:instrText>
      </w:r>
      <w:r>
        <w:rPr>
          <w:lang w:val="en-US"/>
        </w:rPr>
      </w:r>
      <w:r>
        <w:rPr>
          <w:lang w:val="en-US"/>
        </w:rPr>
        <w:fldChar w:fldCharType="separate"/>
      </w:r>
      <w:r>
        <w:rPr>
          <w:lang w:val="en-US"/>
        </w:rPr>
        <w:t>4</w:t>
      </w:r>
      <w:r>
        <w:rPr>
          <w:lang w:val="en-US"/>
        </w:rPr>
        <w:fldChar w:fldCharType="end"/>
      </w:r>
      <w:r>
        <w:rPr>
          <w:lang w:val="en-US"/>
        </w:rPr>
        <w:t>)</w:t>
      </w:r>
      <w:r w:rsidRPr="00710FCE">
        <w:t xml:space="preserve"> 263. </w:t>
      </w:r>
    </w:p>
  </w:footnote>
  <w:footnote w:id="17">
    <w:p w14:paraId="3E5409A8" w14:textId="4D496033" w:rsidR="000E04CC" w:rsidRPr="00710FCE" w:rsidRDefault="000E04CC" w:rsidP="008B3A87">
      <w:pPr>
        <w:pStyle w:val="FootnoteText"/>
        <w:jc w:val="both"/>
        <w:rPr>
          <w:lang w:val="en-US"/>
        </w:rPr>
      </w:pPr>
      <w:r w:rsidRPr="00710FCE">
        <w:rPr>
          <w:rStyle w:val="FootnoteReference"/>
        </w:rPr>
        <w:footnoteRef/>
      </w:r>
      <w:r w:rsidRPr="00710FCE">
        <w:t xml:space="preserve"> </w:t>
      </w:r>
      <w:r>
        <w:t>Schauer (</w:t>
      </w:r>
      <w:r>
        <w:rPr>
          <w:lang w:val="en-US"/>
        </w:rPr>
        <w:t>n</w:t>
      </w:r>
      <w:r>
        <w:rPr>
          <w:lang w:val="en-US"/>
        </w:rPr>
        <w:fldChar w:fldCharType="begin"/>
      </w:r>
      <w:r>
        <w:rPr>
          <w:lang w:val="en-US"/>
        </w:rPr>
        <w:instrText xml:space="preserve"> NOTEREF _Ref308947579 \h </w:instrText>
      </w:r>
      <w:r>
        <w:rPr>
          <w:lang w:val="en-US"/>
        </w:rPr>
      </w:r>
      <w:r>
        <w:rPr>
          <w:lang w:val="en-US"/>
        </w:rPr>
        <w:fldChar w:fldCharType="separate"/>
      </w:r>
      <w:r>
        <w:rPr>
          <w:lang w:val="en-US"/>
        </w:rPr>
        <w:t>4</w:t>
      </w:r>
      <w:r>
        <w:rPr>
          <w:lang w:val="en-US"/>
        </w:rPr>
        <w:fldChar w:fldCharType="end"/>
      </w:r>
      <w:r>
        <w:rPr>
          <w:lang w:val="en-US"/>
        </w:rPr>
        <w:t>).</w:t>
      </w:r>
    </w:p>
  </w:footnote>
  <w:footnote w:id="18">
    <w:p w14:paraId="39035131" w14:textId="340B1AE3" w:rsidR="000E04CC" w:rsidRPr="00710FCE" w:rsidRDefault="000E04CC" w:rsidP="008B3A87">
      <w:pPr>
        <w:pStyle w:val="FootnoteText"/>
        <w:jc w:val="both"/>
        <w:rPr>
          <w:lang w:val="en-US"/>
        </w:rPr>
      </w:pPr>
      <w:r w:rsidRPr="00710FCE">
        <w:rPr>
          <w:rStyle w:val="FootnoteReference"/>
        </w:rPr>
        <w:footnoteRef/>
      </w:r>
      <w:r w:rsidRPr="00710FCE">
        <w:t xml:space="preserve"> </w:t>
      </w:r>
      <w:r w:rsidRPr="00484EBC">
        <w:rPr>
          <w:lang w:val="en-US"/>
        </w:rPr>
        <w:t>ibid</w:t>
      </w:r>
      <w:r w:rsidRPr="00710FCE">
        <w:rPr>
          <w:lang w:val="en-US"/>
        </w:rPr>
        <w:t xml:space="preserve"> 1946.</w:t>
      </w:r>
    </w:p>
  </w:footnote>
  <w:footnote w:id="19">
    <w:p w14:paraId="4F4E9280" w14:textId="3E1ECB95" w:rsidR="000E04CC" w:rsidRPr="005419E4" w:rsidRDefault="000E04CC" w:rsidP="008B3A87">
      <w:pPr>
        <w:pStyle w:val="FootnoteText"/>
        <w:jc w:val="both"/>
        <w:rPr>
          <w:lang w:val="en-US"/>
        </w:rPr>
      </w:pPr>
      <w:r w:rsidRPr="00710FCE">
        <w:rPr>
          <w:rStyle w:val="FootnoteReference"/>
        </w:rPr>
        <w:footnoteRef/>
      </w:r>
      <w:r w:rsidRPr="00710FCE">
        <w:t xml:space="preserve"> </w:t>
      </w:r>
      <w:r w:rsidRPr="00710FCE">
        <w:rPr>
          <w:lang w:val="en-US"/>
        </w:rPr>
        <w:t xml:space="preserve">Raz has been the leading exponent of attempts to understand law in terms of authority. </w:t>
      </w:r>
      <w:r>
        <w:rPr>
          <w:lang w:val="en-US"/>
        </w:rPr>
        <w:t xml:space="preserve">See, for instance, J Raz, </w:t>
      </w:r>
      <w:r>
        <w:rPr>
          <w:i/>
          <w:lang w:val="en-US"/>
        </w:rPr>
        <w:t xml:space="preserve">The Authority of </w:t>
      </w:r>
      <w:r w:rsidRPr="007F6B1D">
        <w:rPr>
          <w:lang w:val="en-US"/>
        </w:rPr>
        <w:t>Law</w:t>
      </w:r>
      <w:r>
        <w:rPr>
          <w:lang w:val="en-US"/>
        </w:rPr>
        <w:t xml:space="preserve"> (Clarendon Press, Oxford, 1979). </w:t>
      </w:r>
      <w:r w:rsidRPr="007F6B1D">
        <w:rPr>
          <w:lang w:val="en-US"/>
        </w:rPr>
        <w:t>The</w:t>
      </w:r>
      <w:r w:rsidRPr="00710FCE">
        <w:rPr>
          <w:lang w:val="en-US"/>
        </w:rPr>
        <w:t xml:space="preserve"> purpose here, however, is not to defend the use of authority in a general understanding of law but rather to introduce a series of distinctions around authority that helps inform the foreign law debate. For my own views on Raz’s concept of authority, which inform the short</w:t>
      </w:r>
      <w:r>
        <w:rPr>
          <w:lang w:val="en-US"/>
        </w:rPr>
        <w:t xml:space="preserve">er account given here, see O Doyle, ‘The Legitimate Authority of the Living Law’ (2012) 3 </w:t>
      </w:r>
      <w:r>
        <w:rPr>
          <w:i/>
          <w:lang w:val="en-US"/>
        </w:rPr>
        <w:t xml:space="preserve">Jurisprudence </w:t>
      </w:r>
      <w:r>
        <w:rPr>
          <w:lang w:val="en-US"/>
        </w:rPr>
        <w:t>113.</w:t>
      </w:r>
    </w:p>
  </w:footnote>
  <w:footnote w:id="20">
    <w:p w14:paraId="14572034" w14:textId="74230B18" w:rsidR="000E04CC" w:rsidRPr="00710FCE" w:rsidRDefault="000E04CC" w:rsidP="008B3A87">
      <w:pPr>
        <w:pStyle w:val="FootnoteText"/>
        <w:jc w:val="both"/>
      </w:pPr>
      <w:r w:rsidRPr="00710FCE">
        <w:rPr>
          <w:rStyle w:val="FootnoteReference"/>
        </w:rPr>
        <w:footnoteRef/>
      </w:r>
      <w:r w:rsidRPr="00710FCE">
        <w:t xml:space="preserve"> </w:t>
      </w:r>
      <w:r w:rsidRPr="00710FCE">
        <w:rPr>
          <w:lang w:val="en-US"/>
        </w:rPr>
        <w:t xml:space="preserve">This avoids a further problem in explaining law in terms of authority – the question of whether law can claim at all. On that problem, see </w:t>
      </w:r>
      <w:r>
        <w:t>R</w:t>
      </w:r>
      <w:r w:rsidRPr="00710FCE">
        <w:t xml:space="preserve"> Dworkin, ‘Thirty Years On’ </w:t>
      </w:r>
      <w:r>
        <w:t xml:space="preserve">(2002) </w:t>
      </w:r>
      <w:r w:rsidRPr="00710FCE">
        <w:t xml:space="preserve">115 </w:t>
      </w:r>
      <w:r w:rsidRPr="00611F17">
        <w:rPr>
          <w:i/>
        </w:rPr>
        <w:t xml:space="preserve">Harv L Rev </w:t>
      </w:r>
      <w:r>
        <w:t>1655 and J</w:t>
      </w:r>
      <w:r w:rsidRPr="00710FCE">
        <w:t xml:space="preserve"> Gardner, </w:t>
      </w:r>
      <w:r w:rsidRPr="00710FCE">
        <w:rPr>
          <w:i/>
        </w:rPr>
        <w:t>Law as a Leap of Faith</w:t>
      </w:r>
      <w:r w:rsidRPr="00710FCE">
        <w:t xml:space="preserve"> (O</w:t>
      </w:r>
      <w:r>
        <w:t xml:space="preserve">xford </w:t>
      </w:r>
      <w:r w:rsidRPr="00710FCE">
        <w:t>U</w:t>
      </w:r>
      <w:r>
        <w:t xml:space="preserve">niversity </w:t>
      </w:r>
      <w:r w:rsidRPr="00710FCE">
        <w:t>P</w:t>
      </w:r>
      <w:r>
        <w:t>ress, Oxford, 2012)</w:t>
      </w:r>
      <w:r w:rsidRPr="00710FCE">
        <w:t xml:space="preserve"> 125.</w:t>
      </w:r>
    </w:p>
  </w:footnote>
  <w:footnote w:id="21">
    <w:p w14:paraId="6F8BC802" w14:textId="1E54F65D" w:rsidR="000E04CC" w:rsidRPr="00710FCE" w:rsidRDefault="000E04CC" w:rsidP="008B3A87">
      <w:pPr>
        <w:pStyle w:val="FootnoteText"/>
        <w:jc w:val="both"/>
        <w:rPr>
          <w:lang w:val="en-US"/>
        </w:rPr>
      </w:pPr>
      <w:r w:rsidRPr="00710FCE">
        <w:rPr>
          <w:rStyle w:val="FootnoteReference"/>
        </w:rPr>
        <w:footnoteRef/>
      </w:r>
      <w:r w:rsidRPr="00710FCE">
        <w:t xml:space="preserve"> </w:t>
      </w:r>
      <w:r>
        <w:t>Tushnet, ‘</w:t>
      </w:r>
      <w:r w:rsidRPr="00710FCE">
        <w:rPr>
          <w:lang w:val="en-US"/>
        </w:rPr>
        <w:t>Transnation</w:t>
      </w:r>
      <w:r>
        <w:rPr>
          <w:lang w:val="en-US"/>
        </w:rPr>
        <w:t>al/Domestic Constitutional Law’</w:t>
      </w:r>
      <w:r w:rsidRPr="00710FCE">
        <w:rPr>
          <w:lang w:val="en-US"/>
        </w:rPr>
        <w:t xml:space="preserve"> </w:t>
      </w:r>
      <w:r>
        <w:rPr>
          <w:lang w:val="en-US"/>
        </w:rPr>
        <w:t>(n</w:t>
      </w:r>
      <w:r>
        <w:rPr>
          <w:lang w:val="en-US"/>
        </w:rPr>
        <w:fldChar w:fldCharType="begin"/>
      </w:r>
      <w:r>
        <w:rPr>
          <w:lang w:val="en-US"/>
        </w:rPr>
        <w:instrText xml:space="preserve"> NOTEREF _Ref250472063 \h </w:instrText>
      </w:r>
      <w:r>
        <w:rPr>
          <w:lang w:val="en-US"/>
        </w:rPr>
      </w:r>
      <w:r>
        <w:rPr>
          <w:lang w:val="en-US"/>
        </w:rPr>
        <w:fldChar w:fldCharType="separate"/>
      </w:r>
      <w:r>
        <w:rPr>
          <w:lang w:val="en-US"/>
        </w:rPr>
        <w:t>12</w:t>
      </w:r>
      <w:r>
        <w:rPr>
          <w:lang w:val="en-US"/>
        </w:rPr>
        <w:fldChar w:fldCharType="end"/>
      </w:r>
      <w:r>
        <w:rPr>
          <w:lang w:val="en-US"/>
        </w:rPr>
        <w:t xml:space="preserve">) and Jackson, </w:t>
      </w:r>
      <w:r w:rsidRPr="00710FCE">
        <w:rPr>
          <w:lang w:val="en-US"/>
        </w:rPr>
        <w:t>‘</w:t>
      </w:r>
      <w:r w:rsidRPr="00710FCE">
        <w:rPr>
          <w:iCs/>
          <w:lang w:val="en-US"/>
        </w:rPr>
        <w:t>Constitutional Comparisons: Convergence, Resistance, Engagement’</w:t>
      </w:r>
      <w:r>
        <w:rPr>
          <w:lang w:val="en-US"/>
        </w:rPr>
        <w:t xml:space="preserve"> (n</w:t>
      </w:r>
      <w:r>
        <w:rPr>
          <w:lang w:val="en-US"/>
        </w:rPr>
        <w:fldChar w:fldCharType="begin"/>
      </w:r>
      <w:r>
        <w:rPr>
          <w:lang w:val="en-US"/>
        </w:rPr>
        <w:instrText xml:space="preserve"> NOTEREF _Ref250472063 \h </w:instrText>
      </w:r>
      <w:r>
        <w:rPr>
          <w:lang w:val="en-US"/>
        </w:rPr>
      </w:r>
      <w:r>
        <w:rPr>
          <w:lang w:val="en-US"/>
        </w:rPr>
        <w:fldChar w:fldCharType="separate"/>
      </w:r>
      <w:r>
        <w:rPr>
          <w:lang w:val="en-US"/>
        </w:rPr>
        <w:t>12</w:t>
      </w:r>
      <w:r>
        <w:rPr>
          <w:lang w:val="en-US"/>
        </w:rPr>
        <w:fldChar w:fldCharType="end"/>
      </w:r>
      <w:r>
        <w:rPr>
          <w:lang w:val="en-US"/>
        </w:rPr>
        <w:t>)</w:t>
      </w:r>
      <w:r w:rsidRPr="00710FCE">
        <w:rPr>
          <w:lang w:val="en-US"/>
        </w:rPr>
        <w:t>.</w:t>
      </w:r>
    </w:p>
  </w:footnote>
  <w:footnote w:id="22">
    <w:p w14:paraId="2987B3F5" w14:textId="584351FB" w:rsidR="000E04CC" w:rsidRPr="00710FCE" w:rsidRDefault="000E04CC" w:rsidP="008B3A87">
      <w:pPr>
        <w:pStyle w:val="FootnoteText"/>
        <w:jc w:val="both"/>
        <w:rPr>
          <w:lang w:val="en-US"/>
        </w:rPr>
      </w:pPr>
      <w:r w:rsidRPr="00710FCE">
        <w:rPr>
          <w:rStyle w:val="FootnoteReference"/>
        </w:rPr>
        <w:footnoteRef/>
      </w:r>
      <w:r w:rsidRPr="00710FCE">
        <w:t xml:space="preserve"> </w:t>
      </w:r>
      <w:r>
        <w:rPr>
          <w:lang w:val="en-US"/>
        </w:rPr>
        <w:t>C</w:t>
      </w:r>
      <w:r w:rsidRPr="00710FCE">
        <w:rPr>
          <w:lang w:val="en-US"/>
        </w:rPr>
        <w:t xml:space="preserve"> Flanders, ‘Toward a Theory of Persuasive Authority’ </w:t>
      </w:r>
      <w:r>
        <w:rPr>
          <w:lang w:val="en-US"/>
        </w:rPr>
        <w:t xml:space="preserve">(2007) </w:t>
      </w:r>
      <w:r w:rsidRPr="00710FCE">
        <w:rPr>
          <w:lang w:val="en-US"/>
        </w:rPr>
        <w:t xml:space="preserve">62 </w:t>
      </w:r>
      <w:r w:rsidRPr="004F3721">
        <w:rPr>
          <w:i/>
          <w:lang w:val="en-US"/>
        </w:rPr>
        <w:t xml:space="preserve">Oklahoma Law Review </w:t>
      </w:r>
      <w:r w:rsidRPr="00710FCE">
        <w:rPr>
          <w:lang w:val="en-US"/>
        </w:rPr>
        <w:t xml:space="preserve">55. </w:t>
      </w:r>
      <w:r>
        <w:rPr>
          <w:lang w:val="en-US"/>
        </w:rPr>
        <w:t xml:space="preserve">Flanders is discussing persuasive authority as between different States. Obviously, the citation of foreign case law is considerably more problematic in the USA. </w:t>
      </w:r>
      <w:r w:rsidRPr="00710FCE">
        <w:rPr>
          <w:lang w:val="en-US"/>
        </w:rPr>
        <w:t>Similarly, Jackson considers that the fact that the foreign case law speaks as law in another jurisdiction puts it in a different category</w:t>
      </w:r>
      <w:r>
        <w:rPr>
          <w:lang w:val="en-US"/>
        </w:rPr>
        <w:t xml:space="preserve"> from scholarly articles. V</w:t>
      </w:r>
      <w:r w:rsidRPr="00710FCE">
        <w:rPr>
          <w:lang w:val="en-US"/>
        </w:rPr>
        <w:t xml:space="preserve">C Jackson, </w:t>
      </w:r>
      <w:r w:rsidRPr="00710FCE">
        <w:rPr>
          <w:i/>
          <w:lang w:val="en-US"/>
        </w:rPr>
        <w:t>Constitutional Engagement in a Transnational Era</w:t>
      </w:r>
      <w:r>
        <w:rPr>
          <w:lang w:val="en-US"/>
        </w:rPr>
        <w:t xml:space="preserve"> (Oxford University Press, Oxford, 2010)</w:t>
      </w:r>
      <w:r w:rsidRPr="00710FCE">
        <w:rPr>
          <w:lang w:val="en-US"/>
        </w:rPr>
        <w:t xml:space="preserve"> 148.</w:t>
      </w:r>
    </w:p>
  </w:footnote>
  <w:footnote w:id="23">
    <w:p w14:paraId="560F84F6" w14:textId="68BCF52D" w:rsidR="000E04CC" w:rsidRPr="00710FCE" w:rsidRDefault="000E04CC" w:rsidP="008B3A87">
      <w:pPr>
        <w:pStyle w:val="FootnoteText"/>
        <w:jc w:val="both"/>
        <w:rPr>
          <w:b/>
          <w:lang w:val="en-US"/>
        </w:rPr>
      </w:pPr>
      <w:r w:rsidRPr="00710FCE">
        <w:rPr>
          <w:rStyle w:val="FootnoteReference"/>
        </w:rPr>
        <w:footnoteRef/>
      </w:r>
      <w:r w:rsidRPr="00710FCE">
        <w:t xml:space="preserve"> </w:t>
      </w:r>
      <w:r>
        <w:rPr>
          <w:lang w:val="en-US"/>
        </w:rPr>
        <w:t>L</w:t>
      </w:r>
      <w:r w:rsidRPr="00710FCE">
        <w:rPr>
          <w:lang w:val="en-US"/>
        </w:rPr>
        <w:t xml:space="preserve">WH Ackermann, ‘Constitutional Comparativism in South Africa: A Response to Sir Basil Markesinis and Jörg Fedtke’ </w:t>
      </w:r>
      <w:r>
        <w:rPr>
          <w:lang w:val="en-US"/>
        </w:rPr>
        <w:t xml:space="preserve">(2005) </w:t>
      </w:r>
      <w:r w:rsidRPr="00710FCE">
        <w:rPr>
          <w:lang w:val="en-US"/>
        </w:rPr>
        <w:t xml:space="preserve">80 </w:t>
      </w:r>
      <w:r w:rsidRPr="00710FCE">
        <w:rPr>
          <w:i/>
          <w:lang w:val="en-US"/>
        </w:rPr>
        <w:t>Tulane Law Review</w:t>
      </w:r>
      <w:r w:rsidRPr="00710FCE">
        <w:rPr>
          <w:lang w:val="en-US"/>
        </w:rPr>
        <w:t xml:space="preserve"> 169, 183</w:t>
      </w:r>
      <w:r>
        <w:rPr>
          <w:lang w:val="en-US"/>
        </w:rPr>
        <w:t>. For the same view, see A</w:t>
      </w:r>
      <w:r w:rsidRPr="00710FCE">
        <w:rPr>
          <w:b/>
          <w:lang w:val="en-US"/>
        </w:rPr>
        <w:t xml:space="preserve"> </w:t>
      </w:r>
      <w:r w:rsidRPr="00710FCE">
        <w:rPr>
          <w:lang w:val="en-US"/>
        </w:rPr>
        <w:t xml:space="preserve">Barak, ‘Response to </w:t>
      </w:r>
      <w:r w:rsidRPr="00710FCE">
        <w:rPr>
          <w:i/>
          <w:lang w:val="en-US"/>
        </w:rPr>
        <w:t>The Judge as Comparatist</w:t>
      </w:r>
      <w:r w:rsidRPr="00710FCE">
        <w:rPr>
          <w:lang w:val="en-US"/>
        </w:rPr>
        <w:t xml:space="preserve">: Comparison in Public Law’ </w:t>
      </w:r>
      <w:r>
        <w:rPr>
          <w:lang w:val="en-US"/>
        </w:rPr>
        <w:t xml:space="preserve">(2005) </w:t>
      </w:r>
      <w:r w:rsidRPr="00710FCE">
        <w:rPr>
          <w:lang w:val="en-US"/>
        </w:rPr>
        <w:t xml:space="preserve">80 </w:t>
      </w:r>
      <w:r w:rsidRPr="00710FCE">
        <w:rPr>
          <w:i/>
          <w:lang w:val="en-US"/>
        </w:rPr>
        <w:t>Tulane Law Review</w:t>
      </w:r>
      <w:r w:rsidRPr="00710FCE">
        <w:rPr>
          <w:lang w:val="en-US"/>
        </w:rPr>
        <w:t xml:space="preserve"> 196, 198</w:t>
      </w:r>
      <w:r w:rsidRPr="00710FCE">
        <w:rPr>
          <w:b/>
          <w:lang w:val="en-US"/>
        </w:rPr>
        <w:t>.</w:t>
      </w:r>
    </w:p>
  </w:footnote>
  <w:footnote w:id="24">
    <w:p w14:paraId="2C6CABBB" w14:textId="10FF6618" w:rsidR="000E04CC" w:rsidRPr="00710FCE" w:rsidRDefault="000E04CC" w:rsidP="008B3A87">
      <w:pPr>
        <w:pStyle w:val="FootnoteText"/>
        <w:jc w:val="both"/>
        <w:rPr>
          <w:lang w:val="en-US"/>
        </w:rPr>
      </w:pPr>
      <w:r w:rsidRPr="00710FCE">
        <w:rPr>
          <w:rStyle w:val="FootnoteReference"/>
        </w:rPr>
        <w:footnoteRef/>
      </w:r>
      <w:r w:rsidRPr="00710FCE">
        <w:t xml:space="preserve"> </w:t>
      </w:r>
      <w:r>
        <w:t xml:space="preserve">Markisenis with Fedtke, </w:t>
      </w:r>
      <w:r>
        <w:rPr>
          <w:i/>
        </w:rPr>
        <w:t>Engaging with Foreign Law</w:t>
      </w:r>
      <w:r>
        <w:t xml:space="preserve"> (</w:t>
      </w:r>
      <w:r>
        <w:rPr>
          <w:lang w:val="en-US"/>
        </w:rPr>
        <w:t>n</w:t>
      </w:r>
      <w:r>
        <w:rPr>
          <w:lang w:val="en-US"/>
        </w:rPr>
        <w:fldChar w:fldCharType="begin"/>
      </w:r>
      <w:r>
        <w:rPr>
          <w:lang w:val="en-US"/>
        </w:rPr>
        <w:instrText xml:space="preserve"> NOTEREF _Ref308947543 \h </w:instrText>
      </w:r>
      <w:r>
        <w:rPr>
          <w:lang w:val="en-US"/>
        </w:rPr>
      </w:r>
      <w:r>
        <w:rPr>
          <w:lang w:val="en-US"/>
        </w:rPr>
        <w:fldChar w:fldCharType="separate"/>
      </w:r>
      <w:r>
        <w:rPr>
          <w:lang w:val="en-US"/>
        </w:rPr>
        <w:t>5</w:t>
      </w:r>
      <w:r>
        <w:rPr>
          <w:lang w:val="en-US"/>
        </w:rPr>
        <w:fldChar w:fldCharType="end"/>
      </w:r>
      <w:r>
        <w:rPr>
          <w:lang w:val="en-US"/>
        </w:rPr>
        <w:t xml:space="preserve">) </w:t>
      </w:r>
      <w:r w:rsidRPr="00710FCE">
        <w:rPr>
          <w:lang w:val="en-US"/>
        </w:rPr>
        <w:t>132.</w:t>
      </w:r>
    </w:p>
  </w:footnote>
  <w:footnote w:id="25">
    <w:p w14:paraId="60050105" w14:textId="6D821162" w:rsidR="000E04CC" w:rsidRPr="00710FCE" w:rsidRDefault="000E04CC" w:rsidP="008B3A87">
      <w:pPr>
        <w:pStyle w:val="FootnoteText"/>
        <w:jc w:val="both"/>
        <w:rPr>
          <w:lang w:val="en-US"/>
        </w:rPr>
      </w:pPr>
      <w:r w:rsidRPr="00710FCE">
        <w:rPr>
          <w:rStyle w:val="FootnoteReference"/>
        </w:rPr>
        <w:footnoteRef/>
      </w:r>
      <w:r>
        <w:rPr>
          <w:lang w:val="en-US"/>
        </w:rPr>
        <w:t xml:space="preserve"> Slaughter, </w:t>
      </w:r>
      <w:r>
        <w:rPr>
          <w:i/>
          <w:lang w:val="en-US"/>
        </w:rPr>
        <w:t xml:space="preserve">A New World Order </w:t>
      </w:r>
      <w:r>
        <w:rPr>
          <w:lang w:val="en-US"/>
        </w:rPr>
        <w:t>(n</w:t>
      </w:r>
      <w:r>
        <w:rPr>
          <w:lang w:val="en-US"/>
        </w:rPr>
        <w:fldChar w:fldCharType="begin"/>
      </w:r>
      <w:r>
        <w:rPr>
          <w:lang w:val="en-US"/>
        </w:rPr>
        <w:instrText xml:space="preserve"> NOTEREF _Ref308947543 \h </w:instrText>
      </w:r>
      <w:r>
        <w:rPr>
          <w:lang w:val="en-US"/>
        </w:rPr>
      </w:r>
      <w:r>
        <w:rPr>
          <w:lang w:val="en-US"/>
        </w:rPr>
        <w:fldChar w:fldCharType="separate"/>
      </w:r>
      <w:r>
        <w:rPr>
          <w:lang w:val="en-US"/>
        </w:rPr>
        <w:t>5</w:t>
      </w:r>
      <w:r>
        <w:rPr>
          <w:lang w:val="en-US"/>
        </w:rPr>
        <w:fldChar w:fldCharType="end"/>
      </w:r>
      <w:r>
        <w:rPr>
          <w:lang w:val="en-US"/>
        </w:rPr>
        <w:t xml:space="preserve">) </w:t>
      </w:r>
      <w:r w:rsidRPr="00710FCE">
        <w:rPr>
          <w:lang w:val="en-US"/>
        </w:rPr>
        <w:t>69.</w:t>
      </w:r>
    </w:p>
  </w:footnote>
  <w:footnote w:id="26">
    <w:p w14:paraId="3B04FFB9" w14:textId="672CBC7D" w:rsidR="000E04CC" w:rsidRPr="00710FCE" w:rsidRDefault="000E04CC" w:rsidP="008B3A87">
      <w:pPr>
        <w:pStyle w:val="FootnoteText"/>
        <w:jc w:val="both"/>
        <w:rPr>
          <w:lang w:val="en-US"/>
        </w:rPr>
      </w:pPr>
      <w:r w:rsidRPr="00710FCE">
        <w:rPr>
          <w:rStyle w:val="FootnoteReference"/>
        </w:rPr>
        <w:footnoteRef/>
      </w:r>
      <w:r w:rsidRPr="00710FCE">
        <w:t xml:space="preserve"> </w:t>
      </w:r>
      <w:r>
        <w:rPr>
          <w:lang w:val="en-US"/>
        </w:rPr>
        <w:t>V</w:t>
      </w:r>
      <w:r w:rsidRPr="00710FCE">
        <w:rPr>
          <w:bCs/>
          <w:lang w:val="en-US"/>
        </w:rPr>
        <w:t xml:space="preserve">C </w:t>
      </w:r>
      <w:r w:rsidRPr="00710FCE">
        <w:rPr>
          <w:lang w:val="en-US"/>
        </w:rPr>
        <w:t>Jackson, ‘</w:t>
      </w:r>
      <w:r w:rsidRPr="00710FCE">
        <w:rPr>
          <w:iCs/>
          <w:lang w:val="en-US"/>
        </w:rPr>
        <w:t xml:space="preserve">Narratives of Federalism: </w:t>
      </w:r>
      <w:r w:rsidRPr="00710FCE">
        <w:rPr>
          <w:bCs/>
          <w:iCs/>
          <w:lang w:val="en-US"/>
        </w:rPr>
        <w:t xml:space="preserve">Of </w:t>
      </w:r>
      <w:r w:rsidRPr="00710FCE">
        <w:rPr>
          <w:iCs/>
          <w:lang w:val="en-US"/>
        </w:rPr>
        <w:t>Continuities and Compara</w:t>
      </w:r>
      <w:r>
        <w:rPr>
          <w:iCs/>
          <w:lang w:val="en-US"/>
        </w:rPr>
        <w:t>tive Constitutional Experience’ (2001)</w:t>
      </w:r>
      <w:r w:rsidRPr="00710FCE">
        <w:rPr>
          <w:iCs/>
          <w:lang w:val="en-US"/>
        </w:rPr>
        <w:t xml:space="preserve"> </w:t>
      </w:r>
      <w:r w:rsidRPr="00710FCE">
        <w:rPr>
          <w:bCs/>
          <w:lang w:val="en-US"/>
        </w:rPr>
        <w:t xml:space="preserve">51 </w:t>
      </w:r>
      <w:r w:rsidRPr="004F3721">
        <w:rPr>
          <w:i/>
          <w:lang w:val="en-US"/>
        </w:rPr>
        <w:t xml:space="preserve">Duke </w:t>
      </w:r>
      <w:r w:rsidRPr="004F3721">
        <w:rPr>
          <w:bCs/>
          <w:i/>
          <w:lang w:val="en-US"/>
        </w:rPr>
        <w:t xml:space="preserve">LJ </w:t>
      </w:r>
      <w:r w:rsidRPr="00710FCE">
        <w:rPr>
          <w:bCs/>
          <w:lang w:val="en-US"/>
        </w:rPr>
        <w:t>223, 254</w:t>
      </w:r>
      <w:r w:rsidRPr="00710FCE">
        <w:rPr>
          <w:lang w:val="en-US"/>
        </w:rPr>
        <w:t xml:space="preserve">. </w:t>
      </w:r>
    </w:p>
  </w:footnote>
  <w:footnote w:id="27">
    <w:p w14:paraId="49D32D0E" w14:textId="2037B10D" w:rsidR="000E04CC" w:rsidRPr="00710FCE" w:rsidRDefault="000E04CC" w:rsidP="008B3A87">
      <w:pPr>
        <w:pStyle w:val="FootnoteText"/>
        <w:jc w:val="both"/>
        <w:rPr>
          <w:b/>
          <w:lang w:val="en-US"/>
        </w:rPr>
      </w:pPr>
      <w:r w:rsidRPr="00710FCE">
        <w:rPr>
          <w:rStyle w:val="FootnoteReference"/>
        </w:rPr>
        <w:footnoteRef/>
      </w:r>
      <w:r w:rsidRPr="00710FCE">
        <w:t xml:space="preserve"> </w:t>
      </w:r>
      <w:r>
        <w:t>Jackson, ‘</w:t>
      </w:r>
      <w:r w:rsidRPr="00710FCE">
        <w:rPr>
          <w:iCs/>
          <w:lang w:val="en-US"/>
        </w:rPr>
        <w:t>Constitutional Comparisons: Convergence, Resistance, Engagement</w:t>
      </w:r>
      <w:r>
        <w:rPr>
          <w:iCs/>
          <w:lang w:val="en-US"/>
        </w:rPr>
        <w:t>’</w:t>
      </w:r>
      <w:r w:rsidRPr="00710FCE">
        <w:rPr>
          <w:lang w:val="en-US"/>
        </w:rPr>
        <w:t xml:space="preserve"> </w:t>
      </w:r>
      <w:r>
        <w:rPr>
          <w:lang w:val="en-US"/>
        </w:rPr>
        <w:t>(</w:t>
      </w:r>
      <w:r w:rsidRPr="00710FCE">
        <w:rPr>
          <w:lang w:val="en-US"/>
        </w:rPr>
        <w:t>n</w:t>
      </w:r>
      <w:r w:rsidRPr="00710FCE">
        <w:rPr>
          <w:lang w:val="en-US"/>
        </w:rPr>
        <w:fldChar w:fldCharType="begin"/>
      </w:r>
      <w:r w:rsidRPr="00710FCE">
        <w:rPr>
          <w:lang w:val="en-US"/>
        </w:rPr>
        <w:instrText xml:space="preserve"> NOTEREF _Ref250472063 \h </w:instrText>
      </w:r>
      <w:r w:rsidRPr="00710FCE">
        <w:rPr>
          <w:lang w:val="en-US"/>
        </w:rPr>
      </w:r>
      <w:r w:rsidRPr="00710FCE">
        <w:rPr>
          <w:lang w:val="en-US"/>
        </w:rPr>
        <w:fldChar w:fldCharType="separate"/>
      </w:r>
      <w:r>
        <w:rPr>
          <w:lang w:val="en-US"/>
        </w:rPr>
        <w:t>12</w:t>
      </w:r>
      <w:r w:rsidRPr="00710FCE">
        <w:rPr>
          <w:lang w:val="en-US"/>
        </w:rPr>
        <w:fldChar w:fldCharType="end"/>
      </w:r>
      <w:r>
        <w:rPr>
          <w:lang w:val="en-US"/>
        </w:rPr>
        <w:t>)</w:t>
      </w:r>
      <w:r w:rsidRPr="00710FCE">
        <w:rPr>
          <w:lang w:val="en-US"/>
        </w:rPr>
        <w:t xml:space="preserve"> 110.</w:t>
      </w:r>
      <w:r>
        <w:rPr>
          <w:lang w:val="en-US"/>
        </w:rPr>
        <w:t xml:space="preserve"> Choudhry makes a similar point:</w:t>
      </w:r>
      <w:r w:rsidRPr="00710FCE">
        <w:rPr>
          <w:lang w:val="en-US"/>
        </w:rPr>
        <w:t xml:space="preserve"> </w:t>
      </w:r>
      <w:r>
        <w:rPr>
          <w:lang w:val="en-US"/>
        </w:rPr>
        <w:t>S</w:t>
      </w:r>
      <w:r w:rsidRPr="00710FCE">
        <w:rPr>
          <w:lang w:val="en-US"/>
        </w:rPr>
        <w:t xml:space="preserve"> Choudhry, ‘</w:t>
      </w:r>
      <w:r w:rsidRPr="00710FCE">
        <w:rPr>
          <w:iCs/>
          <w:lang w:val="en-US"/>
        </w:rPr>
        <w:t>Globalization in Search of Justification: Toward a Theory of Comparative Constitutional Interpretation’</w:t>
      </w:r>
      <w:r>
        <w:rPr>
          <w:iCs/>
          <w:lang w:val="en-US"/>
        </w:rPr>
        <w:t xml:space="preserve"> (n</w:t>
      </w:r>
      <w:r>
        <w:rPr>
          <w:iCs/>
          <w:lang w:val="en-US"/>
        </w:rPr>
        <w:fldChar w:fldCharType="begin"/>
      </w:r>
      <w:r>
        <w:rPr>
          <w:iCs/>
          <w:lang w:val="en-US"/>
        </w:rPr>
        <w:instrText xml:space="preserve"> NOTEREF _Ref308947826 \h </w:instrText>
      </w:r>
      <w:r>
        <w:rPr>
          <w:iCs/>
          <w:lang w:val="en-US"/>
        </w:rPr>
      </w:r>
      <w:r>
        <w:rPr>
          <w:iCs/>
          <w:lang w:val="en-US"/>
        </w:rPr>
        <w:fldChar w:fldCharType="separate"/>
      </w:r>
      <w:r>
        <w:rPr>
          <w:iCs/>
          <w:lang w:val="en-US"/>
        </w:rPr>
        <w:t>6</w:t>
      </w:r>
      <w:r>
        <w:rPr>
          <w:iCs/>
          <w:lang w:val="en-US"/>
        </w:rPr>
        <w:fldChar w:fldCharType="end"/>
      </w:r>
      <w:r>
        <w:rPr>
          <w:iCs/>
          <w:lang w:val="en-US"/>
        </w:rPr>
        <w:t xml:space="preserve">) </w:t>
      </w:r>
      <w:r w:rsidRPr="00710FCE">
        <w:rPr>
          <w:bCs/>
          <w:lang w:val="en-US"/>
        </w:rPr>
        <w:t>858.</w:t>
      </w:r>
    </w:p>
  </w:footnote>
  <w:footnote w:id="28">
    <w:p w14:paraId="45744B8D" w14:textId="4CD7B610" w:rsidR="000E04CC" w:rsidRPr="00710FCE" w:rsidRDefault="000E04CC" w:rsidP="008B3A87">
      <w:pPr>
        <w:pStyle w:val="FootnoteText"/>
        <w:jc w:val="both"/>
        <w:rPr>
          <w:lang w:val="en-US"/>
        </w:rPr>
      </w:pPr>
      <w:r w:rsidRPr="00710FCE">
        <w:rPr>
          <w:rStyle w:val="FootnoteReference"/>
        </w:rPr>
        <w:footnoteRef/>
      </w:r>
      <w:r w:rsidRPr="00710FCE">
        <w:t xml:space="preserve"> </w:t>
      </w:r>
      <w:r>
        <w:t>Breyer (</w:t>
      </w:r>
      <w:r>
        <w:rPr>
          <w:lang w:val="en-US"/>
        </w:rPr>
        <w:t>n</w:t>
      </w:r>
      <w:r>
        <w:rPr>
          <w:lang w:val="en-US"/>
        </w:rPr>
        <w:fldChar w:fldCharType="begin"/>
      </w:r>
      <w:r>
        <w:rPr>
          <w:lang w:val="en-US"/>
        </w:rPr>
        <w:instrText xml:space="preserve"> NOTEREF _Ref308947543 \h </w:instrText>
      </w:r>
      <w:r>
        <w:rPr>
          <w:lang w:val="en-US"/>
        </w:rPr>
      </w:r>
      <w:r>
        <w:rPr>
          <w:lang w:val="en-US"/>
        </w:rPr>
        <w:fldChar w:fldCharType="separate"/>
      </w:r>
      <w:r>
        <w:rPr>
          <w:lang w:val="en-US"/>
        </w:rPr>
        <w:t>5</w:t>
      </w:r>
      <w:r>
        <w:rPr>
          <w:lang w:val="en-US"/>
        </w:rPr>
        <w:fldChar w:fldCharType="end"/>
      </w:r>
      <w:r>
        <w:rPr>
          <w:lang w:val="en-US"/>
        </w:rPr>
        <w:t xml:space="preserve">) </w:t>
      </w:r>
      <w:r w:rsidRPr="00710FCE">
        <w:rPr>
          <w:lang w:val="en-US"/>
        </w:rPr>
        <w:t>524.</w:t>
      </w:r>
    </w:p>
  </w:footnote>
  <w:footnote w:id="29">
    <w:p w14:paraId="1983356B" w14:textId="60A5F46A" w:rsidR="000E04CC" w:rsidRPr="00710FCE" w:rsidRDefault="000E04CC" w:rsidP="008B3A87">
      <w:pPr>
        <w:pStyle w:val="FootnoteText"/>
        <w:jc w:val="both"/>
      </w:pPr>
      <w:r w:rsidRPr="00710FCE">
        <w:rPr>
          <w:rStyle w:val="FootnoteReference"/>
        </w:rPr>
        <w:footnoteRef/>
      </w:r>
      <w:r w:rsidRPr="00710FCE">
        <w:t xml:space="preserve"> </w:t>
      </w:r>
      <w:r>
        <w:t xml:space="preserve">Markisenis with Fedtke, </w:t>
      </w:r>
      <w:r>
        <w:rPr>
          <w:i/>
        </w:rPr>
        <w:t xml:space="preserve">Engaging with Foreign Law </w:t>
      </w:r>
      <w:r>
        <w:t>(</w:t>
      </w:r>
      <w:r w:rsidRPr="00710FCE">
        <w:rPr>
          <w:lang w:val="en-US"/>
        </w:rPr>
        <w:t>n</w:t>
      </w:r>
      <w:r>
        <w:rPr>
          <w:lang w:val="en-US"/>
        </w:rPr>
        <w:fldChar w:fldCharType="begin"/>
      </w:r>
      <w:r>
        <w:rPr>
          <w:lang w:val="en-US"/>
        </w:rPr>
        <w:instrText xml:space="preserve"> NOTEREF _Ref308947543 \h </w:instrText>
      </w:r>
      <w:r>
        <w:rPr>
          <w:lang w:val="en-US"/>
        </w:rPr>
      </w:r>
      <w:r>
        <w:rPr>
          <w:lang w:val="en-US"/>
        </w:rPr>
        <w:fldChar w:fldCharType="separate"/>
      </w:r>
      <w:r>
        <w:rPr>
          <w:lang w:val="en-US"/>
        </w:rPr>
        <w:t>5</w:t>
      </w:r>
      <w:r>
        <w:rPr>
          <w:lang w:val="en-US"/>
        </w:rPr>
        <w:fldChar w:fldCharType="end"/>
      </w:r>
      <w:r>
        <w:rPr>
          <w:lang w:val="en-US"/>
        </w:rPr>
        <w:t>) 161.</w:t>
      </w:r>
    </w:p>
  </w:footnote>
  <w:footnote w:id="30">
    <w:p w14:paraId="59A51180" w14:textId="74C61358" w:rsidR="000E04CC" w:rsidRPr="00710FCE" w:rsidRDefault="000E04CC" w:rsidP="008B3A87">
      <w:pPr>
        <w:pStyle w:val="FootnoteText"/>
        <w:jc w:val="both"/>
        <w:rPr>
          <w:lang w:val="en-US"/>
        </w:rPr>
      </w:pPr>
      <w:r w:rsidRPr="00710FCE">
        <w:rPr>
          <w:rStyle w:val="FootnoteReference"/>
        </w:rPr>
        <w:footnoteRef/>
      </w:r>
      <w:r w:rsidRPr="00710FCE">
        <w:t xml:space="preserve"> 543 US 551</w:t>
      </w:r>
      <w:r>
        <w:t xml:space="preserve"> </w:t>
      </w:r>
      <w:r w:rsidRPr="00710FCE">
        <w:t>(2005). The issue was whether the 8</w:t>
      </w:r>
      <w:r w:rsidRPr="00710FCE">
        <w:rPr>
          <w:vertAlign w:val="superscript"/>
        </w:rPr>
        <w:t>th</w:t>
      </w:r>
      <w:r w:rsidRPr="00710FCE">
        <w:t xml:space="preserve"> Amendment to the US Constitution prohibits the imposition of the death penalty for offences committed by minors.</w:t>
      </w:r>
    </w:p>
  </w:footnote>
  <w:footnote w:id="31">
    <w:p w14:paraId="2C9D4E37" w14:textId="0EB07DAC" w:rsidR="000E04CC" w:rsidRPr="00710FCE" w:rsidRDefault="000E04CC" w:rsidP="008B3A87">
      <w:pPr>
        <w:pStyle w:val="FootnoteText"/>
        <w:jc w:val="both"/>
        <w:rPr>
          <w:lang w:val="en-US"/>
        </w:rPr>
      </w:pPr>
      <w:r w:rsidRPr="00710FCE">
        <w:rPr>
          <w:rStyle w:val="FootnoteReference"/>
        </w:rPr>
        <w:footnoteRef/>
      </w:r>
      <w:r w:rsidRPr="00710FCE">
        <w:t xml:space="preserve"> </w:t>
      </w:r>
      <w:r>
        <w:rPr>
          <w:lang w:val="en-US"/>
        </w:rPr>
        <w:t xml:space="preserve">W </w:t>
      </w:r>
      <w:r w:rsidRPr="00710FCE">
        <w:rPr>
          <w:lang w:val="en-US"/>
        </w:rPr>
        <w:t xml:space="preserve">Hoffmann-Reim, ‘Constitutional Court Judges’ Roundtable’ (2005) 3 </w:t>
      </w:r>
      <w:r w:rsidRPr="004F3721">
        <w:rPr>
          <w:i/>
          <w:lang w:val="en-US"/>
        </w:rPr>
        <w:t xml:space="preserve">Int’l J Const L </w:t>
      </w:r>
      <w:r w:rsidRPr="00710FCE">
        <w:rPr>
          <w:lang w:val="en-US"/>
        </w:rPr>
        <w:t>556, 559.</w:t>
      </w:r>
    </w:p>
  </w:footnote>
  <w:footnote w:id="32">
    <w:p w14:paraId="6FDEFCE1" w14:textId="493B83AA" w:rsidR="000E04CC" w:rsidRPr="00710FCE" w:rsidRDefault="000E04CC" w:rsidP="008B3A87">
      <w:pPr>
        <w:pStyle w:val="FootnoteText"/>
        <w:jc w:val="both"/>
        <w:rPr>
          <w:lang w:val="en-US"/>
        </w:rPr>
      </w:pPr>
      <w:r w:rsidRPr="00710FCE">
        <w:rPr>
          <w:rStyle w:val="FootnoteReference"/>
        </w:rPr>
        <w:footnoteRef/>
      </w:r>
      <w:r w:rsidRPr="00710FCE">
        <w:t xml:space="preserve"> </w:t>
      </w:r>
      <w:r>
        <w:rPr>
          <w:lang w:val="en-US"/>
        </w:rPr>
        <w:t>R</w:t>
      </w:r>
      <w:r w:rsidRPr="00710FCE">
        <w:rPr>
          <w:lang w:val="en-US"/>
        </w:rPr>
        <w:t xml:space="preserve"> Bader Ginsburg, ‘A Decent Respect to the Opinions of [Human]kind: </w:t>
      </w:r>
      <w:r w:rsidRPr="00710FCE">
        <w:rPr>
          <w:iCs/>
          <w:lang w:val="en-US"/>
        </w:rPr>
        <w:t>The Value of a Comparative Perspective in Constitutional Adjudication</w:t>
      </w:r>
      <w:r>
        <w:rPr>
          <w:iCs/>
          <w:lang w:val="en-US"/>
        </w:rPr>
        <w:t>’</w:t>
      </w:r>
      <w:r w:rsidRPr="00710FCE">
        <w:rPr>
          <w:iCs/>
          <w:lang w:val="en-US"/>
        </w:rPr>
        <w:t xml:space="preserve"> (2005) </w:t>
      </w:r>
      <w:r w:rsidRPr="004F3721">
        <w:rPr>
          <w:i/>
          <w:iCs/>
          <w:lang w:val="en-US"/>
        </w:rPr>
        <w:t>64 Camb LJ</w:t>
      </w:r>
      <w:r w:rsidRPr="00710FCE">
        <w:rPr>
          <w:iCs/>
          <w:lang w:val="en-US"/>
        </w:rPr>
        <w:t xml:space="preserve"> 575, 580.</w:t>
      </w:r>
    </w:p>
  </w:footnote>
  <w:footnote w:id="33">
    <w:p w14:paraId="6245434A" w14:textId="1E31F793" w:rsidR="000E04CC" w:rsidRPr="0048791A" w:rsidRDefault="000E04CC" w:rsidP="008B3A87">
      <w:pPr>
        <w:pStyle w:val="FootnoteText"/>
        <w:jc w:val="both"/>
        <w:rPr>
          <w:lang w:val="en-US"/>
        </w:rPr>
      </w:pPr>
      <w:r>
        <w:rPr>
          <w:rStyle w:val="FootnoteReference"/>
        </w:rPr>
        <w:footnoteRef/>
      </w:r>
      <w:r>
        <w:t xml:space="preserve"> [1995] ZACC 3.</w:t>
      </w:r>
    </w:p>
  </w:footnote>
  <w:footnote w:id="34">
    <w:p w14:paraId="1633549D" w14:textId="6BDAEADC" w:rsidR="000E04CC" w:rsidRPr="00FC48B0" w:rsidRDefault="000E04CC" w:rsidP="008B3A87">
      <w:pPr>
        <w:pStyle w:val="FootnoteText"/>
        <w:jc w:val="both"/>
        <w:rPr>
          <w:lang w:val="en-US"/>
        </w:rPr>
      </w:pPr>
      <w:r>
        <w:rPr>
          <w:rStyle w:val="FootnoteReference"/>
        </w:rPr>
        <w:footnoteRef/>
      </w:r>
      <w:r>
        <w:t xml:space="preserve"> </w:t>
      </w:r>
      <w:r w:rsidRPr="00051E57">
        <w:t xml:space="preserve">ibid </w:t>
      </w:r>
      <w:r>
        <w:rPr>
          <w:lang w:val="en-US"/>
        </w:rPr>
        <w:t>[34]. Section 35(1) of the Interim Constitution required the Constitutional Court, when considering human rights claims under the Constitution, to have regard to applicable provisions of international law and permitted the Court ‘to have regard to comparable foreign case law.’ This provision, broadly replicated in s 39(1) of the current Constitution, is relevant to the legitimacy of having regard to foreign law but does not necessarily affect the way in which foreign law is used.</w:t>
      </w:r>
    </w:p>
  </w:footnote>
  <w:footnote w:id="35">
    <w:p w14:paraId="4A41BFA2" w14:textId="2A9D02AB" w:rsidR="000E04CC" w:rsidRPr="00DF6794" w:rsidRDefault="000E04CC" w:rsidP="008B3A87">
      <w:pPr>
        <w:pStyle w:val="FootnoteText"/>
        <w:jc w:val="both"/>
        <w:rPr>
          <w:lang w:val="en-US"/>
        </w:rPr>
      </w:pPr>
      <w:r w:rsidRPr="00051E57">
        <w:rPr>
          <w:rStyle w:val="FootnoteReference"/>
        </w:rPr>
        <w:footnoteRef/>
      </w:r>
      <w:r w:rsidRPr="00051E57">
        <w:t xml:space="preserve"> </w:t>
      </w:r>
      <w:r w:rsidRPr="00051E57">
        <w:rPr>
          <w:lang w:val="en-US"/>
        </w:rPr>
        <w:t xml:space="preserve">ibid </w:t>
      </w:r>
      <w:r>
        <w:rPr>
          <w:lang w:val="en-US"/>
        </w:rPr>
        <w:t>[56].</w:t>
      </w:r>
    </w:p>
  </w:footnote>
  <w:footnote w:id="36">
    <w:p w14:paraId="57619752" w14:textId="4268A9A7" w:rsidR="000E04CC" w:rsidRPr="00FC48B0" w:rsidRDefault="000E04CC" w:rsidP="008B3A87">
      <w:pPr>
        <w:pStyle w:val="FootnoteText"/>
        <w:jc w:val="both"/>
        <w:rPr>
          <w:lang w:val="en-US"/>
        </w:rPr>
      </w:pPr>
      <w:r>
        <w:rPr>
          <w:rStyle w:val="FootnoteReference"/>
        </w:rPr>
        <w:footnoteRef/>
      </w:r>
      <w:r>
        <w:t xml:space="preserve"> </w:t>
      </w:r>
      <w:r w:rsidRPr="00051E57">
        <w:rPr>
          <w:lang w:val="en-US"/>
        </w:rPr>
        <w:t xml:space="preserve">ibid </w:t>
      </w:r>
      <w:r>
        <w:rPr>
          <w:lang w:val="en-US"/>
        </w:rPr>
        <w:t>[37].</w:t>
      </w:r>
    </w:p>
  </w:footnote>
  <w:footnote w:id="37">
    <w:p w14:paraId="55F70D17" w14:textId="0FE8CEBA" w:rsidR="000E04CC" w:rsidRPr="006D330C" w:rsidRDefault="000E04CC" w:rsidP="008B3A87">
      <w:pPr>
        <w:pStyle w:val="FootnoteText"/>
        <w:jc w:val="both"/>
        <w:rPr>
          <w:lang w:val="en-US"/>
        </w:rPr>
      </w:pPr>
      <w:r>
        <w:rPr>
          <w:rStyle w:val="FootnoteReference"/>
        </w:rPr>
        <w:footnoteRef/>
      </w:r>
      <w:r>
        <w:t xml:space="preserve"> Perju (n</w:t>
      </w:r>
      <w:r>
        <w:fldChar w:fldCharType="begin"/>
      </w:r>
      <w:r>
        <w:instrText xml:space="preserve"> NOTEREF _Ref228618837 \h </w:instrText>
      </w:r>
      <w:r>
        <w:fldChar w:fldCharType="separate"/>
      </w:r>
      <w:r>
        <w:t>11</w:t>
      </w:r>
      <w:r>
        <w:fldChar w:fldCharType="end"/>
      </w:r>
      <w:r>
        <w:t>) 1318.</w:t>
      </w:r>
    </w:p>
  </w:footnote>
  <w:footnote w:id="38">
    <w:p w14:paraId="0D9DE690" w14:textId="3C111B8F" w:rsidR="000E04CC" w:rsidRPr="00710FCE" w:rsidRDefault="000E04CC" w:rsidP="008B3A87">
      <w:pPr>
        <w:pStyle w:val="FootnoteText"/>
        <w:jc w:val="both"/>
        <w:rPr>
          <w:lang w:val="en-US"/>
        </w:rPr>
      </w:pPr>
      <w:r w:rsidRPr="00710FCE">
        <w:rPr>
          <w:rStyle w:val="FootnoteReference"/>
        </w:rPr>
        <w:footnoteRef/>
      </w:r>
      <w:r w:rsidRPr="00710FCE">
        <w:t xml:space="preserve"> </w:t>
      </w:r>
      <w:r>
        <w:rPr>
          <w:lang w:val="en-US"/>
        </w:rPr>
        <w:t>C</w:t>
      </w:r>
      <w:r w:rsidRPr="00710FCE">
        <w:rPr>
          <w:lang w:val="en-US"/>
        </w:rPr>
        <w:t xml:space="preserve"> L'Heureux-Dubé, ‘</w:t>
      </w:r>
      <w:r w:rsidRPr="00710FCE">
        <w:rPr>
          <w:iCs/>
          <w:lang w:val="en-US"/>
        </w:rPr>
        <w:t xml:space="preserve">The Importance of Dialogue: Globalization and the International Impact of the Rehnquist Court’ </w:t>
      </w:r>
      <w:r>
        <w:rPr>
          <w:iCs/>
          <w:lang w:val="en-US"/>
        </w:rPr>
        <w:t xml:space="preserve">(1998) </w:t>
      </w:r>
      <w:r w:rsidRPr="00710FCE">
        <w:rPr>
          <w:bCs/>
          <w:lang w:val="en-US"/>
        </w:rPr>
        <w:t xml:space="preserve">34 </w:t>
      </w:r>
      <w:r w:rsidRPr="00EC6D65">
        <w:rPr>
          <w:bCs/>
          <w:i/>
          <w:lang w:val="en-US"/>
        </w:rPr>
        <w:t>Tulsa Law Journal</w:t>
      </w:r>
      <w:r w:rsidRPr="00710FCE">
        <w:rPr>
          <w:bCs/>
          <w:lang w:val="en-US"/>
        </w:rPr>
        <w:t xml:space="preserve"> 15, 17. See also </w:t>
      </w:r>
      <w:r w:rsidRPr="00710FCE">
        <w:rPr>
          <w:lang w:val="en-US"/>
        </w:rPr>
        <w:t xml:space="preserve">C McCrudden, </w:t>
      </w:r>
      <w:r w:rsidRPr="00710FCE">
        <w:t xml:space="preserve">‘A Common Law of Human Rights?: Transnational Judicial Conversations on Human Rights’ (2000) 20 </w:t>
      </w:r>
      <w:r w:rsidRPr="004F3721">
        <w:rPr>
          <w:i/>
        </w:rPr>
        <w:t>OJLS</w:t>
      </w:r>
      <w:r w:rsidRPr="00710FCE">
        <w:t xml:space="preserve"> 499, 528; </w:t>
      </w:r>
      <w:r w:rsidRPr="00710FCE">
        <w:rPr>
          <w:lang w:val="en-US"/>
        </w:rPr>
        <w:t xml:space="preserve">A Slaughter, ‘A Global Community of Courts’ (2003) 44 </w:t>
      </w:r>
      <w:r w:rsidRPr="004F3721">
        <w:rPr>
          <w:i/>
          <w:lang w:val="en-US"/>
        </w:rPr>
        <w:t>Harvard International Law Journal</w:t>
      </w:r>
      <w:r w:rsidRPr="00710FCE">
        <w:rPr>
          <w:lang w:val="en-US"/>
        </w:rPr>
        <w:t xml:space="preserve"> 191, 193;</w:t>
      </w:r>
      <w:r w:rsidRPr="00710FCE">
        <w:rPr>
          <w:b/>
          <w:lang w:val="en-US"/>
        </w:rPr>
        <w:t xml:space="preserve"> </w:t>
      </w:r>
      <w:r>
        <w:t>Markesinis with</w:t>
      </w:r>
      <w:r w:rsidRPr="00710FCE">
        <w:t xml:space="preserve"> Fedtke, </w:t>
      </w:r>
      <w:r>
        <w:rPr>
          <w:i/>
        </w:rPr>
        <w:t xml:space="preserve">Engaging with Foreign Law </w:t>
      </w:r>
      <w:r>
        <w:t>(n</w:t>
      </w:r>
      <w:r>
        <w:fldChar w:fldCharType="begin"/>
      </w:r>
      <w:r>
        <w:instrText xml:space="preserve"> NOTEREF _Ref308947543 \h </w:instrText>
      </w:r>
      <w:r>
        <w:fldChar w:fldCharType="separate"/>
      </w:r>
      <w:r>
        <w:t>5</w:t>
      </w:r>
      <w:r>
        <w:fldChar w:fldCharType="end"/>
      </w:r>
      <w:r>
        <w:t xml:space="preserve">) </w:t>
      </w:r>
      <w:r w:rsidRPr="00710FCE">
        <w:t xml:space="preserve">17, 47; </w:t>
      </w:r>
      <w:r>
        <w:t xml:space="preserve">B </w:t>
      </w:r>
      <w:r w:rsidRPr="00710FCE">
        <w:rPr>
          <w:lang w:val="en-US"/>
        </w:rPr>
        <w:t xml:space="preserve">Brye, ‘The Constitutional Judge and the International Constitutionalist Dialogue’ </w:t>
      </w:r>
      <w:r>
        <w:rPr>
          <w:lang w:val="en-US"/>
        </w:rPr>
        <w:t xml:space="preserve">(2005) </w:t>
      </w:r>
      <w:r w:rsidRPr="00710FCE">
        <w:rPr>
          <w:lang w:val="en-US"/>
        </w:rPr>
        <w:t xml:space="preserve">80 </w:t>
      </w:r>
      <w:r w:rsidRPr="00EC6D65">
        <w:rPr>
          <w:i/>
          <w:lang w:val="en-US"/>
        </w:rPr>
        <w:t>Tulane Law Review</w:t>
      </w:r>
      <w:r>
        <w:rPr>
          <w:lang w:val="en-US"/>
        </w:rPr>
        <w:t xml:space="preserve"> 203; G</w:t>
      </w:r>
      <w:r w:rsidRPr="00710FCE">
        <w:rPr>
          <w:lang w:val="en-US"/>
        </w:rPr>
        <w:t xml:space="preserve"> Canivet, ‘The Practice of Comparative Law by the Supreme Courts: Brief Reflections on the Dialogue between the Judges in the F</w:t>
      </w:r>
      <w:r>
        <w:rPr>
          <w:lang w:val="en-US"/>
        </w:rPr>
        <w:t xml:space="preserve">rench and European Experience’ (2005) </w:t>
      </w:r>
      <w:r w:rsidRPr="00EC6D65">
        <w:rPr>
          <w:i/>
          <w:lang w:val="en-US"/>
        </w:rPr>
        <w:t xml:space="preserve">Tulane Law Review </w:t>
      </w:r>
      <w:r w:rsidRPr="00710FCE">
        <w:rPr>
          <w:lang w:val="en-US"/>
        </w:rPr>
        <w:t>1377;</w:t>
      </w:r>
      <w:r w:rsidRPr="00710FCE">
        <w:rPr>
          <w:b/>
          <w:lang w:val="en-US"/>
        </w:rPr>
        <w:t xml:space="preserve"> </w:t>
      </w:r>
      <w:r>
        <w:rPr>
          <w:lang w:val="en-US"/>
        </w:rPr>
        <w:t>V</w:t>
      </w:r>
      <w:r w:rsidRPr="00710FCE">
        <w:rPr>
          <w:lang w:val="en-US"/>
        </w:rPr>
        <w:t xml:space="preserve"> Perju, ‘The Puzzling Parameters of the Foreign Law Debate’ </w:t>
      </w:r>
      <w:r>
        <w:rPr>
          <w:lang w:val="en-US"/>
        </w:rPr>
        <w:t xml:space="preserve">(2007) </w:t>
      </w:r>
      <w:r w:rsidRPr="00710FCE">
        <w:rPr>
          <w:lang w:val="en-US"/>
        </w:rPr>
        <w:t xml:space="preserve">20 </w:t>
      </w:r>
      <w:r w:rsidRPr="00EC6D65">
        <w:rPr>
          <w:i/>
          <w:lang w:val="en-US"/>
        </w:rPr>
        <w:t xml:space="preserve">Utah Law Review </w:t>
      </w:r>
      <w:r w:rsidRPr="00710FCE">
        <w:rPr>
          <w:lang w:val="en-US"/>
        </w:rPr>
        <w:t xml:space="preserve">167, 182; </w:t>
      </w:r>
      <w:r>
        <w:rPr>
          <w:lang w:val="en-US"/>
        </w:rPr>
        <w:t>V</w:t>
      </w:r>
      <w:r>
        <w:rPr>
          <w:b/>
          <w:lang w:val="en-US"/>
        </w:rPr>
        <w:t xml:space="preserve"> </w:t>
      </w:r>
      <w:r w:rsidRPr="00710FCE">
        <w:rPr>
          <w:lang w:val="en-US"/>
        </w:rPr>
        <w:t xml:space="preserve">Perju, </w:t>
      </w:r>
      <w:r>
        <w:rPr>
          <w:lang w:val="en-US"/>
        </w:rPr>
        <w:t>‘Constitutional Transplants, Borrowings and Migrations’ (n</w:t>
      </w:r>
      <w:r>
        <w:rPr>
          <w:lang w:val="en-US"/>
        </w:rPr>
        <w:fldChar w:fldCharType="begin"/>
      </w:r>
      <w:r>
        <w:rPr>
          <w:lang w:val="en-US"/>
        </w:rPr>
        <w:instrText xml:space="preserve"> NOTEREF _Ref228618837 \h </w:instrText>
      </w:r>
      <w:r>
        <w:rPr>
          <w:lang w:val="en-US"/>
        </w:rPr>
      </w:r>
      <w:r>
        <w:rPr>
          <w:lang w:val="en-US"/>
        </w:rPr>
        <w:fldChar w:fldCharType="separate"/>
      </w:r>
      <w:r>
        <w:rPr>
          <w:lang w:val="en-US"/>
        </w:rPr>
        <w:t>11</w:t>
      </w:r>
      <w:r>
        <w:rPr>
          <w:lang w:val="en-US"/>
        </w:rPr>
        <w:fldChar w:fldCharType="end"/>
      </w:r>
      <w:r>
        <w:rPr>
          <w:lang w:val="en-US"/>
        </w:rPr>
        <w:t>)</w:t>
      </w:r>
      <w:r w:rsidRPr="00710FCE">
        <w:rPr>
          <w:lang w:val="en-US"/>
        </w:rPr>
        <w:t xml:space="preserve"> 1324;</w:t>
      </w:r>
      <w:r>
        <w:rPr>
          <w:lang w:val="en-US"/>
        </w:rPr>
        <w:t xml:space="preserve"> S </w:t>
      </w:r>
      <w:r w:rsidRPr="00710FCE">
        <w:rPr>
          <w:lang w:val="en-US"/>
        </w:rPr>
        <w:t xml:space="preserve">Choudhry, </w:t>
      </w:r>
      <w:r w:rsidRPr="00051E57">
        <w:rPr>
          <w:lang w:val="en-US"/>
        </w:rPr>
        <w:t>‘Migration as a new metaphor in comparat</w:t>
      </w:r>
      <w:r>
        <w:rPr>
          <w:lang w:val="en-US"/>
        </w:rPr>
        <w:t>ive constitutional law’ in S</w:t>
      </w:r>
      <w:r w:rsidRPr="00051E57">
        <w:rPr>
          <w:lang w:val="en-US"/>
        </w:rPr>
        <w:t xml:space="preserve"> Choudhry (ed), </w:t>
      </w:r>
      <w:r w:rsidRPr="00051E57">
        <w:rPr>
          <w:i/>
          <w:lang w:val="en-US"/>
        </w:rPr>
        <w:t>The Migration of Constitutional Ideas</w:t>
      </w:r>
      <w:r w:rsidRPr="00051E57">
        <w:rPr>
          <w:lang w:val="en-US"/>
        </w:rPr>
        <w:t xml:space="preserve"> (Cambridge University Press, </w:t>
      </w:r>
      <w:r>
        <w:rPr>
          <w:lang w:val="en-US"/>
        </w:rPr>
        <w:t xml:space="preserve">Cambridge, </w:t>
      </w:r>
      <w:r w:rsidRPr="00051E57">
        <w:rPr>
          <w:lang w:val="en-US"/>
        </w:rPr>
        <w:t>2006)</w:t>
      </w:r>
      <w:r w:rsidRPr="00710FCE">
        <w:rPr>
          <w:lang w:val="en-US"/>
        </w:rPr>
        <w:t xml:space="preserve"> 22</w:t>
      </w:r>
      <w:r w:rsidRPr="00710FCE">
        <w:rPr>
          <w:b/>
          <w:lang w:val="en-US"/>
        </w:rPr>
        <w:t xml:space="preserve">; </w:t>
      </w:r>
      <w:r>
        <w:t>G</w:t>
      </w:r>
      <w:r w:rsidRPr="00710FCE">
        <w:t xml:space="preserve"> Halami, ‘The Use of Foreign Law in Constitutional Interpretation’ in </w:t>
      </w:r>
      <w:r>
        <w:t>Rosenfeld and Sajó (n</w:t>
      </w:r>
      <w:r>
        <w:fldChar w:fldCharType="begin"/>
      </w:r>
      <w:r>
        <w:instrText xml:space="preserve"> NOTEREF _Ref228618837 \h </w:instrText>
      </w:r>
      <w:r>
        <w:fldChar w:fldCharType="separate"/>
      </w:r>
      <w:r>
        <w:t>11</w:t>
      </w:r>
      <w:r>
        <w:fldChar w:fldCharType="end"/>
      </w:r>
      <w:r>
        <w:t xml:space="preserve">) </w:t>
      </w:r>
      <w:r w:rsidRPr="00710FCE">
        <w:t>1328.</w:t>
      </w:r>
    </w:p>
  </w:footnote>
  <w:footnote w:id="39">
    <w:p w14:paraId="72CF94BB" w14:textId="20BDC7D5" w:rsidR="000E04CC" w:rsidRPr="00710FCE" w:rsidRDefault="000E04CC" w:rsidP="008B3A87">
      <w:pPr>
        <w:pStyle w:val="FootnoteText"/>
        <w:jc w:val="both"/>
        <w:rPr>
          <w:lang w:val="en-US"/>
        </w:rPr>
      </w:pPr>
      <w:r w:rsidRPr="00710FCE">
        <w:rPr>
          <w:rStyle w:val="FootnoteReference"/>
        </w:rPr>
        <w:footnoteRef/>
      </w:r>
      <w:r w:rsidRPr="00710FCE">
        <w:t xml:space="preserve"> </w:t>
      </w:r>
      <w:r>
        <w:t>Flanagan and Ahern (</w:t>
      </w:r>
      <w:r w:rsidRPr="00710FCE">
        <w:rPr>
          <w:lang w:val="en-US"/>
        </w:rPr>
        <w:t>n</w:t>
      </w:r>
      <w:r>
        <w:rPr>
          <w:lang w:val="en-US"/>
        </w:rPr>
        <w:fldChar w:fldCharType="begin"/>
      </w:r>
      <w:r>
        <w:rPr>
          <w:lang w:val="en-US"/>
        </w:rPr>
        <w:instrText xml:space="preserve"> NOTEREF _Ref272419346 \h </w:instrText>
      </w:r>
      <w:r>
        <w:rPr>
          <w:lang w:val="en-US"/>
        </w:rPr>
      </w:r>
      <w:r>
        <w:rPr>
          <w:lang w:val="en-US"/>
        </w:rPr>
        <w:fldChar w:fldCharType="separate"/>
      </w:r>
      <w:r>
        <w:rPr>
          <w:lang w:val="en-US"/>
        </w:rPr>
        <w:t>8</w:t>
      </w:r>
      <w:r>
        <w:rPr>
          <w:lang w:val="en-US"/>
        </w:rPr>
        <w:fldChar w:fldCharType="end"/>
      </w:r>
      <w:r>
        <w:rPr>
          <w:lang w:val="en-US"/>
        </w:rPr>
        <w:t>)</w:t>
      </w:r>
      <w:r w:rsidRPr="00710FCE">
        <w:rPr>
          <w:lang w:val="en-US"/>
        </w:rPr>
        <w:t xml:space="preserve"> 16.</w:t>
      </w:r>
    </w:p>
  </w:footnote>
  <w:footnote w:id="40">
    <w:p w14:paraId="7DA2CFA4" w14:textId="716C9824" w:rsidR="000E04CC" w:rsidRPr="00710FCE" w:rsidRDefault="000E04CC" w:rsidP="008B3A87">
      <w:pPr>
        <w:pStyle w:val="FootnoteText"/>
        <w:jc w:val="both"/>
        <w:rPr>
          <w:lang w:val="en-US"/>
        </w:rPr>
      </w:pPr>
      <w:r w:rsidRPr="00710FCE">
        <w:rPr>
          <w:rStyle w:val="FootnoteReference"/>
        </w:rPr>
        <w:footnoteRef/>
      </w:r>
      <w:r w:rsidRPr="00710FCE">
        <w:t xml:space="preserve"> </w:t>
      </w:r>
      <w:r w:rsidRPr="00710FCE">
        <w:rPr>
          <w:lang w:val="en-US"/>
        </w:rPr>
        <w:t>Jackson notes that dialogue implies a conversation that may not always be taking place. For this reason, she prefers the broader te</w:t>
      </w:r>
      <w:r>
        <w:rPr>
          <w:lang w:val="en-US"/>
        </w:rPr>
        <w:t xml:space="preserve">rm ‘engagement’. Jackson, </w:t>
      </w:r>
      <w:r>
        <w:rPr>
          <w:i/>
          <w:lang w:val="en-US"/>
        </w:rPr>
        <w:t>Constitutional Engagement in a Transnational Era</w:t>
      </w:r>
      <w:r>
        <w:rPr>
          <w:lang w:val="en-US"/>
        </w:rPr>
        <w:t xml:space="preserve"> (</w:t>
      </w:r>
      <w:r w:rsidRPr="00710FCE">
        <w:rPr>
          <w:lang w:val="en-US"/>
        </w:rPr>
        <w:t>n</w:t>
      </w:r>
      <w:r>
        <w:rPr>
          <w:lang w:val="en-US"/>
        </w:rPr>
        <w:fldChar w:fldCharType="begin"/>
      </w:r>
      <w:r>
        <w:rPr>
          <w:lang w:val="en-US"/>
        </w:rPr>
        <w:instrText xml:space="preserve"> NOTEREF _Ref228348189 \h </w:instrText>
      </w:r>
      <w:r>
        <w:rPr>
          <w:lang w:val="en-US"/>
        </w:rPr>
      </w:r>
      <w:r>
        <w:rPr>
          <w:lang w:val="en-US"/>
        </w:rPr>
        <w:fldChar w:fldCharType="separate"/>
      </w:r>
      <w:r>
        <w:rPr>
          <w:lang w:val="en-US"/>
        </w:rPr>
        <w:t>22</w:t>
      </w:r>
      <w:r>
        <w:rPr>
          <w:lang w:val="en-US"/>
        </w:rPr>
        <w:fldChar w:fldCharType="end"/>
      </w:r>
      <w:r>
        <w:rPr>
          <w:lang w:val="en-US"/>
        </w:rPr>
        <w:t>)</w:t>
      </w:r>
      <w:r w:rsidRPr="00710FCE">
        <w:rPr>
          <w:i/>
          <w:lang w:val="en-US"/>
        </w:rPr>
        <w:t xml:space="preserve"> </w:t>
      </w:r>
      <w:r w:rsidRPr="00710FCE">
        <w:rPr>
          <w:lang w:val="en-US"/>
        </w:rPr>
        <w:t>71. ‘Engagement’ encompasses and perhaps is co-extensive with the notion of judicial learning under consideration here.</w:t>
      </w:r>
      <w:r w:rsidRPr="00C94294">
        <w:rPr>
          <w:lang w:val="en-US"/>
        </w:rPr>
        <w:t xml:space="preserve"> </w:t>
      </w:r>
      <w:r w:rsidRPr="00710FCE">
        <w:rPr>
          <w:lang w:val="en-US"/>
        </w:rPr>
        <w:t>L’Heureux-Dubé distinguishes dialogue from one-way transmission, again suggesting that what she has in mind is reciprocal listening more than dialogue</w:t>
      </w:r>
      <w:r>
        <w:rPr>
          <w:lang w:val="en-US"/>
        </w:rPr>
        <w:t xml:space="preserve"> in the sense of two courts speaking to each other. </w:t>
      </w:r>
      <w:r w:rsidRPr="00710FCE">
        <w:rPr>
          <w:lang w:val="en-US"/>
        </w:rPr>
        <w:t>L’Heureux-Dubé, ‘The Importance of Dialogue: Globalization, the Rehnquist Cou</w:t>
      </w:r>
      <w:r>
        <w:rPr>
          <w:lang w:val="en-US"/>
        </w:rPr>
        <w:t>rt, and Human Rights’ (n</w:t>
      </w:r>
      <w:r>
        <w:rPr>
          <w:lang w:val="en-US"/>
        </w:rPr>
        <w:fldChar w:fldCharType="begin"/>
      </w:r>
      <w:r>
        <w:rPr>
          <w:lang w:val="en-US"/>
        </w:rPr>
        <w:instrText xml:space="preserve"> NOTEREF _Ref308947826 \h </w:instrText>
      </w:r>
      <w:r>
        <w:rPr>
          <w:lang w:val="en-US"/>
        </w:rPr>
      </w:r>
      <w:r>
        <w:rPr>
          <w:lang w:val="en-US"/>
        </w:rPr>
        <w:fldChar w:fldCharType="separate"/>
      </w:r>
      <w:r>
        <w:rPr>
          <w:lang w:val="en-US"/>
        </w:rPr>
        <w:t>6</w:t>
      </w:r>
      <w:r>
        <w:rPr>
          <w:lang w:val="en-US"/>
        </w:rPr>
        <w:fldChar w:fldCharType="end"/>
      </w:r>
      <w:r>
        <w:rPr>
          <w:lang w:val="en-US"/>
        </w:rPr>
        <w:t xml:space="preserve">) </w:t>
      </w:r>
      <w:r w:rsidRPr="00710FCE">
        <w:rPr>
          <w:lang w:val="en-US"/>
        </w:rPr>
        <w:t>236.</w:t>
      </w:r>
    </w:p>
  </w:footnote>
  <w:footnote w:id="41">
    <w:p w14:paraId="206D87EC" w14:textId="5146F424" w:rsidR="000E04CC" w:rsidRPr="00710FCE" w:rsidRDefault="000E04CC" w:rsidP="008B3A87">
      <w:pPr>
        <w:pStyle w:val="FootnoteText"/>
        <w:jc w:val="both"/>
        <w:rPr>
          <w:lang w:val="en-US"/>
        </w:rPr>
      </w:pPr>
      <w:r w:rsidRPr="00710FCE">
        <w:rPr>
          <w:rStyle w:val="FootnoteReference"/>
        </w:rPr>
        <w:footnoteRef/>
      </w:r>
      <w:r w:rsidRPr="00710FCE">
        <w:t xml:space="preserve"> </w:t>
      </w:r>
      <w:r>
        <w:t xml:space="preserve">Choudhry, </w:t>
      </w:r>
      <w:r>
        <w:rPr>
          <w:lang w:val="en-US"/>
        </w:rPr>
        <w:t>‘</w:t>
      </w:r>
      <w:r w:rsidRPr="00710FCE">
        <w:rPr>
          <w:iCs/>
          <w:lang w:val="en-US"/>
        </w:rPr>
        <w:t>Globalization in Search of Justification: Toward a Theory of Comparative Constitutional Interpretation</w:t>
      </w:r>
      <w:r>
        <w:rPr>
          <w:iCs/>
          <w:lang w:val="en-US"/>
        </w:rPr>
        <w:t>’</w:t>
      </w:r>
      <w:r>
        <w:rPr>
          <w:lang w:val="en-US"/>
        </w:rPr>
        <w:t xml:space="preserve"> </w:t>
      </w:r>
      <w:r>
        <w:t>(</w:t>
      </w:r>
      <w:r w:rsidRPr="00710FCE">
        <w:rPr>
          <w:lang w:val="en-US"/>
        </w:rPr>
        <w:t>n</w:t>
      </w:r>
      <w:r>
        <w:rPr>
          <w:lang w:val="en-US"/>
        </w:rPr>
        <w:fldChar w:fldCharType="begin"/>
      </w:r>
      <w:r>
        <w:rPr>
          <w:lang w:val="en-US"/>
        </w:rPr>
        <w:instrText xml:space="preserve"> NOTEREF _Ref308947826 \h </w:instrText>
      </w:r>
      <w:r>
        <w:rPr>
          <w:lang w:val="en-US"/>
        </w:rPr>
      </w:r>
      <w:r>
        <w:rPr>
          <w:lang w:val="en-US"/>
        </w:rPr>
        <w:fldChar w:fldCharType="separate"/>
      </w:r>
      <w:r>
        <w:rPr>
          <w:lang w:val="en-US"/>
        </w:rPr>
        <w:t>6</w:t>
      </w:r>
      <w:r>
        <w:rPr>
          <w:lang w:val="en-US"/>
        </w:rPr>
        <w:fldChar w:fldCharType="end"/>
      </w:r>
      <w:r>
        <w:rPr>
          <w:lang w:val="en-US"/>
        </w:rPr>
        <w:t xml:space="preserve">). Yap refers to this as the diagnostic value of foreign law. See Po-Jen Yap, ‘Transnational Constitutionalism in the United States: Toward a Worldwide Use of Interpretive Modes of Comparative Reasoning’ (2005) 39 </w:t>
      </w:r>
      <w:r w:rsidRPr="004F3721">
        <w:rPr>
          <w:i/>
          <w:lang w:val="en-US"/>
        </w:rPr>
        <w:t>USF L Rev</w:t>
      </w:r>
      <w:r>
        <w:rPr>
          <w:lang w:val="en-US"/>
        </w:rPr>
        <w:t xml:space="preserve"> 999, 1001.</w:t>
      </w:r>
    </w:p>
  </w:footnote>
  <w:footnote w:id="42">
    <w:p w14:paraId="3A572953" w14:textId="132FF19B" w:rsidR="000E04CC" w:rsidRPr="00710FCE" w:rsidRDefault="000E04CC" w:rsidP="008B3A87">
      <w:pPr>
        <w:pStyle w:val="FootnoteText"/>
        <w:jc w:val="both"/>
        <w:rPr>
          <w:lang w:val="en-US"/>
        </w:rPr>
      </w:pPr>
      <w:r w:rsidRPr="00710FCE">
        <w:rPr>
          <w:rStyle w:val="FootnoteReference"/>
        </w:rPr>
        <w:footnoteRef/>
      </w:r>
      <w:r w:rsidRPr="00710FCE">
        <w:t xml:space="preserve"> </w:t>
      </w:r>
      <w:r w:rsidRPr="00710FCE">
        <w:rPr>
          <w:lang w:val="en-US"/>
        </w:rPr>
        <w:t>543 US 551</w:t>
      </w:r>
      <w:r>
        <w:rPr>
          <w:lang w:val="en-US"/>
        </w:rPr>
        <w:t xml:space="preserve"> (2005).</w:t>
      </w:r>
    </w:p>
  </w:footnote>
  <w:footnote w:id="43">
    <w:p w14:paraId="3F2380D9" w14:textId="1599F6E2" w:rsidR="000E04CC" w:rsidRPr="00710FCE" w:rsidRDefault="000E04CC" w:rsidP="008B3A87">
      <w:pPr>
        <w:pStyle w:val="FootnoteText"/>
        <w:jc w:val="both"/>
        <w:rPr>
          <w:lang w:val="en-US"/>
        </w:rPr>
      </w:pPr>
      <w:r w:rsidRPr="00710FCE">
        <w:rPr>
          <w:rStyle w:val="FootnoteReference"/>
        </w:rPr>
        <w:footnoteRef/>
      </w:r>
      <w:r w:rsidRPr="00710FCE">
        <w:t xml:space="preserve"> </w:t>
      </w:r>
      <w:r>
        <w:t>Sedley (</w:t>
      </w:r>
      <w:r>
        <w:rPr>
          <w:lang w:val="en-US"/>
        </w:rPr>
        <w:t>n</w:t>
      </w:r>
      <w:r>
        <w:rPr>
          <w:lang w:val="en-US"/>
        </w:rPr>
        <w:fldChar w:fldCharType="begin"/>
      </w:r>
      <w:r>
        <w:rPr>
          <w:lang w:val="en-US"/>
        </w:rPr>
        <w:instrText xml:space="preserve"> NOTEREF _Ref259876570 \h </w:instrText>
      </w:r>
      <w:r>
        <w:rPr>
          <w:lang w:val="en-US"/>
        </w:rPr>
      </w:r>
      <w:r>
        <w:rPr>
          <w:lang w:val="en-US"/>
        </w:rPr>
        <w:fldChar w:fldCharType="separate"/>
      </w:r>
      <w:r>
        <w:rPr>
          <w:lang w:val="en-US"/>
        </w:rPr>
        <w:t>15</w:t>
      </w:r>
      <w:r>
        <w:rPr>
          <w:lang w:val="en-US"/>
        </w:rPr>
        <w:fldChar w:fldCharType="end"/>
      </w:r>
      <w:r>
        <w:rPr>
          <w:lang w:val="en-US"/>
        </w:rPr>
        <w:t>)</w:t>
      </w:r>
      <w:r w:rsidRPr="00710FCE">
        <w:rPr>
          <w:lang w:val="en-US"/>
        </w:rPr>
        <w:t xml:space="preserve"> 570.</w:t>
      </w:r>
    </w:p>
  </w:footnote>
  <w:footnote w:id="44">
    <w:p w14:paraId="3CD9362F" w14:textId="74B929D6" w:rsidR="000E04CC" w:rsidRPr="00710FCE" w:rsidRDefault="000E04CC" w:rsidP="008B3A87">
      <w:pPr>
        <w:pStyle w:val="FootnoteText"/>
        <w:jc w:val="both"/>
        <w:rPr>
          <w:lang w:val="en-US"/>
        </w:rPr>
      </w:pPr>
      <w:r w:rsidRPr="00710FCE">
        <w:rPr>
          <w:rStyle w:val="FootnoteReference"/>
        </w:rPr>
        <w:footnoteRef/>
      </w:r>
      <w:r w:rsidRPr="00710FCE">
        <w:t xml:space="preserve"> </w:t>
      </w:r>
      <w:r w:rsidRPr="00710FCE">
        <w:rPr>
          <w:lang w:val="en-US"/>
        </w:rPr>
        <w:t>The arguments from democracy presuppose that normative force within the national system is being grante</w:t>
      </w:r>
      <w:r>
        <w:rPr>
          <w:lang w:val="en-US"/>
        </w:rPr>
        <w:t>d to the foreign law. See R</w:t>
      </w:r>
      <w:r w:rsidRPr="00710FCE">
        <w:rPr>
          <w:lang w:val="en-US"/>
        </w:rPr>
        <w:t>P Alford, ‘In Search of a Theory for</w:t>
      </w:r>
      <w:r>
        <w:rPr>
          <w:lang w:val="en-US"/>
        </w:rPr>
        <w:t xml:space="preserve"> Constitutional Comparativism’ (2004) </w:t>
      </w:r>
      <w:r w:rsidRPr="00710FCE">
        <w:rPr>
          <w:lang w:val="en-US"/>
        </w:rPr>
        <w:t>52 UCLA L Rev 639, 710-</w:t>
      </w:r>
      <w:r>
        <w:rPr>
          <w:lang w:val="en-US"/>
        </w:rPr>
        <w:t xml:space="preserve">711 </w:t>
      </w:r>
      <w:r w:rsidRPr="00710FCE">
        <w:rPr>
          <w:lang w:val="en-US"/>
        </w:rPr>
        <w:t xml:space="preserve">and </w:t>
      </w:r>
      <w:r>
        <w:t xml:space="preserve">Sanford Levinson, </w:t>
      </w:r>
      <w:r w:rsidRPr="00710FCE">
        <w:rPr>
          <w:lang w:val="en-US"/>
        </w:rPr>
        <w:t xml:space="preserve">‘Looking Abroad When Interpreting the US Constitution; Some Reflections’ </w:t>
      </w:r>
      <w:r>
        <w:rPr>
          <w:lang w:val="en-US"/>
        </w:rPr>
        <w:t xml:space="preserve">(2004) </w:t>
      </w:r>
      <w:r w:rsidRPr="00710FCE">
        <w:rPr>
          <w:lang w:val="en-US"/>
        </w:rPr>
        <w:t xml:space="preserve">39 </w:t>
      </w:r>
      <w:r w:rsidRPr="004F3721">
        <w:rPr>
          <w:i/>
          <w:lang w:val="en-US"/>
        </w:rPr>
        <w:t>Texas Int LJ</w:t>
      </w:r>
      <w:r w:rsidRPr="00710FCE">
        <w:rPr>
          <w:lang w:val="en-US"/>
        </w:rPr>
        <w:t xml:space="preserve"> 353, 363–4</w:t>
      </w:r>
      <w:r w:rsidRPr="00710FCE">
        <w:t xml:space="preserve">. For a response, see </w:t>
      </w:r>
      <w:r w:rsidRPr="00710FCE">
        <w:rPr>
          <w:lang w:val="en-US"/>
        </w:rPr>
        <w:t>Tushnet,</w:t>
      </w:r>
      <w:r>
        <w:rPr>
          <w:lang w:val="en-US"/>
        </w:rPr>
        <w:t xml:space="preserve"> </w:t>
      </w:r>
      <w:r w:rsidRPr="00710FCE">
        <w:rPr>
          <w:lang w:val="en-US"/>
        </w:rPr>
        <w:t>‘Transnation</w:t>
      </w:r>
      <w:r>
        <w:rPr>
          <w:lang w:val="en-US"/>
        </w:rPr>
        <w:t>al/Domestic Constitutional Law’ (</w:t>
      </w:r>
      <w:r w:rsidRPr="00710FCE">
        <w:rPr>
          <w:lang w:val="en-US"/>
        </w:rPr>
        <w:t>n</w:t>
      </w:r>
      <w:r>
        <w:rPr>
          <w:lang w:val="en-US"/>
        </w:rPr>
        <w:fldChar w:fldCharType="begin"/>
      </w:r>
      <w:r>
        <w:rPr>
          <w:lang w:val="en-US"/>
        </w:rPr>
        <w:instrText xml:space="preserve"> NOTEREF _Ref250472063 \h </w:instrText>
      </w:r>
      <w:r>
        <w:rPr>
          <w:lang w:val="en-US"/>
        </w:rPr>
      </w:r>
      <w:r>
        <w:rPr>
          <w:lang w:val="en-US"/>
        </w:rPr>
        <w:fldChar w:fldCharType="separate"/>
      </w:r>
      <w:r>
        <w:rPr>
          <w:lang w:val="en-US"/>
        </w:rPr>
        <w:t>12</w:t>
      </w:r>
      <w:r>
        <w:rPr>
          <w:lang w:val="en-US"/>
        </w:rPr>
        <w:fldChar w:fldCharType="end"/>
      </w:r>
      <w:r>
        <w:rPr>
          <w:lang w:val="en-US"/>
        </w:rPr>
        <w:t>)</w:t>
      </w:r>
      <w:r w:rsidRPr="00710FCE">
        <w:rPr>
          <w:lang w:val="en-US"/>
        </w:rPr>
        <w:t>.</w:t>
      </w:r>
    </w:p>
  </w:footnote>
  <w:footnote w:id="45">
    <w:p w14:paraId="10415E16" w14:textId="79CA36C8" w:rsidR="000E04CC" w:rsidRPr="00710FCE" w:rsidRDefault="000E04CC" w:rsidP="008B3A87">
      <w:pPr>
        <w:pStyle w:val="FootnoteText"/>
        <w:jc w:val="both"/>
        <w:rPr>
          <w:lang w:val="en-US"/>
        </w:rPr>
      </w:pPr>
      <w:r w:rsidRPr="00710FCE">
        <w:rPr>
          <w:rStyle w:val="FootnoteReference"/>
        </w:rPr>
        <w:footnoteRef/>
      </w:r>
      <w:r w:rsidRPr="00710FCE">
        <w:t xml:space="preserve"> </w:t>
      </w:r>
      <w:r w:rsidRPr="00710FCE">
        <w:rPr>
          <w:lang w:val="en-US"/>
        </w:rPr>
        <w:t xml:space="preserve">Flanders has made similar points in addressing the slightly different question of why judges treat cases from outside their legal system as having more persuasive authority than other non-binding sources. </w:t>
      </w:r>
      <w:r>
        <w:rPr>
          <w:lang w:val="en-US"/>
        </w:rPr>
        <w:t>Flanders (</w:t>
      </w:r>
      <w:r w:rsidRPr="00710FCE">
        <w:rPr>
          <w:lang w:val="en-US"/>
        </w:rPr>
        <w:t>n</w:t>
      </w:r>
      <w:r w:rsidRPr="00710FCE">
        <w:rPr>
          <w:lang w:val="en-US"/>
        </w:rPr>
        <w:fldChar w:fldCharType="begin"/>
      </w:r>
      <w:r w:rsidRPr="00710FCE">
        <w:rPr>
          <w:lang w:val="en-US"/>
        </w:rPr>
        <w:instrText xml:space="preserve"> NOTEREF _Ref228348189 \h </w:instrText>
      </w:r>
      <w:r w:rsidRPr="00710FCE">
        <w:rPr>
          <w:lang w:val="en-US"/>
        </w:rPr>
      </w:r>
      <w:r w:rsidRPr="00710FCE">
        <w:rPr>
          <w:lang w:val="en-US"/>
        </w:rPr>
        <w:fldChar w:fldCharType="separate"/>
      </w:r>
      <w:r>
        <w:rPr>
          <w:lang w:val="en-US"/>
        </w:rPr>
        <w:t>22</w:t>
      </w:r>
      <w:r w:rsidRPr="00710FCE">
        <w:rPr>
          <w:lang w:val="en-US"/>
        </w:rPr>
        <w:fldChar w:fldCharType="end"/>
      </w:r>
      <w:r>
        <w:rPr>
          <w:lang w:val="en-US"/>
        </w:rPr>
        <w:t>)</w:t>
      </w:r>
      <w:r w:rsidRPr="00710FCE">
        <w:rPr>
          <w:lang w:val="en-US"/>
        </w:rPr>
        <w:t xml:space="preserve"> 71-72. Tushnet also endorses the notion that a judicial decision carries weight ‘akin to a warranty that the decision maker was fully serious in arriving at his or her normative conclu</w:t>
      </w:r>
      <w:r>
        <w:rPr>
          <w:lang w:val="en-US"/>
        </w:rPr>
        <w:t>sion.’ M.</w:t>
      </w:r>
      <w:r w:rsidRPr="00710FCE">
        <w:rPr>
          <w:lang w:val="en-US"/>
        </w:rPr>
        <w:t xml:space="preserve"> Tushnet, ‘When is Knowing Less Better than Knowing More? Unpacking the Controversy over Supreme Court Reference to Non-US Law’ </w:t>
      </w:r>
      <w:r>
        <w:rPr>
          <w:lang w:val="en-US"/>
        </w:rPr>
        <w:t xml:space="preserve">(2006) </w:t>
      </w:r>
      <w:r w:rsidRPr="00710FCE">
        <w:rPr>
          <w:lang w:val="en-US"/>
        </w:rPr>
        <w:t xml:space="preserve">90 </w:t>
      </w:r>
      <w:r w:rsidRPr="004F3721">
        <w:rPr>
          <w:i/>
          <w:lang w:val="en-US"/>
        </w:rPr>
        <w:t>Minn L Rev</w:t>
      </w:r>
      <w:r w:rsidRPr="00710FCE">
        <w:rPr>
          <w:lang w:val="en-US"/>
        </w:rPr>
        <w:t xml:space="preserve"> 1275, 1285-6.</w:t>
      </w:r>
    </w:p>
  </w:footnote>
  <w:footnote w:id="46">
    <w:p w14:paraId="36C31A3B" w14:textId="0E9B2354" w:rsidR="000E04CC" w:rsidRPr="00710FCE" w:rsidRDefault="000E04CC" w:rsidP="008B3A87">
      <w:pPr>
        <w:pStyle w:val="FootnoteText"/>
        <w:jc w:val="both"/>
        <w:rPr>
          <w:lang w:val="en-US"/>
        </w:rPr>
      </w:pPr>
      <w:r w:rsidRPr="00710FCE">
        <w:rPr>
          <w:rStyle w:val="FootnoteReference"/>
        </w:rPr>
        <w:footnoteRef/>
      </w:r>
      <w:r w:rsidRPr="00710FCE">
        <w:t xml:space="preserve"> </w:t>
      </w:r>
      <w:r>
        <w:t xml:space="preserve">Jackson, </w:t>
      </w:r>
      <w:r w:rsidRPr="00710FCE">
        <w:rPr>
          <w:i/>
          <w:lang w:val="en-US"/>
        </w:rPr>
        <w:t>Constitutional Engagement in a Transnational Era</w:t>
      </w:r>
      <w:r>
        <w:rPr>
          <w:lang w:val="en-US"/>
        </w:rPr>
        <w:t xml:space="preserve"> (</w:t>
      </w:r>
      <w:r w:rsidRPr="00710FCE">
        <w:rPr>
          <w:lang w:val="en-US"/>
        </w:rPr>
        <w:t>n</w:t>
      </w:r>
      <w:r w:rsidRPr="00710FCE">
        <w:rPr>
          <w:lang w:val="en-US"/>
        </w:rPr>
        <w:fldChar w:fldCharType="begin"/>
      </w:r>
      <w:r w:rsidRPr="00710FCE">
        <w:rPr>
          <w:lang w:val="en-US"/>
        </w:rPr>
        <w:instrText xml:space="preserve"> NOTEREF _Ref228348189 \h </w:instrText>
      </w:r>
      <w:r w:rsidRPr="00710FCE">
        <w:rPr>
          <w:lang w:val="en-US"/>
        </w:rPr>
      </w:r>
      <w:r w:rsidRPr="00710FCE">
        <w:rPr>
          <w:lang w:val="en-US"/>
        </w:rPr>
        <w:fldChar w:fldCharType="separate"/>
      </w:r>
      <w:r>
        <w:rPr>
          <w:lang w:val="en-US"/>
        </w:rPr>
        <w:t>22</w:t>
      </w:r>
      <w:r w:rsidRPr="00710FCE">
        <w:rPr>
          <w:lang w:val="en-US"/>
        </w:rPr>
        <w:fldChar w:fldCharType="end"/>
      </w:r>
      <w:r>
        <w:rPr>
          <w:lang w:val="en-US"/>
        </w:rPr>
        <w:t>)</w:t>
      </w:r>
      <w:r w:rsidRPr="00710FCE">
        <w:rPr>
          <w:lang w:val="en-US"/>
        </w:rPr>
        <w:t xml:space="preserve"> 174-5.</w:t>
      </w:r>
    </w:p>
  </w:footnote>
  <w:footnote w:id="47">
    <w:p w14:paraId="7073B89A" w14:textId="3B854CFD" w:rsidR="000E04CC" w:rsidRPr="00710FCE" w:rsidRDefault="000E04CC" w:rsidP="008B3A87">
      <w:pPr>
        <w:pStyle w:val="FootnoteText"/>
        <w:jc w:val="both"/>
        <w:rPr>
          <w:lang w:val="en-US"/>
        </w:rPr>
      </w:pPr>
      <w:r w:rsidRPr="00710FCE">
        <w:rPr>
          <w:rStyle w:val="FootnoteReference"/>
        </w:rPr>
        <w:footnoteRef/>
      </w:r>
      <w:r w:rsidRPr="00710FCE">
        <w:t xml:space="preserve"> </w:t>
      </w:r>
      <w:r w:rsidRPr="00710FCE">
        <w:rPr>
          <w:lang w:val="en-US"/>
        </w:rPr>
        <w:t>[2012] IESC 10.</w:t>
      </w:r>
      <w:r>
        <w:rPr>
          <w:lang w:val="en-US"/>
        </w:rPr>
        <w:t xml:space="preserve"> This is not a typical example of how the Irish Supreme Court treats foreign case law.</w:t>
      </w:r>
    </w:p>
  </w:footnote>
  <w:footnote w:id="48">
    <w:p w14:paraId="227DDC31" w14:textId="06AD98A5" w:rsidR="000E04CC" w:rsidRPr="00710FCE" w:rsidRDefault="000E04CC" w:rsidP="008B3A87">
      <w:pPr>
        <w:pStyle w:val="FootnoteText"/>
        <w:jc w:val="both"/>
        <w:rPr>
          <w:lang w:val="en-US"/>
        </w:rPr>
      </w:pPr>
      <w:r w:rsidRPr="00710FCE">
        <w:rPr>
          <w:rStyle w:val="FootnoteReference"/>
        </w:rPr>
        <w:footnoteRef/>
      </w:r>
      <w:r w:rsidRPr="00710FCE">
        <w:t xml:space="preserve"> </w:t>
      </w:r>
      <w:r>
        <w:rPr>
          <w:lang w:val="en-US"/>
        </w:rPr>
        <w:t>450 US 464 (1981).</w:t>
      </w:r>
    </w:p>
  </w:footnote>
  <w:footnote w:id="49">
    <w:p w14:paraId="04D0FFCD" w14:textId="6506613B" w:rsidR="000E04CC" w:rsidRPr="00151993" w:rsidRDefault="000E04CC" w:rsidP="008B3A87">
      <w:pPr>
        <w:pStyle w:val="FootnoteText"/>
        <w:jc w:val="both"/>
        <w:rPr>
          <w:lang w:val="en-US"/>
        </w:rPr>
      </w:pPr>
      <w:r>
        <w:rPr>
          <w:rStyle w:val="FootnoteReference"/>
        </w:rPr>
        <w:footnoteRef/>
      </w:r>
      <w:r>
        <w:t xml:space="preserve"> </w:t>
      </w:r>
      <w:r>
        <w:rPr>
          <w:lang w:val="en-US"/>
        </w:rPr>
        <w:t xml:space="preserve">Catherine O’Sullivan, ‘Protecting Young People from Themselves: Reforming the age of Consent Law in Ireland’ (2009) 31 </w:t>
      </w:r>
      <w:r w:rsidRPr="004F3721">
        <w:rPr>
          <w:i/>
          <w:lang w:val="en-US"/>
        </w:rPr>
        <w:t>D</w:t>
      </w:r>
      <w:r>
        <w:rPr>
          <w:i/>
          <w:lang w:val="en-US"/>
        </w:rPr>
        <w:t xml:space="preserve">ublin University Law Journal </w:t>
      </w:r>
      <w:r>
        <w:rPr>
          <w:lang w:val="en-US"/>
        </w:rPr>
        <w:t>386.</w:t>
      </w:r>
    </w:p>
  </w:footnote>
  <w:footnote w:id="50">
    <w:p w14:paraId="5174FB2C" w14:textId="546A6496" w:rsidR="000E04CC" w:rsidRPr="00710FCE" w:rsidRDefault="000E04CC" w:rsidP="008B3A87">
      <w:pPr>
        <w:pStyle w:val="FootnoteText"/>
        <w:jc w:val="both"/>
        <w:rPr>
          <w:lang w:val="en-US"/>
        </w:rPr>
      </w:pPr>
      <w:r w:rsidRPr="00710FCE">
        <w:rPr>
          <w:rStyle w:val="FootnoteReference"/>
        </w:rPr>
        <w:footnoteRef/>
      </w:r>
      <w:r>
        <w:t xml:space="preserve"> Ackermann (n</w:t>
      </w:r>
      <w:r w:rsidRPr="00710FCE">
        <w:fldChar w:fldCharType="begin"/>
      </w:r>
      <w:r w:rsidRPr="00710FCE">
        <w:instrText xml:space="preserve"> NOTEREF _Ref228267285 \h </w:instrText>
      </w:r>
      <w:r w:rsidRPr="00710FCE">
        <w:fldChar w:fldCharType="separate"/>
      </w:r>
      <w:r>
        <w:t>23</w:t>
      </w:r>
      <w:r w:rsidRPr="00710FCE">
        <w:fldChar w:fldCharType="end"/>
      </w:r>
      <w:r>
        <w:t>)</w:t>
      </w:r>
      <w:r w:rsidRPr="00710FCE">
        <w:t xml:space="preserve"> 181.</w:t>
      </w:r>
    </w:p>
  </w:footnote>
  <w:footnote w:id="51">
    <w:p w14:paraId="0FD4A9BE" w14:textId="72EDBB7A" w:rsidR="000E04CC" w:rsidRPr="00710FCE" w:rsidRDefault="000E04CC" w:rsidP="008B3A87">
      <w:pPr>
        <w:pStyle w:val="FootnoteText"/>
        <w:jc w:val="both"/>
        <w:rPr>
          <w:b/>
          <w:lang w:val="en-US"/>
        </w:rPr>
      </w:pPr>
      <w:r w:rsidRPr="00710FCE">
        <w:rPr>
          <w:rStyle w:val="FootnoteReference"/>
        </w:rPr>
        <w:footnoteRef/>
      </w:r>
      <w:r w:rsidRPr="00710FCE">
        <w:t xml:space="preserve"> </w:t>
      </w:r>
      <w:r>
        <w:rPr>
          <w:lang w:val="en-US"/>
        </w:rPr>
        <w:t>Barak (</w:t>
      </w:r>
      <w:r w:rsidRPr="00710FCE">
        <w:rPr>
          <w:lang w:val="en-US"/>
        </w:rPr>
        <w:t>n</w:t>
      </w:r>
      <w:r w:rsidRPr="00710FCE">
        <w:rPr>
          <w:lang w:val="en-US"/>
        </w:rPr>
        <w:fldChar w:fldCharType="begin"/>
      </w:r>
      <w:r w:rsidRPr="00710FCE">
        <w:rPr>
          <w:lang w:val="en-US"/>
        </w:rPr>
        <w:instrText xml:space="preserve"> NOTEREF _Ref228267285 \h </w:instrText>
      </w:r>
      <w:r w:rsidRPr="00710FCE">
        <w:rPr>
          <w:lang w:val="en-US"/>
        </w:rPr>
      </w:r>
      <w:r w:rsidRPr="00710FCE">
        <w:rPr>
          <w:lang w:val="en-US"/>
        </w:rPr>
        <w:fldChar w:fldCharType="separate"/>
      </w:r>
      <w:r>
        <w:rPr>
          <w:lang w:val="en-US"/>
        </w:rPr>
        <w:t>23</w:t>
      </w:r>
      <w:r w:rsidRPr="00710FCE">
        <w:rPr>
          <w:lang w:val="en-US"/>
        </w:rPr>
        <w:fldChar w:fldCharType="end"/>
      </w:r>
      <w:r>
        <w:rPr>
          <w:lang w:val="en-US"/>
        </w:rPr>
        <w:t>), 196; Canivet (</w:t>
      </w:r>
      <w:r w:rsidRPr="00710FCE">
        <w:rPr>
          <w:lang w:val="en-US"/>
        </w:rPr>
        <w:t>n</w:t>
      </w:r>
      <w:r w:rsidRPr="00710FCE">
        <w:rPr>
          <w:lang w:val="en-US"/>
        </w:rPr>
        <w:fldChar w:fldCharType="begin"/>
      </w:r>
      <w:r w:rsidRPr="00710FCE">
        <w:rPr>
          <w:lang w:val="en-US"/>
        </w:rPr>
        <w:instrText xml:space="preserve"> NOTEREF _Ref228267642 \h </w:instrText>
      </w:r>
      <w:r w:rsidRPr="00710FCE">
        <w:rPr>
          <w:lang w:val="en-US"/>
        </w:rPr>
      </w:r>
      <w:r w:rsidRPr="00710FCE">
        <w:rPr>
          <w:lang w:val="en-US"/>
        </w:rPr>
        <w:fldChar w:fldCharType="separate"/>
      </w:r>
      <w:r>
        <w:rPr>
          <w:lang w:val="en-US"/>
        </w:rPr>
        <w:t>38</w:t>
      </w:r>
      <w:r w:rsidRPr="00710FCE">
        <w:rPr>
          <w:lang w:val="en-US"/>
        </w:rPr>
        <w:fldChar w:fldCharType="end"/>
      </w:r>
      <w:r>
        <w:rPr>
          <w:lang w:val="en-US"/>
        </w:rPr>
        <w:t>), 1396; L’Heureux-Dubé</w:t>
      </w:r>
      <w:r w:rsidRPr="00710FCE">
        <w:rPr>
          <w:lang w:val="en-US"/>
        </w:rPr>
        <w:t xml:space="preserve"> </w:t>
      </w:r>
      <w:r>
        <w:rPr>
          <w:lang w:val="en-US"/>
        </w:rPr>
        <w:t>(</w:t>
      </w:r>
      <w:r w:rsidRPr="00710FCE">
        <w:rPr>
          <w:lang w:val="en-US"/>
        </w:rPr>
        <w:t>n</w:t>
      </w:r>
      <w:r w:rsidRPr="00710FCE">
        <w:rPr>
          <w:lang w:val="en-US"/>
        </w:rPr>
        <w:fldChar w:fldCharType="begin"/>
      </w:r>
      <w:r w:rsidRPr="00710FCE">
        <w:rPr>
          <w:lang w:val="en-US"/>
        </w:rPr>
        <w:instrText xml:space="preserve"> NOTEREF _Ref228267642 \h </w:instrText>
      </w:r>
      <w:r w:rsidRPr="00710FCE">
        <w:rPr>
          <w:lang w:val="en-US"/>
        </w:rPr>
      </w:r>
      <w:r w:rsidRPr="00710FCE">
        <w:rPr>
          <w:lang w:val="en-US"/>
        </w:rPr>
        <w:fldChar w:fldCharType="separate"/>
      </w:r>
      <w:r>
        <w:rPr>
          <w:lang w:val="en-US"/>
        </w:rPr>
        <w:t>38</w:t>
      </w:r>
      <w:r w:rsidRPr="00710FCE">
        <w:rPr>
          <w:lang w:val="en-US"/>
        </w:rPr>
        <w:fldChar w:fldCharType="end"/>
      </w:r>
      <w:r>
        <w:rPr>
          <w:lang w:val="en-US"/>
        </w:rPr>
        <w:t>)</w:t>
      </w:r>
      <w:r w:rsidRPr="00710FCE">
        <w:rPr>
          <w:lang w:val="en-US"/>
        </w:rPr>
        <w:t>, 23. 35 of the 43 respondents to Flanagan and Ahern’s survey indicated that a democratic form of governance was a pre-requisite for the citation of the law of another ju</w:t>
      </w:r>
      <w:r>
        <w:rPr>
          <w:lang w:val="en-US"/>
        </w:rPr>
        <w:t>risdiction. Flanagan and Ahern (</w:t>
      </w:r>
      <w:r w:rsidRPr="00710FCE">
        <w:rPr>
          <w:lang w:val="en-US"/>
        </w:rPr>
        <w:t>n</w:t>
      </w:r>
      <w:r>
        <w:rPr>
          <w:lang w:val="en-US"/>
        </w:rPr>
        <w:fldChar w:fldCharType="begin"/>
      </w:r>
      <w:r>
        <w:rPr>
          <w:lang w:val="en-US"/>
        </w:rPr>
        <w:instrText xml:space="preserve"> NOTEREF _Ref272419346 \h </w:instrText>
      </w:r>
      <w:r>
        <w:rPr>
          <w:lang w:val="en-US"/>
        </w:rPr>
      </w:r>
      <w:r>
        <w:rPr>
          <w:lang w:val="en-US"/>
        </w:rPr>
        <w:fldChar w:fldCharType="separate"/>
      </w:r>
      <w:r>
        <w:rPr>
          <w:lang w:val="en-US"/>
        </w:rPr>
        <w:t>8</w:t>
      </w:r>
      <w:r>
        <w:rPr>
          <w:lang w:val="en-US"/>
        </w:rPr>
        <w:fldChar w:fldCharType="end"/>
      </w:r>
      <w:r>
        <w:rPr>
          <w:lang w:val="en-US"/>
        </w:rPr>
        <w:t>)</w:t>
      </w:r>
      <w:r w:rsidRPr="00710FCE">
        <w:rPr>
          <w:lang w:val="en-US"/>
        </w:rPr>
        <w:t xml:space="preserve"> 21.</w:t>
      </w:r>
    </w:p>
  </w:footnote>
  <w:footnote w:id="52">
    <w:p w14:paraId="6C80A0EF" w14:textId="5FAB386D" w:rsidR="000E04CC" w:rsidRPr="00710FCE" w:rsidRDefault="000E04CC" w:rsidP="008B3A87">
      <w:pPr>
        <w:pStyle w:val="FootnoteText"/>
        <w:jc w:val="both"/>
        <w:rPr>
          <w:lang w:val="en-US"/>
        </w:rPr>
      </w:pPr>
      <w:r w:rsidRPr="00710FCE">
        <w:rPr>
          <w:rStyle w:val="FootnoteReference"/>
        </w:rPr>
        <w:footnoteRef/>
      </w:r>
      <w:r w:rsidRPr="00710FCE">
        <w:t xml:space="preserve"> See </w:t>
      </w:r>
      <w:r>
        <w:t xml:space="preserve">M </w:t>
      </w:r>
      <w:r w:rsidRPr="00710FCE">
        <w:t xml:space="preserve">Ramsay, ‘International Materials and Domestic Rights: Reflections on Atkins and Lawrence’ </w:t>
      </w:r>
      <w:r>
        <w:t xml:space="preserve">(2004) </w:t>
      </w:r>
      <w:r w:rsidRPr="00710FCE">
        <w:t xml:space="preserve">98 </w:t>
      </w:r>
      <w:r w:rsidRPr="004F3721">
        <w:rPr>
          <w:i/>
        </w:rPr>
        <w:t>American Journal of International Law</w:t>
      </w:r>
      <w:r w:rsidRPr="00BB0494">
        <w:t xml:space="preserve"> </w:t>
      </w:r>
      <w:r w:rsidRPr="00710FCE">
        <w:t>69, 74.</w:t>
      </w:r>
    </w:p>
  </w:footnote>
  <w:footnote w:id="53">
    <w:p w14:paraId="1DAAD288" w14:textId="2B19FFEF" w:rsidR="000E04CC" w:rsidRPr="00710FCE" w:rsidRDefault="000E04CC" w:rsidP="008B3A87">
      <w:pPr>
        <w:pStyle w:val="FootnoteText"/>
        <w:jc w:val="both"/>
        <w:rPr>
          <w:lang w:val="en-US"/>
        </w:rPr>
      </w:pPr>
      <w:r w:rsidRPr="00710FCE">
        <w:rPr>
          <w:rStyle w:val="FootnoteReference"/>
        </w:rPr>
        <w:footnoteRef/>
      </w:r>
      <w:r w:rsidRPr="00710FCE">
        <w:rPr>
          <w:i/>
          <w:lang w:val="en-US"/>
        </w:rPr>
        <w:t xml:space="preserve"> </w:t>
      </w:r>
      <w:r>
        <w:rPr>
          <w:lang w:val="en-US"/>
        </w:rPr>
        <w:t xml:space="preserve">Markisenis with Fedtke, </w:t>
      </w:r>
      <w:r>
        <w:rPr>
          <w:i/>
          <w:lang w:val="en-US"/>
        </w:rPr>
        <w:t xml:space="preserve">Engaging with Foreign Law </w:t>
      </w:r>
      <w:r>
        <w:rPr>
          <w:lang w:val="en-US"/>
        </w:rPr>
        <w:t>(</w:t>
      </w:r>
      <w:r w:rsidRPr="00710FCE">
        <w:rPr>
          <w:lang w:val="en-US"/>
        </w:rPr>
        <w:t>n</w:t>
      </w:r>
      <w:r>
        <w:rPr>
          <w:lang w:val="en-US"/>
        </w:rPr>
        <w:fldChar w:fldCharType="begin"/>
      </w:r>
      <w:r>
        <w:rPr>
          <w:lang w:val="en-US"/>
        </w:rPr>
        <w:instrText xml:space="preserve"> NOTEREF _Ref308947543 \h </w:instrText>
      </w:r>
      <w:r>
        <w:rPr>
          <w:lang w:val="en-US"/>
        </w:rPr>
      </w:r>
      <w:r>
        <w:rPr>
          <w:lang w:val="en-US"/>
        </w:rPr>
        <w:fldChar w:fldCharType="separate"/>
      </w:r>
      <w:r>
        <w:rPr>
          <w:lang w:val="en-US"/>
        </w:rPr>
        <w:t>5</w:t>
      </w:r>
      <w:r>
        <w:rPr>
          <w:lang w:val="en-US"/>
        </w:rPr>
        <w:fldChar w:fldCharType="end"/>
      </w:r>
      <w:r>
        <w:rPr>
          <w:lang w:val="en-US"/>
        </w:rPr>
        <w:t>) 48.</w:t>
      </w:r>
    </w:p>
  </w:footnote>
  <w:footnote w:id="54">
    <w:p w14:paraId="6AB014EA" w14:textId="4F5FCC9A" w:rsidR="000E04CC" w:rsidRPr="00710FCE" w:rsidRDefault="000E04CC" w:rsidP="008B3A87">
      <w:pPr>
        <w:pStyle w:val="FootnoteText"/>
        <w:jc w:val="both"/>
        <w:rPr>
          <w:lang w:val="en-US"/>
        </w:rPr>
      </w:pPr>
      <w:r w:rsidRPr="00710FCE">
        <w:rPr>
          <w:rStyle w:val="FootnoteReference"/>
        </w:rPr>
        <w:footnoteRef/>
      </w:r>
      <w:r w:rsidRPr="00710FCE">
        <w:t xml:space="preserve"> </w:t>
      </w:r>
      <w:r>
        <w:t xml:space="preserve">Slaughter, </w:t>
      </w:r>
      <w:r w:rsidRPr="00710FCE">
        <w:rPr>
          <w:lang w:val="en-US"/>
        </w:rPr>
        <w:t>‘A Global Community of Courts’</w:t>
      </w:r>
      <w:r>
        <w:t xml:space="preserve"> (</w:t>
      </w:r>
      <w:r w:rsidRPr="00710FCE">
        <w:rPr>
          <w:lang w:val="en-US"/>
        </w:rPr>
        <w:t>n</w:t>
      </w:r>
      <w:r w:rsidRPr="00710FCE">
        <w:rPr>
          <w:lang w:val="en-US"/>
        </w:rPr>
        <w:fldChar w:fldCharType="begin"/>
      </w:r>
      <w:r w:rsidRPr="00710FCE">
        <w:rPr>
          <w:lang w:val="en-US"/>
        </w:rPr>
        <w:instrText xml:space="preserve"> NOTEREF _Ref228267642 \h </w:instrText>
      </w:r>
      <w:r w:rsidRPr="00710FCE">
        <w:rPr>
          <w:lang w:val="en-US"/>
        </w:rPr>
      </w:r>
      <w:r w:rsidRPr="00710FCE">
        <w:rPr>
          <w:lang w:val="en-US"/>
        </w:rPr>
        <w:fldChar w:fldCharType="separate"/>
      </w:r>
      <w:r>
        <w:rPr>
          <w:lang w:val="en-US"/>
        </w:rPr>
        <w:t>38</w:t>
      </w:r>
      <w:r w:rsidRPr="00710FCE">
        <w:rPr>
          <w:lang w:val="en-US"/>
        </w:rPr>
        <w:fldChar w:fldCharType="end"/>
      </w:r>
      <w:r>
        <w:rPr>
          <w:lang w:val="en-US"/>
        </w:rPr>
        <w:t>)</w:t>
      </w:r>
      <w:r w:rsidRPr="00710FCE">
        <w:rPr>
          <w:lang w:val="en-US"/>
        </w:rPr>
        <w:t xml:space="preserve"> 198.</w:t>
      </w:r>
    </w:p>
  </w:footnote>
  <w:footnote w:id="55">
    <w:p w14:paraId="001F4B40" w14:textId="29391EFE" w:rsidR="000E04CC" w:rsidRPr="00710FCE" w:rsidRDefault="000E04CC" w:rsidP="008B3A87">
      <w:pPr>
        <w:pStyle w:val="FootnoteText"/>
        <w:jc w:val="both"/>
        <w:rPr>
          <w:lang w:val="en-US"/>
        </w:rPr>
      </w:pPr>
      <w:r w:rsidRPr="00710FCE">
        <w:rPr>
          <w:rStyle w:val="FootnoteReference"/>
        </w:rPr>
        <w:footnoteRef/>
      </w:r>
      <w:r w:rsidRPr="00710FCE">
        <w:t xml:space="preserve"> </w:t>
      </w:r>
      <w:r>
        <w:rPr>
          <w:lang w:val="en-US"/>
        </w:rPr>
        <w:t xml:space="preserve">SD O’Connor, </w:t>
      </w:r>
      <w:r w:rsidRPr="00710FCE">
        <w:rPr>
          <w:lang w:val="en-US"/>
        </w:rPr>
        <w:t xml:space="preserve">‘Remarks to the Southern Center for International Studies’ </w:t>
      </w:r>
      <w:r>
        <w:rPr>
          <w:lang w:val="en-US"/>
        </w:rPr>
        <w:t>Atlanta, USA 28 October 2003, 2</w:t>
      </w:r>
      <w:r w:rsidRPr="00710FCE">
        <w:rPr>
          <w:lang w:val="en-US"/>
        </w:rPr>
        <w:t xml:space="preserve"> </w:t>
      </w:r>
      <w:r>
        <w:rPr>
          <w:lang w:val="en-US"/>
        </w:rPr>
        <w:t xml:space="preserve">at </w:t>
      </w:r>
      <w:r w:rsidRPr="00710FCE">
        <w:rPr>
          <w:lang w:val="en-US"/>
        </w:rPr>
        <w:t>http://southernce</w:t>
      </w:r>
      <w:r>
        <w:rPr>
          <w:lang w:val="en-US"/>
        </w:rPr>
        <w:t>nter.org/OConnor_transcript.pdf</w:t>
      </w:r>
      <w:r w:rsidRPr="00710FCE">
        <w:rPr>
          <w:lang w:val="en-US"/>
        </w:rPr>
        <w:t xml:space="preserve"> </w:t>
      </w:r>
      <w:r>
        <w:rPr>
          <w:lang w:val="en-US"/>
        </w:rPr>
        <w:t>(</w:t>
      </w:r>
      <w:r w:rsidRPr="00710FCE">
        <w:rPr>
          <w:lang w:val="en-US"/>
        </w:rPr>
        <w:t>visited 4 April 2013</w:t>
      </w:r>
      <w:r>
        <w:rPr>
          <w:lang w:val="en-US"/>
        </w:rPr>
        <w:t>).</w:t>
      </w:r>
    </w:p>
  </w:footnote>
  <w:footnote w:id="56">
    <w:p w14:paraId="6747CDB4" w14:textId="11CB5D7F" w:rsidR="000E04CC" w:rsidRPr="00710FCE" w:rsidRDefault="000E04CC" w:rsidP="008B3A87">
      <w:pPr>
        <w:pStyle w:val="FootnoteText"/>
        <w:jc w:val="both"/>
        <w:rPr>
          <w:lang w:val="en-US"/>
        </w:rPr>
      </w:pPr>
      <w:r w:rsidRPr="00710FCE">
        <w:rPr>
          <w:rStyle w:val="FootnoteReference"/>
        </w:rPr>
        <w:footnoteRef/>
      </w:r>
      <w:r w:rsidRPr="00710FCE">
        <w:t xml:space="preserve"> </w:t>
      </w:r>
      <w:r>
        <w:t>Breyer (</w:t>
      </w:r>
      <w:r w:rsidRPr="00710FCE">
        <w:rPr>
          <w:lang w:val="en-US"/>
        </w:rPr>
        <w:t>n</w:t>
      </w:r>
      <w:r>
        <w:rPr>
          <w:lang w:val="en-US"/>
        </w:rPr>
        <w:fldChar w:fldCharType="begin"/>
      </w:r>
      <w:r>
        <w:rPr>
          <w:lang w:val="en-US"/>
        </w:rPr>
        <w:instrText xml:space="preserve"> NOTEREF _Ref308947543 \h </w:instrText>
      </w:r>
      <w:r>
        <w:rPr>
          <w:lang w:val="en-US"/>
        </w:rPr>
      </w:r>
      <w:r>
        <w:rPr>
          <w:lang w:val="en-US"/>
        </w:rPr>
        <w:fldChar w:fldCharType="separate"/>
      </w:r>
      <w:r>
        <w:rPr>
          <w:lang w:val="en-US"/>
        </w:rPr>
        <w:t>5</w:t>
      </w:r>
      <w:r>
        <w:rPr>
          <w:lang w:val="en-US"/>
        </w:rPr>
        <w:fldChar w:fldCharType="end"/>
      </w:r>
      <w:r>
        <w:rPr>
          <w:lang w:val="en-US"/>
        </w:rPr>
        <w:t xml:space="preserve">) </w:t>
      </w:r>
      <w:r w:rsidRPr="00710FCE">
        <w:rPr>
          <w:lang w:val="en-US"/>
        </w:rPr>
        <w:t>524.</w:t>
      </w:r>
      <w:r w:rsidRPr="00A826F6">
        <w:t xml:space="preserve"> </w:t>
      </w:r>
      <w:r w:rsidRPr="00710FCE">
        <w:t xml:space="preserve">Slaughter explicitly links the incentive to pride in a cosmopolitan judicial outlook. </w:t>
      </w:r>
      <w:r>
        <w:t xml:space="preserve">Slaughter, </w:t>
      </w:r>
      <w:r>
        <w:rPr>
          <w:i/>
        </w:rPr>
        <w:t>A New World Order</w:t>
      </w:r>
      <w:r>
        <w:t xml:space="preserve"> (n</w:t>
      </w:r>
      <w:r>
        <w:fldChar w:fldCharType="begin"/>
      </w:r>
      <w:r>
        <w:instrText xml:space="preserve"> NOTEREF _Ref308947543 \h </w:instrText>
      </w:r>
      <w:r>
        <w:fldChar w:fldCharType="separate"/>
      </w:r>
      <w:r>
        <w:t>5</w:t>
      </w:r>
      <w:r>
        <w:fldChar w:fldCharType="end"/>
      </w:r>
      <w:r>
        <w:t xml:space="preserve">) </w:t>
      </w:r>
      <w:r w:rsidRPr="00710FCE">
        <w:t xml:space="preserve">75. For criticism, see </w:t>
      </w:r>
      <w:r w:rsidRPr="00710FCE">
        <w:rPr>
          <w:lang w:val="en-US"/>
        </w:rPr>
        <w:t>Waldron</w:t>
      </w:r>
      <w:r>
        <w:rPr>
          <w:lang w:val="en-US"/>
        </w:rPr>
        <w:t>, (</w:t>
      </w:r>
      <w:r w:rsidRPr="00710FCE">
        <w:rPr>
          <w:lang w:val="en-US"/>
        </w:rPr>
        <w:t>n</w:t>
      </w:r>
      <w:r>
        <w:rPr>
          <w:lang w:val="en-US"/>
        </w:rPr>
        <w:fldChar w:fldCharType="begin"/>
      </w:r>
      <w:r>
        <w:rPr>
          <w:lang w:val="en-US"/>
        </w:rPr>
        <w:instrText xml:space="preserve"> NOTEREF _Ref308947579 \h </w:instrText>
      </w:r>
      <w:r>
        <w:rPr>
          <w:lang w:val="en-US"/>
        </w:rPr>
      </w:r>
      <w:r>
        <w:rPr>
          <w:lang w:val="en-US"/>
        </w:rPr>
        <w:fldChar w:fldCharType="separate"/>
      </w:r>
      <w:r>
        <w:rPr>
          <w:lang w:val="en-US"/>
        </w:rPr>
        <w:t>4</w:t>
      </w:r>
      <w:r>
        <w:rPr>
          <w:lang w:val="en-US"/>
        </w:rPr>
        <w:fldChar w:fldCharType="end"/>
      </w:r>
      <w:r>
        <w:rPr>
          <w:lang w:val="en-US"/>
        </w:rPr>
        <w:t xml:space="preserve">) </w:t>
      </w:r>
      <w:r w:rsidRPr="00710FCE">
        <w:rPr>
          <w:lang w:val="en-US"/>
        </w:rPr>
        <w:t xml:space="preserve">81; Choudhry, </w:t>
      </w:r>
      <w:r w:rsidRPr="008B3A87">
        <w:rPr>
          <w:i/>
          <w:lang w:val="en-US"/>
        </w:rPr>
        <w:t>Migration</w:t>
      </w:r>
      <w:r>
        <w:rPr>
          <w:lang w:val="en-US"/>
        </w:rPr>
        <w:t xml:space="preserve"> (</w:t>
      </w:r>
      <w:r w:rsidRPr="00710FCE">
        <w:rPr>
          <w:lang w:val="en-US"/>
        </w:rPr>
        <w:t>n</w:t>
      </w:r>
      <w:r>
        <w:rPr>
          <w:lang w:val="en-US"/>
        </w:rPr>
        <w:fldChar w:fldCharType="begin"/>
      </w:r>
      <w:r>
        <w:rPr>
          <w:lang w:val="en-US"/>
        </w:rPr>
        <w:instrText xml:space="preserve"> NOTEREF _Ref228267642 \h </w:instrText>
      </w:r>
      <w:r>
        <w:rPr>
          <w:lang w:val="en-US"/>
        </w:rPr>
      </w:r>
      <w:r>
        <w:rPr>
          <w:lang w:val="en-US"/>
        </w:rPr>
        <w:fldChar w:fldCharType="separate"/>
      </w:r>
      <w:r>
        <w:rPr>
          <w:lang w:val="en-US"/>
        </w:rPr>
        <w:t>38</w:t>
      </w:r>
      <w:r>
        <w:rPr>
          <w:lang w:val="en-US"/>
        </w:rPr>
        <w:fldChar w:fldCharType="end"/>
      </w:r>
      <w:r>
        <w:rPr>
          <w:lang w:val="en-US"/>
        </w:rPr>
        <w:t>)</w:t>
      </w:r>
      <w:r w:rsidRPr="00710FCE">
        <w:rPr>
          <w:lang w:val="en-US"/>
        </w:rPr>
        <w:t xml:space="preserve"> 7.</w:t>
      </w:r>
    </w:p>
  </w:footnote>
  <w:footnote w:id="57">
    <w:p w14:paraId="3D5B7FDA" w14:textId="19FD22FE" w:rsidR="000E04CC" w:rsidRPr="00710FCE" w:rsidRDefault="000E04CC" w:rsidP="008B3A87">
      <w:pPr>
        <w:pStyle w:val="FootnoteText"/>
        <w:jc w:val="both"/>
        <w:rPr>
          <w:lang w:val="en-US"/>
        </w:rPr>
      </w:pPr>
      <w:r w:rsidRPr="00710FCE">
        <w:rPr>
          <w:rStyle w:val="FootnoteReference"/>
        </w:rPr>
        <w:footnoteRef/>
      </w:r>
      <w:r w:rsidRPr="00710FCE">
        <w:t xml:space="preserve"> </w:t>
      </w:r>
      <w:r w:rsidRPr="00710FCE">
        <w:rPr>
          <w:lang w:val="en-US"/>
        </w:rPr>
        <w:t xml:space="preserve">This is the charge laid by Scalia J of the US Supreme Court against the majority judges in </w:t>
      </w:r>
      <w:r w:rsidRPr="00710FCE">
        <w:rPr>
          <w:i/>
          <w:lang w:val="en-US"/>
        </w:rPr>
        <w:t>Roper v Simmons</w:t>
      </w:r>
      <w:r>
        <w:rPr>
          <w:lang w:val="en-US"/>
        </w:rPr>
        <w:t xml:space="preserve"> </w:t>
      </w:r>
      <w:r w:rsidRPr="00710FCE">
        <w:rPr>
          <w:lang w:val="en-US"/>
        </w:rPr>
        <w:t>543 US 551</w:t>
      </w:r>
      <w:r>
        <w:rPr>
          <w:lang w:val="en-US"/>
        </w:rPr>
        <w:t xml:space="preserve"> (2005)</w:t>
      </w:r>
      <w:r w:rsidRPr="00710FCE">
        <w:rPr>
          <w:lang w:val="en-US"/>
        </w:rPr>
        <w:t xml:space="preserve">, namely that they do not have regard to foreign law where it is less liberal than the law in the US. </w:t>
      </w:r>
      <w:r>
        <w:rPr>
          <w:lang w:val="en-US"/>
        </w:rPr>
        <w:t>See also B</w:t>
      </w:r>
      <w:r w:rsidRPr="00710FCE">
        <w:rPr>
          <w:lang w:val="en-US"/>
        </w:rPr>
        <w:t xml:space="preserve"> Sullivan, </w:t>
      </w:r>
      <w:r w:rsidRPr="00710FCE">
        <w:t xml:space="preserve">‘Constitutional Interpretation as Interfaith Communion: the Use of Foreign Legal Materials in US Courts’ (May 2007) </w:t>
      </w:r>
      <w:r w:rsidRPr="00710FCE">
        <w:rPr>
          <w:i/>
        </w:rPr>
        <w:t>Newsletter International Litigation News</w:t>
      </w:r>
      <w:r>
        <w:t xml:space="preserve"> 44; R</w:t>
      </w:r>
      <w:r w:rsidRPr="00710FCE">
        <w:t xml:space="preserve"> Hirschl, ‘On the Blurred Methodological Matrix of Comparative Constitutional Law’ in </w:t>
      </w:r>
      <w:r>
        <w:t xml:space="preserve">Choudhry, </w:t>
      </w:r>
      <w:r>
        <w:rPr>
          <w:i/>
        </w:rPr>
        <w:t xml:space="preserve">Migration </w:t>
      </w:r>
      <w:r w:rsidRPr="00710FCE">
        <w:t>n</w:t>
      </w:r>
      <w:r>
        <w:fldChar w:fldCharType="begin"/>
      </w:r>
      <w:r>
        <w:instrText xml:space="preserve"> NOTEREF _Ref228267642 \h </w:instrText>
      </w:r>
      <w:r>
        <w:fldChar w:fldCharType="separate"/>
      </w:r>
      <w:r>
        <w:t>38</w:t>
      </w:r>
      <w:r>
        <w:fldChar w:fldCharType="end"/>
      </w:r>
      <w:r>
        <w:t>) 43.</w:t>
      </w:r>
    </w:p>
  </w:footnote>
  <w:footnote w:id="58">
    <w:p w14:paraId="7A449CDE" w14:textId="23C20326" w:rsidR="000E04CC" w:rsidRPr="00710FCE" w:rsidRDefault="000E04CC" w:rsidP="008B3A87">
      <w:pPr>
        <w:pStyle w:val="FootnoteText"/>
        <w:jc w:val="both"/>
        <w:rPr>
          <w:lang w:val="en-US"/>
        </w:rPr>
      </w:pPr>
      <w:r w:rsidRPr="00710FCE">
        <w:rPr>
          <w:rStyle w:val="FootnoteReference"/>
        </w:rPr>
        <w:footnoteRef/>
      </w:r>
      <w:r w:rsidRPr="00710FCE">
        <w:t xml:space="preserve"> </w:t>
      </w:r>
      <w:r w:rsidRPr="00710FCE">
        <w:rPr>
          <w:lang w:val="en-US"/>
        </w:rPr>
        <w:t>V</w:t>
      </w:r>
      <w:r>
        <w:rPr>
          <w:lang w:val="en-US"/>
        </w:rPr>
        <w:t>C</w:t>
      </w:r>
      <w:r w:rsidRPr="00710FCE">
        <w:rPr>
          <w:lang w:val="en-US"/>
        </w:rPr>
        <w:t xml:space="preserve"> Jackson, ‘Comparative Constitutional Law: Methodologies’ in </w:t>
      </w:r>
      <w:r>
        <w:rPr>
          <w:lang w:val="en-US"/>
        </w:rPr>
        <w:t>Rosenfeld and Sajó (n</w:t>
      </w:r>
      <w:r>
        <w:rPr>
          <w:lang w:val="en-US"/>
        </w:rPr>
        <w:fldChar w:fldCharType="begin"/>
      </w:r>
      <w:r>
        <w:rPr>
          <w:lang w:val="en-US"/>
        </w:rPr>
        <w:instrText xml:space="preserve"> NOTEREF _Ref228618837 \h </w:instrText>
      </w:r>
      <w:r>
        <w:rPr>
          <w:lang w:val="en-US"/>
        </w:rPr>
      </w:r>
      <w:r>
        <w:rPr>
          <w:lang w:val="en-US"/>
        </w:rPr>
        <w:fldChar w:fldCharType="separate"/>
      </w:r>
      <w:r>
        <w:rPr>
          <w:lang w:val="en-US"/>
        </w:rPr>
        <w:t>11</w:t>
      </w:r>
      <w:r>
        <w:rPr>
          <w:lang w:val="en-US"/>
        </w:rPr>
        <w:fldChar w:fldCharType="end"/>
      </w:r>
      <w:r>
        <w:rPr>
          <w:lang w:val="en-US"/>
        </w:rPr>
        <w:t xml:space="preserve">) </w:t>
      </w:r>
      <w:r w:rsidRPr="00710FCE">
        <w:rPr>
          <w:lang w:val="en-US"/>
        </w:rPr>
        <w:t>70. Posner comments that ‘foreign decisions emerge from complex social, political, cultural, and historical backgrounds of which Supreme Court Justices, like other American judges and lawyers, are largely ignorant.’ R Posner, ‘Foreword: A Political C</w:t>
      </w:r>
      <w:r>
        <w:rPr>
          <w:lang w:val="en-US"/>
        </w:rPr>
        <w:t xml:space="preserve">ourt’ (2005) 119 </w:t>
      </w:r>
      <w:r w:rsidRPr="004F3721">
        <w:rPr>
          <w:i/>
          <w:lang w:val="en-US"/>
        </w:rPr>
        <w:t xml:space="preserve">Harv L Rev </w:t>
      </w:r>
      <w:r>
        <w:rPr>
          <w:lang w:val="en-US"/>
        </w:rPr>
        <w:t>31, 86</w:t>
      </w:r>
      <w:r w:rsidRPr="00710FCE">
        <w:rPr>
          <w:lang w:val="en-US"/>
        </w:rPr>
        <w:t>.</w:t>
      </w:r>
    </w:p>
  </w:footnote>
  <w:footnote w:id="59">
    <w:p w14:paraId="3542E636" w14:textId="6C6877AC" w:rsidR="000E04CC" w:rsidRPr="00710FCE" w:rsidRDefault="000E04CC" w:rsidP="008B3A87">
      <w:pPr>
        <w:pStyle w:val="FootnoteText"/>
        <w:jc w:val="both"/>
        <w:rPr>
          <w:lang w:val="en-US"/>
        </w:rPr>
      </w:pPr>
      <w:r w:rsidRPr="00710FCE">
        <w:rPr>
          <w:rStyle w:val="FootnoteReference"/>
        </w:rPr>
        <w:footnoteRef/>
      </w:r>
      <w:r w:rsidRPr="00710FCE">
        <w:t xml:space="preserve"> </w:t>
      </w:r>
      <w:r>
        <w:rPr>
          <w:lang w:val="en-US"/>
        </w:rPr>
        <w:t>Markesinis with</w:t>
      </w:r>
      <w:r w:rsidRPr="00710FCE">
        <w:rPr>
          <w:lang w:val="en-US"/>
        </w:rPr>
        <w:t xml:space="preserve"> Fedtke, </w:t>
      </w:r>
      <w:r>
        <w:rPr>
          <w:i/>
          <w:lang w:val="en-US"/>
        </w:rPr>
        <w:t xml:space="preserve">Engaging with Foreign Law </w:t>
      </w:r>
      <w:r>
        <w:rPr>
          <w:lang w:val="en-US"/>
        </w:rPr>
        <w:t>(</w:t>
      </w:r>
      <w:r w:rsidRPr="00710FCE">
        <w:rPr>
          <w:lang w:val="en-US"/>
        </w:rPr>
        <w:t>n</w:t>
      </w:r>
      <w:r>
        <w:rPr>
          <w:lang w:val="en-US"/>
        </w:rPr>
        <w:fldChar w:fldCharType="begin"/>
      </w:r>
      <w:r>
        <w:rPr>
          <w:lang w:val="en-US"/>
        </w:rPr>
        <w:instrText xml:space="preserve"> NOTEREF _Ref308947543 \h </w:instrText>
      </w:r>
      <w:r>
        <w:rPr>
          <w:lang w:val="en-US"/>
        </w:rPr>
      </w:r>
      <w:r>
        <w:rPr>
          <w:lang w:val="en-US"/>
        </w:rPr>
        <w:fldChar w:fldCharType="separate"/>
      </w:r>
      <w:r>
        <w:rPr>
          <w:lang w:val="en-US"/>
        </w:rPr>
        <w:t>5</w:t>
      </w:r>
      <w:r>
        <w:rPr>
          <w:lang w:val="en-US"/>
        </w:rPr>
        <w:fldChar w:fldCharType="end"/>
      </w:r>
      <w:r>
        <w:rPr>
          <w:lang w:val="en-US"/>
        </w:rPr>
        <w:t xml:space="preserve">) </w:t>
      </w:r>
      <w:r w:rsidRPr="00710FCE">
        <w:rPr>
          <w:lang w:val="en-US"/>
        </w:rPr>
        <w:t>114.</w:t>
      </w:r>
    </w:p>
  </w:footnote>
  <w:footnote w:id="60">
    <w:p w14:paraId="62867F4E" w14:textId="4528C560" w:rsidR="000E04CC" w:rsidRPr="00710FCE" w:rsidRDefault="000E04CC" w:rsidP="008B3A87">
      <w:pPr>
        <w:pStyle w:val="FootnoteText"/>
        <w:jc w:val="both"/>
      </w:pPr>
      <w:r w:rsidRPr="00710FCE">
        <w:rPr>
          <w:rStyle w:val="FootnoteReference"/>
        </w:rPr>
        <w:footnoteRef/>
      </w:r>
      <w:r w:rsidRPr="00710FCE">
        <w:t xml:space="preserve"> </w:t>
      </w:r>
      <w:r>
        <w:t>Sullivan (</w:t>
      </w:r>
      <w:r w:rsidRPr="00710FCE">
        <w:t>n</w:t>
      </w:r>
      <w:r w:rsidRPr="00710FCE">
        <w:fldChar w:fldCharType="begin"/>
      </w:r>
      <w:r w:rsidRPr="00710FCE">
        <w:instrText xml:space="preserve"> NOTEREF _Ref228847407 \h </w:instrText>
      </w:r>
      <w:r w:rsidRPr="00710FCE">
        <w:fldChar w:fldCharType="separate"/>
      </w:r>
      <w:r>
        <w:t>57</w:t>
      </w:r>
      <w:r w:rsidRPr="00710FCE">
        <w:fldChar w:fldCharType="end"/>
      </w:r>
      <w:r>
        <w:t>)</w:t>
      </w:r>
      <w:r w:rsidRPr="00710FCE">
        <w:t>.</w:t>
      </w:r>
    </w:p>
  </w:footnote>
  <w:footnote w:id="61">
    <w:p w14:paraId="78D9A6A1" w14:textId="61D1B1A5" w:rsidR="000E04CC" w:rsidRPr="00A826F6" w:rsidRDefault="000E04CC" w:rsidP="008B3A87">
      <w:pPr>
        <w:pStyle w:val="FootnoteText"/>
        <w:jc w:val="both"/>
        <w:rPr>
          <w:lang w:val="en-US"/>
        </w:rPr>
      </w:pPr>
      <w:r>
        <w:rPr>
          <w:rStyle w:val="FootnoteReference"/>
        </w:rPr>
        <w:footnoteRef/>
      </w:r>
      <w:r>
        <w:t xml:space="preserve"> </w:t>
      </w:r>
      <w:r w:rsidRPr="00A826F6">
        <w:t>I</w:t>
      </w:r>
      <w:r w:rsidRPr="00A826F6">
        <w:rPr>
          <w:lang w:val="en-US"/>
        </w:rPr>
        <w:t>t is for this reason that any lack of expertise on the part of judges is not a consideration that militates against their consideration of national law. The justification for judges to have regard to national law is so strong that it outweighs any concern that a particular judge might not have the relevant expertise on a particular area of the law.</w:t>
      </w:r>
    </w:p>
  </w:footnote>
  <w:footnote w:id="62">
    <w:p w14:paraId="02462CF6" w14:textId="6FE566B1" w:rsidR="000E04CC" w:rsidRPr="00710FCE" w:rsidRDefault="000E04CC" w:rsidP="008B3A87">
      <w:pPr>
        <w:pStyle w:val="FootnoteText"/>
        <w:jc w:val="both"/>
        <w:rPr>
          <w:lang w:val="en-US"/>
        </w:rPr>
      </w:pPr>
      <w:r w:rsidRPr="00710FCE">
        <w:rPr>
          <w:rStyle w:val="FootnoteReference"/>
        </w:rPr>
        <w:footnoteRef/>
      </w:r>
      <w:r>
        <w:rPr>
          <w:lang w:val="en-US"/>
        </w:rPr>
        <w:t xml:space="preserve"> Jackson, ‘Narratives of Federalism’ (</w:t>
      </w:r>
      <w:r w:rsidRPr="00710FCE">
        <w:rPr>
          <w:lang w:val="en-US"/>
        </w:rPr>
        <w:t>n</w:t>
      </w:r>
      <w:r w:rsidRPr="00710FCE">
        <w:rPr>
          <w:lang w:val="en-US"/>
        </w:rPr>
        <w:fldChar w:fldCharType="begin"/>
      </w:r>
      <w:r w:rsidRPr="00710FCE">
        <w:rPr>
          <w:lang w:val="en-US"/>
        </w:rPr>
        <w:instrText xml:space="preserve"> NOTEREF _Ref230237414 \h </w:instrText>
      </w:r>
      <w:r w:rsidRPr="00710FCE">
        <w:rPr>
          <w:lang w:val="en-US"/>
        </w:rPr>
      </w:r>
      <w:r w:rsidRPr="00710FCE">
        <w:rPr>
          <w:lang w:val="en-US"/>
        </w:rPr>
        <w:fldChar w:fldCharType="separate"/>
      </w:r>
      <w:r>
        <w:rPr>
          <w:lang w:val="en-US"/>
        </w:rPr>
        <w:t>26</w:t>
      </w:r>
      <w:r w:rsidRPr="00710FCE">
        <w:rPr>
          <w:lang w:val="en-US"/>
        </w:rPr>
        <w:fldChar w:fldCharType="end"/>
      </w:r>
      <w:r>
        <w:rPr>
          <w:lang w:val="en-US"/>
        </w:rPr>
        <w:t>)</w:t>
      </w:r>
      <w:r w:rsidRPr="00710FCE">
        <w:rPr>
          <w:lang w:val="en-US"/>
        </w:rPr>
        <w:t xml:space="preserve">. See also L’Heureux-Dubé, </w:t>
      </w:r>
      <w:r>
        <w:rPr>
          <w:i/>
          <w:lang w:val="en-US"/>
        </w:rPr>
        <w:t xml:space="preserve">The Importance of Dialogue </w:t>
      </w:r>
      <w:r>
        <w:rPr>
          <w:lang w:val="en-US"/>
        </w:rPr>
        <w:t>(</w:t>
      </w:r>
      <w:r w:rsidRPr="00710FCE">
        <w:rPr>
          <w:lang w:val="en-US"/>
        </w:rPr>
        <w:t>n</w:t>
      </w:r>
      <w:r>
        <w:rPr>
          <w:lang w:val="en-US"/>
        </w:rPr>
        <w:fldChar w:fldCharType="begin"/>
      </w:r>
      <w:r>
        <w:rPr>
          <w:lang w:val="en-US"/>
        </w:rPr>
        <w:instrText xml:space="preserve"> NOTEREF _Ref308947826 \h </w:instrText>
      </w:r>
      <w:r>
        <w:rPr>
          <w:lang w:val="en-US"/>
        </w:rPr>
      </w:r>
      <w:r>
        <w:rPr>
          <w:lang w:val="en-US"/>
        </w:rPr>
        <w:fldChar w:fldCharType="separate"/>
      </w:r>
      <w:r>
        <w:rPr>
          <w:lang w:val="en-US"/>
        </w:rPr>
        <w:t>6</w:t>
      </w:r>
      <w:r>
        <w:rPr>
          <w:lang w:val="en-US"/>
        </w:rPr>
        <w:fldChar w:fldCharType="end"/>
      </w:r>
      <w:r>
        <w:rPr>
          <w:lang w:val="en-US"/>
        </w:rPr>
        <w:t xml:space="preserve">) </w:t>
      </w:r>
      <w:r w:rsidRPr="00710FCE">
        <w:rPr>
          <w:lang w:val="en-US"/>
        </w:rPr>
        <w:fldChar w:fldCharType="begin"/>
      </w:r>
      <w:r w:rsidRPr="00710FCE">
        <w:rPr>
          <w:lang w:val="en-US"/>
        </w:rPr>
        <w:instrText xml:space="preserve"> NOTEREF _Ref228267642 \h </w:instrText>
      </w:r>
      <w:r w:rsidRPr="00710FCE">
        <w:rPr>
          <w:lang w:val="en-US"/>
        </w:rPr>
      </w:r>
      <w:r w:rsidRPr="00710FCE">
        <w:rPr>
          <w:lang w:val="en-US"/>
        </w:rPr>
        <w:fldChar w:fldCharType="separate"/>
      </w:r>
      <w:r>
        <w:rPr>
          <w:lang w:val="en-US"/>
        </w:rPr>
        <w:t>38</w:t>
      </w:r>
      <w:r w:rsidRPr="00710FCE">
        <w:rPr>
          <w:lang w:val="en-US"/>
        </w:rPr>
        <w:fldChar w:fldCharType="end"/>
      </w:r>
      <w:r w:rsidRPr="00710FCE">
        <w:rPr>
          <w:lang w:val="en-US"/>
        </w:rPr>
        <w:t>.</w:t>
      </w:r>
    </w:p>
  </w:footnote>
  <w:footnote w:id="63">
    <w:p w14:paraId="5937807B" w14:textId="79FC8BE2" w:rsidR="000E04CC" w:rsidRPr="00710FCE" w:rsidRDefault="000E04CC" w:rsidP="008B3A87">
      <w:pPr>
        <w:pStyle w:val="FootnoteText"/>
        <w:jc w:val="both"/>
        <w:rPr>
          <w:lang w:val="en-US"/>
        </w:rPr>
      </w:pPr>
      <w:r w:rsidRPr="00710FCE">
        <w:rPr>
          <w:rStyle w:val="FootnoteReference"/>
        </w:rPr>
        <w:footnoteRef/>
      </w:r>
      <w:r w:rsidRPr="00710FCE">
        <w:t xml:space="preserve"> </w:t>
      </w:r>
      <w:r>
        <w:t xml:space="preserve">S </w:t>
      </w:r>
      <w:r>
        <w:rPr>
          <w:lang w:val="en-US"/>
        </w:rPr>
        <w:t>Kent</w:t>
      </w:r>
      <w:r w:rsidRPr="00710FCE">
        <w:rPr>
          <w:lang w:val="en-US"/>
        </w:rPr>
        <w:t>ridge, ‘Comparative Law in Constitutional Adjudication: The S</w:t>
      </w:r>
      <w:r>
        <w:rPr>
          <w:lang w:val="en-US"/>
        </w:rPr>
        <w:t xml:space="preserve">outh African Experience’ (2005) </w:t>
      </w:r>
      <w:r w:rsidRPr="00710FCE">
        <w:rPr>
          <w:lang w:val="en-US"/>
        </w:rPr>
        <w:t xml:space="preserve">80 </w:t>
      </w:r>
      <w:r w:rsidRPr="00074955">
        <w:rPr>
          <w:i/>
          <w:lang w:val="en-US"/>
        </w:rPr>
        <w:t xml:space="preserve">Tulane Law Review </w:t>
      </w:r>
      <w:r w:rsidRPr="00710FCE">
        <w:rPr>
          <w:lang w:val="en-US"/>
        </w:rPr>
        <w:t>245, 245.</w:t>
      </w:r>
    </w:p>
  </w:footnote>
  <w:footnote w:id="64">
    <w:p w14:paraId="317D991B" w14:textId="7D62C941" w:rsidR="000E04CC" w:rsidRPr="00640EF7" w:rsidRDefault="000E04CC" w:rsidP="008B3A87">
      <w:pPr>
        <w:pStyle w:val="FootnoteText"/>
        <w:jc w:val="both"/>
        <w:rPr>
          <w:lang w:val="en-US"/>
        </w:rPr>
      </w:pPr>
      <w:r>
        <w:rPr>
          <w:rStyle w:val="FootnoteReference"/>
        </w:rPr>
        <w:footnoteRef/>
      </w:r>
      <w:r>
        <w:t xml:space="preserve"> </w:t>
      </w:r>
      <w:r>
        <w:rPr>
          <w:lang w:val="en-US"/>
        </w:rPr>
        <w:t>See O Doyle, ‘Conventional Constitutional Law’ (2015) 38 Dublin University Law Journal (forthcoming).</w:t>
      </w:r>
    </w:p>
  </w:footnote>
  <w:footnote w:id="65">
    <w:p w14:paraId="1F337183" w14:textId="3461B6D0" w:rsidR="000E04CC" w:rsidRPr="00710FCE" w:rsidRDefault="000E04CC" w:rsidP="008B3A87">
      <w:pPr>
        <w:pStyle w:val="FootnoteText"/>
        <w:jc w:val="both"/>
        <w:rPr>
          <w:lang w:val="en-US"/>
        </w:rPr>
      </w:pPr>
      <w:r w:rsidRPr="00710FCE">
        <w:rPr>
          <w:rStyle w:val="FootnoteReference"/>
        </w:rPr>
        <w:footnoteRef/>
      </w:r>
      <w:r w:rsidRPr="00710FCE">
        <w:t xml:space="preserve"> I am grateful to </w:t>
      </w:r>
      <w:r>
        <w:t>Zhou Han-Ru</w:t>
      </w:r>
      <w:r w:rsidRPr="00710FCE">
        <w:t xml:space="preserve"> for this point.</w:t>
      </w:r>
      <w:r w:rsidRPr="00710FCE">
        <w:rPr>
          <w:lang w:val="en-US"/>
        </w:rPr>
        <w:t xml:space="preserve"> </w:t>
      </w:r>
    </w:p>
  </w:footnote>
  <w:footnote w:id="66">
    <w:p w14:paraId="1E1E4158" w14:textId="23FF5369" w:rsidR="000E04CC" w:rsidRPr="00FC32B9" w:rsidRDefault="000E04CC" w:rsidP="008B3A87">
      <w:pPr>
        <w:pStyle w:val="FootnoteText"/>
        <w:jc w:val="both"/>
        <w:rPr>
          <w:lang w:val="en-US"/>
        </w:rPr>
      </w:pPr>
      <w:r>
        <w:rPr>
          <w:rStyle w:val="FootnoteReference"/>
        </w:rPr>
        <w:footnoteRef/>
      </w:r>
      <w:r>
        <w:t xml:space="preserve"> </w:t>
      </w:r>
      <w:r>
        <w:rPr>
          <w:lang w:val="en-US"/>
        </w:rPr>
        <w:t>Kentridge (n</w:t>
      </w:r>
      <w:r>
        <w:rPr>
          <w:lang w:val="en-US"/>
        </w:rPr>
        <w:fldChar w:fldCharType="begin"/>
      </w:r>
      <w:r>
        <w:rPr>
          <w:lang w:val="en-US"/>
        </w:rPr>
        <w:instrText xml:space="preserve"> NOTEREF _Ref259612296 \h </w:instrText>
      </w:r>
      <w:r>
        <w:rPr>
          <w:lang w:val="en-US"/>
        </w:rPr>
      </w:r>
      <w:r>
        <w:rPr>
          <w:lang w:val="en-US"/>
        </w:rPr>
        <w:fldChar w:fldCharType="separate"/>
      </w:r>
      <w:r>
        <w:rPr>
          <w:lang w:val="en-US"/>
        </w:rPr>
        <w:t>63</w:t>
      </w:r>
      <w:r>
        <w:rPr>
          <w:lang w:val="en-US"/>
        </w:rPr>
        <w:fldChar w:fldCharType="end"/>
      </w:r>
      <w:r>
        <w:rPr>
          <w:lang w:val="en-US"/>
        </w:rPr>
        <w:t>) 245.</w:t>
      </w:r>
    </w:p>
  </w:footnote>
  <w:footnote w:id="67">
    <w:p w14:paraId="5CE8C440" w14:textId="67FEF39E" w:rsidR="000E04CC" w:rsidRPr="00710FCE" w:rsidRDefault="000E04CC" w:rsidP="008B3A87">
      <w:pPr>
        <w:pStyle w:val="FootnoteText"/>
        <w:jc w:val="both"/>
        <w:rPr>
          <w:lang w:val="en-US"/>
        </w:rPr>
      </w:pPr>
      <w:r w:rsidRPr="00710FCE">
        <w:rPr>
          <w:rStyle w:val="FootnoteReference"/>
        </w:rPr>
        <w:footnoteRef/>
      </w:r>
      <w:r w:rsidRPr="00710FCE">
        <w:t xml:space="preserve"> 521 US 702</w:t>
      </w:r>
      <w:r>
        <w:t xml:space="preserve"> (1987)</w:t>
      </w:r>
      <w:r w:rsidRPr="00710FCE">
        <w:t xml:space="preserve">. </w:t>
      </w:r>
    </w:p>
  </w:footnote>
  <w:footnote w:id="68">
    <w:p w14:paraId="68BDBBCA" w14:textId="344E661C" w:rsidR="000E04CC" w:rsidRPr="00710FCE" w:rsidRDefault="000E04CC" w:rsidP="008B3A87">
      <w:pPr>
        <w:pStyle w:val="FootnoteText"/>
        <w:jc w:val="both"/>
        <w:rPr>
          <w:lang w:val="en-US"/>
        </w:rPr>
      </w:pPr>
      <w:r w:rsidRPr="00710FCE">
        <w:rPr>
          <w:rStyle w:val="FootnoteReference"/>
        </w:rPr>
        <w:footnoteRef/>
      </w:r>
      <w:r w:rsidRPr="00710FCE">
        <w:t xml:space="preserve"> </w:t>
      </w:r>
      <w:r>
        <w:rPr>
          <w:lang w:val="en-US"/>
        </w:rPr>
        <w:t>See for instance S</w:t>
      </w:r>
      <w:r w:rsidRPr="00710FCE">
        <w:rPr>
          <w:lang w:val="en-US"/>
        </w:rPr>
        <w:t xml:space="preserve"> Levinson</w:t>
      </w:r>
      <w:r>
        <w:rPr>
          <w:lang w:val="en-US"/>
        </w:rPr>
        <w:t xml:space="preserve"> (n</w:t>
      </w:r>
      <w:r>
        <w:rPr>
          <w:lang w:val="en-US"/>
        </w:rPr>
        <w:fldChar w:fldCharType="begin"/>
      </w:r>
      <w:r>
        <w:rPr>
          <w:lang w:val="en-US"/>
        </w:rPr>
        <w:instrText xml:space="preserve"> NOTEREF _Ref299959136 \h </w:instrText>
      </w:r>
      <w:r>
        <w:rPr>
          <w:lang w:val="en-US"/>
        </w:rPr>
      </w:r>
      <w:r>
        <w:rPr>
          <w:lang w:val="en-US"/>
        </w:rPr>
        <w:fldChar w:fldCharType="separate"/>
      </w:r>
      <w:r>
        <w:rPr>
          <w:lang w:val="en-US"/>
        </w:rPr>
        <w:t>44</w:t>
      </w:r>
      <w:r>
        <w:rPr>
          <w:lang w:val="en-US"/>
        </w:rPr>
        <w:fldChar w:fldCharType="end"/>
      </w:r>
      <w:r>
        <w:rPr>
          <w:lang w:val="en-US"/>
        </w:rPr>
        <w:t>)</w:t>
      </w:r>
      <w:r w:rsidRPr="00710FCE">
        <w:rPr>
          <w:lang w:val="en-US"/>
        </w:rPr>
        <w:t>.</w:t>
      </w:r>
    </w:p>
  </w:footnote>
  <w:footnote w:id="69">
    <w:p w14:paraId="3A1D7BCE" w14:textId="1539F7F1" w:rsidR="000E04CC" w:rsidRPr="00710FCE" w:rsidRDefault="000E04CC" w:rsidP="008B3A87">
      <w:pPr>
        <w:pStyle w:val="FootnoteText"/>
        <w:jc w:val="both"/>
        <w:rPr>
          <w:lang w:val="en-US"/>
        </w:rPr>
      </w:pPr>
      <w:r w:rsidRPr="00710FCE">
        <w:rPr>
          <w:rStyle w:val="FootnoteReference"/>
        </w:rPr>
        <w:footnoteRef/>
      </w:r>
      <w:r>
        <w:t xml:space="preserve"> Jackson, ‘Constitutional Comparisons’ (n</w:t>
      </w:r>
      <w:r>
        <w:fldChar w:fldCharType="begin"/>
      </w:r>
      <w:r>
        <w:instrText xml:space="preserve"> NOTEREF _Ref250472063 \h </w:instrText>
      </w:r>
      <w:r>
        <w:fldChar w:fldCharType="separate"/>
      </w:r>
      <w:r>
        <w:t>12</w:t>
      </w:r>
      <w:r>
        <w:fldChar w:fldCharType="end"/>
      </w:r>
      <w:r>
        <w:t>)</w:t>
      </w:r>
      <w:r w:rsidRPr="00710FCE">
        <w:t xml:space="preserve">, </w:t>
      </w:r>
      <w:r w:rsidRPr="00710FCE">
        <w:rPr>
          <w:lang w:val="en-US"/>
        </w:rPr>
        <w:t xml:space="preserve">citing </w:t>
      </w:r>
      <w:r w:rsidRPr="00710FCE">
        <w:rPr>
          <w:i/>
          <w:lang w:val="en-US"/>
        </w:rPr>
        <w:t>Wilkerson v Utah</w:t>
      </w:r>
      <w:r w:rsidRPr="00710FCE">
        <w:rPr>
          <w:lang w:val="en-US"/>
        </w:rPr>
        <w:t xml:space="preserve"> </w:t>
      </w:r>
      <w:r w:rsidRPr="00710FCE">
        <w:rPr>
          <w:bCs/>
          <w:lang w:val="en-US"/>
        </w:rPr>
        <w:t xml:space="preserve">99 </w:t>
      </w:r>
      <w:r w:rsidRPr="00710FCE">
        <w:rPr>
          <w:lang w:val="en-US"/>
        </w:rPr>
        <w:t xml:space="preserve">US </w:t>
      </w:r>
      <w:r w:rsidRPr="00710FCE">
        <w:rPr>
          <w:bCs/>
          <w:lang w:val="en-US"/>
        </w:rPr>
        <w:t>130, 134</w:t>
      </w:r>
      <w:r>
        <w:rPr>
          <w:bCs/>
          <w:lang w:val="en-US"/>
        </w:rPr>
        <w:t xml:space="preserve"> </w:t>
      </w:r>
      <w:r w:rsidRPr="00710FCE">
        <w:rPr>
          <w:lang w:val="en-US"/>
        </w:rPr>
        <w:t>(1879).</w:t>
      </w:r>
    </w:p>
  </w:footnote>
  <w:footnote w:id="70">
    <w:p w14:paraId="18235A7E" w14:textId="77777777" w:rsidR="000E04CC" w:rsidRPr="00710FCE" w:rsidRDefault="000E04CC" w:rsidP="008B3A87">
      <w:pPr>
        <w:pStyle w:val="FootnoteText"/>
        <w:jc w:val="both"/>
        <w:rPr>
          <w:lang w:val="en-US"/>
        </w:rPr>
      </w:pPr>
      <w:r w:rsidRPr="00710FCE">
        <w:rPr>
          <w:rStyle w:val="FootnoteReference"/>
        </w:rPr>
        <w:footnoteRef/>
      </w:r>
      <w:r w:rsidRPr="00710FCE">
        <w:t xml:space="preserve"> 543 US 551</w:t>
      </w:r>
      <w:r>
        <w:t xml:space="preserve"> (2005)</w:t>
      </w:r>
      <w:r w:rsidRPr="00710FCE">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attachedTemplate r:id="rId1"/>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2106"/>
    <w:rsid w:val="00012F4E"/>
    <w:rsid w:val="00021936"/>
    <w:rsid w:val="0002774A"/>
    <w:rsid w:val="00034B9F"/>
    <w:rsid w:val="00051E57"/>
    <w:rsid w:val="00052106"/>
    <w:rsid w:val="00053027"/>
    <w:rsid w:val="00074955"/>
    <w:rsid w:val="000858E1"/>
    <w:rsid w:val="0009702B"/>
    <w:rsid w:val="000A0470"/>
    <w:rsid w:val="000A5BA2"/>
    <w:rsid w:val="000B2847"/>
    <w:rsid w:val="000B42B6"/>
    <w:rsid w:val="000B622D"/>
    <w:rsid w:val="000D2FAC"/>
    <w:rsid w:val="000D3BBA"/>
    <w:rsid w:val="000E04CC"/>
    <w:rsid w:val="00112530"/>
    <w:rsid w:val="00114D9D"/>
    <w:rsid w:val="001212A4"/>
    <w:rsid w:val="00123589"/>
    <w:rsid w:val="00127760"/>
    <w:rsid w:val="00127FDB"/>
    <w:rsid w:val="001354D9"/>
    <w:rsid w:val="00146256"/>
    <w:rsid w:val="00150502"/>
    <w:rsid w:val="00151993"/>
    <w:rsid w:val="0015380F"/>
    <w:rsid w:val="001556A3"/>
    <w:rsid w:val="00166C17"/>
    <w:rsid w:val="00171775"/>
    <w:rsid w:val="001805DE"/>
    <w:rsid w:val="001A1C19"/>
    <w:rsid w:val="001A654F"/>
    <w:rsid w:val="001B3018"/>
    <w:rsid w:val="001B477E"/>
    <w:rsid w:val="001C079D"/>
    <w:rsid w:val="00202FDC"/>
    <w:rsid w:val="00204C91"/>
    <w:rsid w:val="00212B03"/>
    <w:rsid w:val="00217B6F"/>
    <w:rsid w:val="00243278"/>
    <w:rsid w:val="002640E1"/>
    <w:rsid w:val="00291762"/>
    <w:rsid w:val="002C59D2"/>
    <w:rsid w:val="0030706A"/>
    <w:rsid w:val="00312709"/>
    <w:rsid w:val="0031566A"/>
    <w:rsid w:val="0033000F"/>
    <w:rsid w:val="00337809"/>
    <w:rsid w:val="0034220D"/>
    <w:rsid w:val="0035525D"/>
    <w:rsid w:val="00373058"/>
    <w:rsid w:val="003770A5"/>
    <w:rsid w:val="00390F9B"/>
    <w:rsid w:val="00392045"/>
    <w:rsid w:val="003A151D"/>
    <w:rsid w:val="003A50E5"/>
    <w:rsid w:val="003A5573"/>
    <w:rsid w:val="003B05CF"/>
    <w:rsid w:val="003D1E22"/>
    <w:rsid w:val="003E283D"/>
    <w:rsid w:val="003E2EFF"/>
    <w:rsid w:val="003E6063"/>
    <w:rsid w:val="003F3495"/>
    <w:rsid w:val="003F4797"/>
    <w:rsid w:val="00407B3A"/>
    <w:rsid w:val="00421FD8"/>
    <w:rsid w:val="00431B2E"/>
    <w:rsid w:val="00432449"/>
    <w:rsid w:val="00467438"/>
    <w:rsid w:val="004710C1"/>
    <w:rsid w:val="0047118A"/>
    <w:rsid w:val="00484EBC"/>
    <w:rsid w:val="00486E42"/>
    <w:rsid w:val="004D0456"/>
    <w:rsid w:val="004D1A51"/>
    <w:rsid w:val="004D3D0F"/>
    <w:rsid w:val="004E05C7"/>
    <w:rsid w:val="004F3721"/>
    <w:rsid w:val="0051573F"/>
    <w:rsid w:val="00532045"/>
    <w:rsid w:val="005419E4"/>
    <w:rsid w:val="0055719A"/>
    <w:rsid w:val="005640F6"/>
    <w:rsid w:val="005A2D7D"/>
    <w:rsid w:val="005A52C4"/>
    <w:rsid w:val="00600BBB"/>
    <w:rsid w:val="00605A91"/>
    <w:rsid w:val="00611F17"/>
    <w:rsid w:val="00616F4C"/>
    <w:rsid w:val="00632A63"/>
    <w:rsid w:val="00636F1B"/>
    <w:rsid w:val="00640EF7"/>
    <w:rsid w:val="00642615"/>
    <w:rsid w:val="006711D1"/>
    <w:rsid w:val="0068457C"/>
    <w:rsid w:val="006B59CF"/>
    <w:rsid w:val="006C1C39"/>
    <w:rsid w:val="006C6A28"/>
    <w:rsid w:val="006D4922"/>
    <w:rsid w:val="00710FCE"/>
    <w:rsid w:val="0071693D"/>
    <w:rsid w:val="00716EA2"/>
    <w:rsid w:val="00723628"/>
    <w:rsid w:val="00746D94"/>
    <w:rsid w:val="00746FB7"/>
    <w:rsid w:val="00765F06"/>
    <w:rsid w:val="00774322"/>
    <w:rsid w:val="0079126B"/>
    <w:rsid w:val="0079391E"/>
    <w:rsid w:val="00794CCD"/>
    <w:rsid w:val="007A3FF8"/>
    <w:rsid w:val="007D0BF5"/>
    <w:rsid w:val="007E179C"/>
    <w:rsid w:val="007F6B1D"/>
    <w:rsid w:val="00802895"/>
    <w:rsid w:val="00804C65"/>
    <w:rsid w:val="0081016E"/>
    <w:rsid w:val="00822FD3"/>
    <w:rsid w:val="008248B7"/>
    <w:rsid w:val="008276A0"/>
    <w:rsid w:val="008407E3"/>
    <w:rsid w:val="008448DC"/>
    <w:rsid w:val="00844A51"/>
    <w:rsid w:val="00853C63"/>
    <w:rsid w:val="00855639"/>
    <w:rsid w:val="00856E53"/>
    <w:rsid w:val="008602EB"/>
    <w:rsid w:val="00871CF3"/>
    <w:rsid w:val="00882B37"/>
    <w:rsid w:val="00890F67"/>
    <w:rsid w:val="008A16DB"/>
    <w:rsid w:val="008B3A87"/>
    <w:rsid w:val="008E073F"/>
    <w:rsid w:val="008E5BE1"/>
    <w:rsid w:val="00907625"/>
    <w:rsid w:val="00910D38"/>
    <w:rsid w:val="00923F68"/>
    <w:rsid w:val="009261D8"/>
    <w:rsid w:val="00985739"/>
    <w:rsid w:val="00993AE0"/>
    <w:rsid w:val="009A0EB4"/>
    <w:rsid w:val="009A2B5A"/>
    <w:rsid w:val="009A49B4"/>
    <w:rsid w:val="009A6C3A"/>
    <w:rsid w:val="009B2D1B"/>
    <w:rsid w:val="009D294F"/>
    <w:rsid w:val="009D42C9"/>
    <w:rsid w:val="009E5FDE"/>
    <w:rsid w:val="009F4D72"/>
    <w:rsid w:val="00A10E3D"/>
    <w:rsid w:val="00A2430B"/>
    <w:rsid w:val="00A250E5"/>
    <w:rsid w:val="00A2614B"/>
    <w:rsid w:val="00A339DC"/>
    <w:rsid w:val="00A46C21"/>
    <w:rsid w:val="00A56BBC"/>
    <w:rsid w:val="00A6583B"/>
    <w:rsid w:val="00A77A2E"/>
    <w:rsid w:val="00A826F6"/>
    <w:rsid w:val="00AB003C"/>
    <w:rsid w:val="00AD6A0D"/>
    <w:rsid w:val="00AF7B8A"/>
    <w:rsid w:val="00B06B52"/>
    <w:rsid w:val="00B07D16"/>
    <w:rsid w:val="00B21767"/>
    <w:rsid w:val="00B52BB9"/>
    <w:rsid w:val="00B70B39"/>
    <w:rsid w:val="00B7478A"/>
    <w:rsid w:val="00B91AC9"/>
    <w:rsid w:val="00BA2BB6"/>
    <w:rsid w:val="00BB0494"/>
    <w:rsid w:val="00BD4473"/>
    <w:rsid w:val="00BD46F3"/>
    <w:rsid w:val="00BE2AF7"/>
    <w:rsid w:val="00BF4F51"/>
    <w:rsid w:val="00C00572"/>
    <w:rsid w:val="00C11ED5"/>
    <w:rsid w:val="00C1414F"/>
    <w:rsid w:val="00C141AE"/>
    <w:rsid w:val="00C608D1"/>
    <w:rsid w:val="00C60A45"/>
    <w:rsid w:val="00C84CF6"/>
    <w:rsid w:val="00C87AA4"/>
    <w:rsid w:val="00C94294"/>
    <w:rsid w:val="00CD68D8"/>
    <w:rsid w:val="00CD723B"/>
    <w:rsid w:val="00CD7432"/>
    <w:rsid w:val="00CE1070"/>
    <w:rsid w:val="00CE3F62"/>
    <w:rsid w:val="00CE62E5"/>
    <w:rsid w:val="00CE6893"/>
    <w:rsid w:val="00CF01EE"/>
    <w:rsid w:val="00D20F3F"/>
    <w:rsid w:val="00D300A6"/>
    <w:rsid w:val="00D337CC"/>
    <w:rsid w:val="00D37FB5"/>
    <w:rsid w:val="00D45F8A"/>
    <w:rsid w:val="00D508BB"/>
    <w:rsid w:val="00D51823"/>
    <w:rsid w:val="00D5286E"/>
    <w:rsid w:val="00D640CE"/>
    <w:rsid w:val="00DB41E9"/>
    <w:rsid w:val="00DC2029"/>
    <w:rsid w:val="00DC2A7C"/>
    <w:rsid w:val="00DD5B9A"/>
    <w:rsid w:val="00E04475"/>
    <w:rsid w:val="00E1264A"/>
    <w:rsid w:val="00E1656E"/>
    <w:rsid w:val="00E31340"/>
    <w:rsid w:val="00E3643B"/>
    <w:rsid w:val="00E37B4E"/>
    <w:rsid w:val="00E41460"/>
    <w:rsid w:val="00E4315F"/>
    <w:rsid w:val="00E52F70"/>
    <w:rsid w:val="00E60C4A"/>
    <w:rsid w:val="00E632F8"/>
    <w:rsid w:val="00E74AFA"/>
    <w:rsid w:val="00E87BC8"/>
    <w:rsid w:val="00EA1083"/>
    <w:rsid w:val="00EA6286"/>
    <w:rsid w:val="00EC6D65"/>
    <w:rsid w:val="00EE2C9C"/>
    <w:rsid w:val="00EF204B"/>
    <w:rsid w:val="00F022D8"/>
    <w:rsid w:val="00F152D7"/>
    <w:rsid w:val="00F1722B"/>
    <w:rsid w:val="00F338BD"/>
    <w:rsid w:val="00F51E37"/>
    <w:rsid w:val="00F56D6C"/>
    <w:rsid w:val="00F6088F"/>
    <w:rsid w:val="00F811DA"/>
    <w:rsid w:val="00F847FA"/>
    <w:rsid w:val="00F9278F"/>
    <w:rsid w:val="00FA11E5"/>
    <w:rsid w:val="00FC1D67"/>
    <w:rsid w:val="00FC32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A307A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EastAsia" w:hAnsi="Trebuchet MS" w:cstheme="minorBidi"/>
        <w:sz w:val="18"/>
        <w:szCs w:val="18"/>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10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23589"/>
    <w:pPr>
      <w:tabs>
        <w:tab w:val="center" w:pos="4320"/>
        <w:tab w:val="right" w:pos="8640"/>
      </w:tabs>
    </w:pPr>
  </w:style>
  <w:style w:type="character" w:customStyle="1" w:styleId="FooterChar">
    <w:name w:val="Footer Char"/>
    <w:basedOn w:val="DefaultParagraphFont"/>
    <w:link w:val="Footer"/>
    <w:uiPriority w:val="99"/>
    <w:rsid w:val="00123589"/>
  </w:style>
  <w:style w:type="character" w:styleId="PageNumber">
    <w:name w:val="page number"/>
    <w:basedOn w:val="DefaultParagraphFont"/>
    <w:uiPriority w:val="99"/>
    <w:semiHidden/>
    <w:unhideWhenUsed/>
    <w:rsid w:val="00123589"/>
  </w:style>
  <w:style w:type="paragraph" w:styleId="Header">
    <w:name w:val="header"/>
    <w:basedOn w:val="Normal"/>
    <w:link w:val="HeaderChar"/>
    <w:uiPriority w:val="99"/>
    <w:unhideWhenUsed/>
    <w:rsid w:val="00123589"/>
    <w:pPr>
      <w:tabs>
        <w:tab w:val="center" w:pos="4320"/>
        <w:tab w:val="right" w:pos="8640"/>
      </w:tabs>
    </w:pPr>
  </w:style>
  <w:style w:type="character" w:customStyle="1" w:styleId="HeaderChar">
    <w:name w:val="Header Char"/>
    <w:basedOn w:val="DefaultParagraphFont"/>
    <w:link w:val="Header"/>
    <w:uiPriority w:val="99"/>
    <w:rsid w:val="00123589"/>
  </w:style>
  <w:style w:type="paragraph" w:styleId="FootnoteText">
    <w:name w:val="footnote text"/>
    <w:basedOn w:val="Normal"/>
    <w:link w:val="FootnoteTextChar"/>
    <w:uiPriority w:val="99"/>
    <w:unhideWhenUsed/>
    <w:rsid w:val="00123589"/>
  </w:style>
  <w:style w:type="character" w:customStyle="1" w:styleId="FootnoteTextChar">
    <w:name w:val="Footnote Text Char"/>
    <w:basedOn w:val="DefaultParagraphFont"/>
    <w:link w:val="FootnoteText"/>
    <w:uiPriority w:val="99"/>
    <w:rsid w:val="00123589"/>
  </w:style>
  <w:style w:type="character" w:styleId="FootnoteReference">
    <w:name w:val="footnote reference"/>
    <w:basedOn w:val="DefaultParagraphFont"/>
    <w:uiPriority w:val="99"/>
    <w:unhideWhenUsed/>
    <w:rsid w:val="00123589"/>
    <w:rPr>
      <w:vertAlign w:val="superscript"/>
    </w:rPr>
  </w:style>
  <w:style w:type="paragraph" w:styleId="BalloonText">
    <w:name w:val="Balloon Text"/>
    <w:basedOn w:val="Normal"/>
    <w:link w:val="BalloonTextChar"/>
    <w:uiPriority w:val="99"/>
    <w:semiHidden/>
    <w:unhideWhenUsed/>
    <w:rsid w:val="00BE2AF7"/>
    <w:rPr>
      <w:rFonts w:ascii="Lucida Grande" w:hAnsi="Lucida Grande" w:cs="Lucida Grande"/>
    </w:rPr>
  </w:style>
  <w:style w:type="character" w:customStyle="1" w:styleId="BalloonTextChar">
    <w:name w:val="Balloon Text Char"/>
    <w:basedOn w:val="DefaultParagraphFont"/>
    <w:link w:val="BalloonText"/>
    <w:uiPriority w:val="99"/>
    <w:semiHidden/>
    <w:rsid w:val="00BE2AF7"/>
    <w:rPr>
      <w:rFonts w:ascii="Lucida Grande" w:hAnsi="Lucida Grande" w:cs="Lucida Grande"/>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EastAsia" w:hAnsi="Trebuchet MS" w:cstheme="minorBidi"/>
        <w:sz w:val="18"/>
        <w:szCs w:val="18"/>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10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123589"/>
    <w:pPr>
      <w:tabs>
        <w:tab w:val="center" w:pos="4320"/>
        <w:tab w:val="right" w:pos="8640"/>
      </w:tabs>
    </w:pPr>
  </w:style>
  <w:style w:type="character" w:customStyle="1" w:styleId="FooterChar">
    <w:name w:val="Footer Char"/>
    <w:basedOn w:val="DefaultParagraphFont"/>
    <w:link w:val="Footer"/>
    <w:uiPriority w:val="99"/>
    <w:rsid w:val="00123589"/>
  </w:style>
  <w:style w:type="character" w:styleId="PageNumber">
    <w:name w:val="page number"/>
    <w:basedOn w:val="DefaultParagraphFont"/>
    <w:uiPriority w:val="99"/>
    <w:semiHidden/>
    <w:unhideWhenUsed/>
    <w:rsid w:val="00123589"/>
  </w:style>
  <w:style w:type="paragraph" w:styleId="Header">
    <w:name w:val="header"/>
    <w:basedOn w:val="Normal"/>
    <w:link w:val="HeaderChar"/>
    <w:uiPriority w:val="99"/>
    <w:unhideWhenUsed/>
    <w:rsid w:val="00123589"/>
    <w:pPr>
      <w:tabs>
        <w:tab w:val="center" w:pos="4320"/>
        <w:tab w:val="right" w:pos="8640"/>
      </w:tabs>
    </w:pPr>
  </w:style>
  <w:style w:type="character" w:customStyle="1" w:styleId="HeaderChar">
    <w:name w:val="Header Char"/>
    <w:basedOn w:val="DefaultParagraphFont"/>
    <w:link w:val="Header"/>
    <w:uiPriority w:val="99"/>
    <w:rsid w:val="00123589"/>
  </w:style>
  <w:style w:type="paragraph" w:styleId="FootnoteText">
    <w:name w:val="footnote text"/>
    <w:basedOn w:val="Normal"/>
    <w:link w:val="FootnoteTextChar"/>
    <w:uiPriority w:val="99"/>
    <w:unhideWhenUsed/>
    <w:rsid w:val="00123589"/>
  </w:style>
  <w:style w:type="character" w:customStyle="1" w:styleId="FootnoteTextChar">
    <w:name w:val="Footnote Text Char"/>
    <w:basedOn w:val="DefaultParagraphFont"/>
    <w:link w:val="FootnoteText"/>
    <w:uiPriority w:val="99"/>
    <w:rsid w:val="00123589"/>
  </w:style>
  <w:style w:type="character" w:styleId="FootnoteReference">
    <w:name w:val="footnote reference"/>
    <w:basedOn w:val="DefaultParagraphFont"/>
    <w:uiPriority w:val="99"/>
    <w:unhideWhenUsed/>
    <w:rsid w:val="00123589"/>
    <w:rPr>
      <w:vertAlign w:val="superscript"/>
    </w:rPr>
  </w:style>
  <w:style w:type="paragraph" w:styleId="BalloonText">
    <w:name w:val="Balloon Text"/>
    <w:basedOn w:val="Normal"/>
    <w:link w:val="BalloonTextChar"/>
    <w:uiPriority w:val="99"/>
    <w:semiHidden/>
    <w:unhideWhenUsed/>
    <w:rsid w:val="00BE2AF7"/>
    <w:rPr>
      <w:rFonts w:ascii="Lucida Grande" w:hAnsi="Lucida Grande" w:cs="Lucida Grande"/>
    </w:rPr>
  </w:style>
  <w:style w:type="character" w:customStyle="1" w:styleId="BalloonTextChar">
    <w:name w:val="Balloon Text Char"/>
    <w:basedOn w:val="DefaultParagraphFont"/>
    <w:link w:val="BalloonText"/>
    <w:uiPriority w:val="99"/>
    <w:semiHidden/>
    <w:rsid w:val="00BE2AF7"/>
    <w:rPr>
      <w:rFonts w:ascii="Lucida Grande" w:hAnsi="Lucida Grande" w:cs="Lucida Grande"/>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orandoyle:Library:Application%20Support:Microsoft:Office:User%20Templates:My%20Templates:Academic%20Docu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57B076-4131-564E-B02A-ADA9C27A9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Academic Document.dotx</Template>
  <TotalTime>3</TotalTime>
  <Pages>29</Pages>
  <Words>8444</Words>
  <Characters>48132</Characters>
  <Application>Microsoft Macintosh Word</Application>
  <DocSecurity>0</DocSecurity>
  <Lines>401</Lines>
  <Paragraphs>112</Paragraphs>
  <ScaleCrop>false</ScaleCrop>
  <Company/>
  <LinksUpToDate>false</LinksUpToDate>
  <CharactersWithSpaces>56464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Oran Doyle</dc:creator>
  <cp:keywords/>
  <dc:description/>
  <cp:lastModifiedBy>Oran Doyle</cp:lastModifiedBy>
  <cp:revision>3</cp:revision>
  <cp:lastPrinted>2014-09-15T14:19:00Z</cp:lastPrinted>
  <dcterms:created xsi:type="dcterms:W3CDTF">2016-03-10T17:38:00Z</dcterms:created>
  <dcterms:modified xsi:type="dcterms:W3CDTF">2016-03-10T17:42:00Z</dcterms:modified>
</cp:coreProperties>
</file>