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3437" w14:textId="5E3232CF" w:rsidR="00D33F75" w:rsidRDefault="00D33F75" w:rsidP="0090003C">
      <w:pPr>
        <w:pStyle w:val="Heading1"/>
        <w:jc w:val="center"/>
        <w:rPr>
          <w:rFonts w:ascii="Times New Roman" w:hAnsi="Times New Roman" w:cs="Times New Roman"/>
          <w:color w:val="auto"/>
        </w:rPr>
      </w:pPr>
      <w:r>
        <w:rPr>
          <w:rFonts w:ascii="Arial" w:hAnsi="Arial" w:cs="Arial"/>
          <w:color w:val="222222"/>
          <w:sz w:val="20"/>
          <w:szCs w:val="20"/>
          <w:shd w:val="clear" w:color="auto" w:fill="FFFFFF"/>
        </w:rPr>
        <w:t>O'Hagan-Luff, M. and Berrill, J., 2015. Why stay-at-home investing makes sense. </w:t>
      </w:r>
      <w:r>
        <w:rPr>
          <w:rFonts w:ascii="Arial" w:hAnsi="Arial" w:cs="Arial"/>
          <w:i/>
          <w:iCs/>
          <w:color w:val="222222"/>
          <w:sz w:val="20"/>
          <w:szCs w:val="20"/>
          <w:shd w:val="clear" w:color="auto" w:fill="FFFFFF"/>
        </w:rPr>
        <w:t>International Review of Financial Analysis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 pp.1-14.</w:t>
      </w:r>
    </w:p>
    <w:p w14:paraId="2ED18C1D" w14:textId="0C67D83C" w:rsidR="008A2CD6" w:rsidRPr="00B45F9D" w:rsidRDefault="00E04DBD" w:rsidP="0090003C">
      <w:pPr>
        <w:pStyle w:val="Heading1"/>
        <w:jc w:val="center"/>
        <w:rPr>
          <w:rFonts w:ascii="Times New Roman" w:hAnsi="Times New Roman" w:cs="Times New Roman"/>
          <w:color w:val="auto"/>
        </w:rPr>
      </w:pPr>
      <w:r w:rsidRPr="00B45F9D">
        <w:rPr>
          <w:rFonts w:ascii="Times New Roman" w:hAnsi="Times New Roman" w:cs="Times New Roman"/>
          <w:color w:val="auto"/>
        </w:rPr>
        <w:t xml:space="preserve">Why </w:t>
      </w:r>
      <w:r w:rsidR="00C921EE" w:rsidRPr="00B45F9D">
        <w:rPr>
          <w:rFonts w:ascii="Times New Roman" w:hAnsi="Times New Roman" w:cs="Times New Roman"/>
          <w:color w:val="auto"/>
        </w:rPr>
        <w:t>home-based</w:t>
      </w:r>
      <w:r w:rsidRPr="00B45F9D">
        <w:rPr>
          <w:rFonts w:ascii="Times New Roman" w:hAnsi="Times New Roman" w:cs="Times New Roman"/>
          <w:color w:val="auto"/>
        </w:rPr>
        <w:t xml:space="preserve"> investing makes sense</w:t>
      </w:r>
      <w:r w:rsidR="00C906EA" w:rsidRPr="00B45F9D">
        <w:rPr>
          <w:rFonts w:ascii="Times New Roman" w:hAnsi="Times New Roman" w:cs="Times New Roman"/>
          <w:color w:val="auto"/>
        </w:rPr>
        <w:t xml:space="preserve"> </w:t>
      </w:r>
      <w:r w:rsidR="00C921EE" w:rsidRPr="00B45F9D">
        <w:rPr>
          <w:rFonts w:ascii="Times New Roman" w:hAnsi="Times New Roman" w:cs="Times New Roman"/>
          <w:color w:val="auto"/>
        </w:rPr>
        <w:t>– evidence from the US market</w:t>
      </w:r>
      <w:r w:rsidRPr="00B45F9D">
        <w:rPr>
          <w:rFonts w:ascii="Times New Roman" w:hAnsi="Times New Roman" w:cs="Times New Roman"/>
          <w:color w:val="auto"/>
        </w:rPr>
        <w:t>.</w:t>
      </w:r>
    </w:p>
    <w:p w14:paraId="37F8FC18" w14:textId="77777777" w:rsidR="00E217DF" w:rsidRPr="00B45F9D" w:rsidRDefault="00E217DF" w:rsidP="00E217DF">
      <w:pPr>
        <w:rPr>
          <w:rFonts w:ascii="Times New Roman" w:hAnsi="Times New Roman" w:cs="Times New Roman"/>
          <w:sz w:val="24"/>
          <w:szCs w:val="24"/>
        </w:rPr>
      </w:pPr>
    </w:p>
    <w:p w14:paraId="65EBEA1A" w14:textId="77777777" w:rsidR="0090003C" w:rsidRPr="00B45F9D" w:rsidRDefault="00CD4B7C" w:rsidP="00CD4B7C">
      <w:pPr>
        <w:jc w:val="center"/>
        <w:rPr>
          <w:rFonts w:ascii="Times New Roman" w:hAnsi="Times New Roman" w:cs="Times New Roman"/>
          <w:sz w:val="24"/>
          <w:szCs w:val="24"/>
        </w:rPr>
      </w:pPr>
      <w:r w:rsidRPr="00B45F9D">
        <w:rPr>
          <w:rFonts w:ascii="Times New Roman" w:hAnsi="Times New Roman" w:cs="Times New Roman"/>
          <w:sz w:val="24"/>
          <w:szCs w:val="24"/>
          <w:lang w:val="en-GB"/>
        </w:rPr>
        <w:t>Martha O’Hagan-Luff</w:t>
      </w:r>
      <w:r w:rsidRPr="00B45F9D">
        <w:rPr>
          <w:rStyle w:val="FootnoteReference"/>
          <w:rFonts w:ascii="Times New Roman" w:hAnsi="Times New Roman" w:cs="Times New Roman"/>
          <w:sz w:val="24"/>
          <w:szCs w:val="24"/>
          <w:lang w:val="en-GB"/>
        </w:rPr>
        <w:footnoteReference w:id="1"/>
      </w:r>
      <w:r w:rsidRPr="00B45F9D">
        <w:rPr>
          <w:rFonts w:ascii="Times New Roman" w:hAnsi="Times New Roman" w:cs="Times New Roman"/>
          <w:sz w:val="24"/>
          <w:szCs w:val="24"/>
          <w:lang w:val="en-GB"/>
        </w:rPr>
        <w:t>, Jenny Berrill</w:t>
      </w:r>
      <w:r w:rsidRPr="00B45F9D">
        <w:rPr>
          <w:rStyle w:val="FootnoteReference"/>
          <w:rFonts w:ascii="Times New Roman" w:hAnsi="Times New Roman" w:cs="Times New Roman"/>
          <w:sz w:val="24"/>
          <w:szCs w:val="24"/>
          <w:lang w:val="en-GB"/>
        </w:rPr>
        <w:footnoteReference w:id="2"/>
      </w:r>
    </w:p>
    <w:p w14:paraId="2680C8EE" w14:textId="77777777" w:rsidR="0090003C" w:rsidRPr="00B45F9D" w:rsidRDefault="0090003C" w:rsidP="00B45F9D">
      <w:pPr>
        <w:pStyle w:val="Heading2"/>
      </w:pPr>
      <w:r w:rsidRPr="00B45F9D">
        <w:t>Abstract</w:t>
      </w:r>
    </w:p>
    <w:p w14:paraId="35A91200" w14:textId="77777777" w:rsidR="0090003C" w:rsidRPr="00B45F9D" w:rsidRDefault="0090003C" w:rsidP="0090003C">
      <w:pPr>
        <w:jc w:val="center"/>
        <w:rPr>
          <w:rFonts w:ascii="Times New Roman" w:hAnsi="Times New Roman" w:cs="Times New Roman"/>
        </w:rPr>
      </w:pPr>
    </w:p>
    <w:p w14:paraId="3224650A" w14:textId="77777777" w:rsidR="0090003C" w:rsidRPr="00B45F9D" w:rsidRDefault="00194F32" w:rsidP="00CD4B7C">
      <w:pPr>
        <w:spacing w:line="360" w:lineRule="auto"/>
        <w:jc w:val="both"/>
        <w:rPr>
          <w:rFonts w:ascii="Times New Roman" w:hAnsi="Times New Roman" w:cs="Times New Roman"/>
          <w:sz w:val="24"/>
          <w:szCs w:val="24"/>
        </w:rPr>
      </w:pPr>
      <w:r w:rsidRPr="00B45F9D">
        <w:rPr>
          <w:rFonts w:ascii="Times New Roman" w:hAnsi="Times New Roman" w:cs="Times New Roman"/>
          <w:sz w:val="24"/>
          <w:szCs w:val="24"/>
        </w:rPr>
        <w:t>Despite</w:t>
      </w:r>
      <w:r w:rsidR="0090003C" w:rsidRPr="00B45F9D">
        <w:rPr>
          <w:rFonts w:ascii="Times New Roman" w:hAnsi="Times New Roman" w:cs="Times New Roman"/>
          <w:sz w:val="24"/>
          <w:szCs w:val="24"/>
        </w:rPr>
        <w:t xml:space="preserve"> the benefits of international diversification</w:t>
      </w:r>
      <w:r w:rsidR="00B45F9D">
        <w:rPr>
          <w:rFonts w:ascii="Times New Roman" w:hAnsi="Times New Roman" w:cs="Times New Roman"/>
          <w:sz w:val="24"/>
          <w:szCs w:val="24"/>
        </w:rPr>
        <w:t>,</w:t>
      </w:r>
      <w:r w:rsidR="0090003C" w:rsidRPr="00B45F9D">
        <w:rPr>
          <w:rFonts w:ascii="Times New Roman" w:hAnsi="Times New Roman" w:cs="Times New Roman"/>
          <w:sz w:val="24"/>
          <w:szCs w:val="24"/>
        </w:rPr>
        <w:t xml:space="preserve"> investors </w:t>
      </w:r>
      <w:r w:rsidRPr="00B45F9D">
        <w:rPr>
          <w:rFonts w:ascii="Times New Roman" w:hAnsi="Times New Roman" w:cs="Times New Roman"/>
          <w:sz w:val="24"/>
          <w:szCs w:val="24"/>
        </w:rPr>
        <w:t xml:space="preserve">continue to display a </w:t>
      </w:r>
      <w:r w:rsidR="00B45F9D">
        <w:rPr>
          <w:rFonts w:ascii="Times New Roman" w:hAnsi="Times New Roman" w:cs="Times New Roman"/>
          <w:sz w:val="24"/>
          <w:szCs w:val="24"/>
        </w:rPr>
        <w:t>preference for home-</w:t>
      </w:r>
      <w:r w:rsidR="0090003C" w:rsidRPr="00B45F9D">
        <w:rPr>
          <w:rFonts w:ascii="Times New Roman" w:hAnsi="Times New Roman" w:cs="Times New Roman"/>
          <w:sz w:val="24"/>
          <w:szCs w:val="24"/>
        </w:rPr>
        <w:t>based investments</w:t>
      </w:r>
      <w:r w:rsidRPr="00B45F9D">
        <w:rPr>
          <w:rFonts w:ascii="Times New Roman" w:hAnsi="Times New Roman" w:cs="Times New Roman"/>
          <w:sz w:val="24"/>
          <w:szCs w:val="24"/>
        </w:rPr>
        <w:t>.  Given this preference</w:t>
      </w:r>
      <w:r w:rsidR="00B45F9D">
        <w:rPr>
          <w:rFonts w:ascii="Times New Roman" w:hAnsi="Times New Roman" w:cs="Times New Roman"/>
          <w:sz w:val="24"/>
          <w:szCs w:val="24"/>
        </w:rPr>
        <w:t>,</w:t>
      </w:r>
      <w:r w:rsidRPr="00B45F9D">
        <w:rPr>
          <w:rFonts w:ascii="Times New Roman" w:hAnsi="Times New Roman" w:cs="Times New Roman"/>
          <w:sz w:val="24"/>
          <w:szCs w:val="24"/>
        </w:rPr>
        <w:t xml:space="preserve"> we </w:t>
      </w:r>
      <w:r w:rsidR="00CA74D5" w:rsidRPr="00B45F9D">
        <w:rPr>
          <w:rFonts w:ascii="Times New Roman" w:hAnsi="Times New Roman" w:cs="Times New Roman"/>
          <w:sz w:val="24"/>
          <w:szCs w:val="24"/>
        </w:rPr>
        <w:t>investigate</w:t>
      </w:r>
      <w:r w:rsidRPr="00B45F9D">
        <w:rPr>
          <w:rFonts w:ascii="Times New Roman" w:hAnsi="Times New Roman" w:cs="Times New Roman"/>
          <w:sz w:val="24"/>
          <w:szCs w:val="24"/>
        </w:rPr>
        <w:t xml:space="preserve"> whether it is</w:t>
      </w:r>
      <w:r w:rsidR="0090003C" w:rsidRPr="00B45F9D">
        <w:rPr>
          <w:rFonts w:ascii="Times New Roman" w:hAnsi="Times New Roman" w:cs="Times New Roman"/>
          <w:sz w:val="24"/>
          <w:szCs w:val="24"/>
        </w:rPr>
        <w:t xml:space="preserve"> possible to </w:t>
      </w:r>
      <w:r w:rsidR="002D64E4" w:rsidRPr="00B45F9D">
        <w:rPr>
          <w:rFonts w:ascii="Times New Roman" w:hAnsi="Times New Roman" w:cs="Times New Roman"/>
          <w:sz w:val="24"/>
          <w:szCs w:val="24"/>
        </w:rPr>
        <w:t>mimic</w:t>
      </w:r>
      <w:r w:rsidR="0090003C" w:rsidRPr="00B45F9D">
        <w:rPr>
          <w:rFonts w:ascii="Times New Roman" w:hAnsi="Times New Roman" w:cs="Times New Roman"/>
          <w:sz w:val="24"/>
          <w:szCs w:val="24"/>
        </w:rPr>
        <w:t xml:space="preserve"> the benefits of international diversification via domestically traded products.  We test this </w:t>
      </w:r>
      <w:r w:rsidRPr="00B45F9D">
        <w:rPr>
          <w:rFonts w:ascii="Times New Roman" w:hAnsi="Times New Roman" w:cs="Times New Roman"/>
          <w:sz w:val="24"/>
          <w:szCs w:val="24"/>
        </w:rPr>
        <w:t xml:space="preserve">from the perspective of US investors </w:t>
      </w:r>
      <w:r w:rsidR="0090003C" w:rsidRPr="00B45F9D">
        <w:rPr>
          <w:rFonts w:ascii="Times New Roman" w:hAnsi="Times New Roman" w:cs="Times New Roman"/>
          <w:sz w:val="24"/>
          <w:szCs w:val="24"/>
        </w:rPr>
        <w:t>for 3</w:t>
      </w:r>
      <w:r w:rsidR="008E775B" w:rsidRPr="00B45F9D">
        <w:rPr>
          <w:rFonts w:ascii="Times New Roman" w:hAnsi="Times New Roman" w:cs="Times New Roman"/>
          <w:sz w:val="24"/>
          <w:szCs w:val="24"/>
        </w:rPr>
        <w:t>7</w:t>
      </w:r>
      <w:r w:rsidR="0090003C" w:rsidRPr="00B45F9D">
        <w:rPr>
          <w:rFonts w:ascii="Times New Roman" w:hAnsi="Times New Roman" w:cs="Times New Roman"/>
          <w:sz w:val="24"/>
          <w:szCs w:val="24"/>
        </w:rPr>
        <w:t xml:space="preserve"> countries between 1996 and 2011.  We </w:t>
      </w:r>
      <w:r w:rsidR="00B45F9D">
        <w:rPr>
          <w:rFonts w:ascii="Times New Roman" w:hAnsi="Times New Roman" w:cs="Times New Roman"/>
          <w:sz w:val="24"/>
          <w:szCs w:val="24"/>
        </w:rPr>
        <w:t>attempt</w:t>
      </w:r>
      <w:r w:rsidR="006A0E84" w:rsidRPr="00B45F9D">
        <w:rPr>
          <w:rFonts w:ascii="Times New Roman" w:hAnsi="Times New Roman" w:cs="Times New Roman"/>
          <w:sz w:val="24"/>
          <w:szCs w:val="24"/>
        </w:rPr>
        <w:t xml:space="preserve"> to replicate the equity index of</w:t>
      </w:r>
      <w:r w:rsidR="001472B9" w:rsidRPr="00B45F9D">
        <w:rPr>
          <w:rFonts w:ascii="Times New Roman" w:hAnsi="Times New Roman" w:cs="Times New Roman"/>
          <w:sz w:val="24"/>
          <w:szCs w:val="24"/>
        </w:rPr>
        <w:t xml:space="preserve"> each country with domestically-</w:t>
      </w:r>
      <w:r w:rsidR="006A0E84" w:rsidRPr="00B45F9D">
        <w:rPr>
          <w:rFonts w:ascii="Times New Roman" w:hAnsi="Times New Roman" w:cs="Times New Roman"/>
          <w:sz w:val="24"/>
          <w:szCs w:val="24"/>
        </w:rPr>
        <w:t>traded US products</w:t>
      </w:r>
      <w:r w:rsidRPr="00B45F9D">
        <w:rPr>
          <w:rFonts w:ascii="Times New Roman" w:hAnsi="Times New Roman" w:cs="Times New Roman"/>
          <w:sz w:val="24"/>
          <w:szCs w:val="24"/>
        </w:rPr>
        <w:t xml:space="preserve"> such as</w:t>
      </w:r>
      <w:r w:rsidR="006A0E84" w:rsidRPr="00B45F9D">
        <w:rPr>
          <w:rFonts w:ascii="Times New Roman" w:hAnsi="Times New Roman" w:cs="Times New Roman"/>
          <w:sz w:val="24"/>
          <w:szCs w:val="24"/>
        </w:rPr>
        <w:t xml:space="preserve"> </w:t>
      </w:r>
      <w:r w:rsidR="000C3FF4" w:rsidRPr="00B45F9D">
        <w:rPr>
          <w:rFonts w:ascii="Times New Roman" w:hAnsi="Times New Roman" w:cs="Times New Roman"/>
          <w:sz w:val="24"/>
          <w:szCs w:val="24"/>
        </w:rPr>
        <w:t>Industry I</w:t>
      </w:r>
      <w:r w:rsidRPr="00B45F9D">
        <w:rPr>
          <w:rFonts w:ascii="Times New Roman" w:hAnsi="Times New Roman" w:cs="Times New Roman"/>
          <w:sz w:val="24"/>
          <w:szCs w:val="24"/>
        </w:rPr>
        <w:t xml:space="preserve">ndices, Multinational Corporations, American Depository Receipts, Closed-End Country Funds </w:t>
      </w:r>
      <w:r w:rsidR="00CE6362">
        <w:rPr>
          <w:rFonts w:ascii="Times New Roman" w:hAnsi="Times New Roman" w:cs="Times New Roman"/>
          <w:sz w:val="24"/>
          <w:szCs w:val="24"/>
        </w:rPr>
        <w:t xml:space="preserve">and iShares </w:t>
      </w:r>
      <w:r w:rsidR="006A0E84" w:rsidRPr="00B45F9D">
        <w:rPr>
          <w:rFonts w:ascii="Times New Roman" w:hAnsi="Times New Roman" w:cs="Times New Roman"/>
          <w:sz w:val="24"/>
          <w:szCs w:val="24"/>
        </w:rPr>
        <w:t xml:space="preserve">to </w:t>
      </w:r>
      <w:r w:rsidRPr="00B45F9D">
        <w:rPr>
          <w:rFonts w:ascii="Times New Roman" w:hAnsi="Times New Roman" w:cs="Times New Roman"/>
          <w:sz w:val="24"/>
          <w:szCs w:val="24"/>
        </w:rPr>
        <w:t>investigate whether</w:t>
      </w:r>
      <w:r w:rsidR="006A0E84" w:rsidRPr="00B45F9D">
        <w:rPr>
          <w:rFonts w:ascii="Times New Roman" w:hAnsi="Times New Roman" w:cs="Times New Roman"/>
          <w:sz w:val="24"/>
          <w:szCs w:val="24"/>
        </w:rPr>
        <w:t xml:space="preserve"> the benefits of international diversification can be exhausted domestically</w:t>
      </w:r>
      <w:r w:rsidR="0090003C" w:rsidRPr="00B45F9D">
        <w:rPr>
          <w:rFonts w:ascii="Times New Roman" w:hAnsi="Times New Roman" w:cs="Times New Roman"/>
          <w:sz w:val="24"/>
          <w:szCs w:val="24"/>
        </w:rPr>
        <w:t xml:space="preserve">. </w:t>
      </w:r>
      <w:r w:rsidR="0090003C" w:rsidRPr="00B45F9D">
        <w:rPr>
          <w:rFonts w:ascii="Times New Roman" w:hAnsi="Times New Roman" w:cs="Times New Roman"/>
          <w:color w:val="FF0000"/>
          <w:sz w:val="24"/>
          <w:szCs w:val="24"/>
        </w:rPr>
        <w:t xml:space="preserve"> </w:t>
      </w:r>
      <w:r w:rsidR="00BF1338" w:rsidRPr="00B45F9D">
        <w:rPr>
          <w:rFonts w:ascii="Times New Roman" w:hAnsi="Times New Roman" w:cs="Times New Roman"/>
          <w:sz w:val="24"/>
          <w:szCs w:val="24"/>
          <w:lang w:val="en-GB"/>
        </w:rPr>
        <w:t xml:space="preserve">While the benefits of international diversification vary significantly across sub-periods, portfolios which include all of the US products can replicate </w:t>
      </w:r>
      <w:r w:rsidR="00FB1FEA" w:rsidRPr="00B45F9D">
        <w:rPr>
          <w:rFonts w:ascii="Times New Roman" w:hAnsi="Times New Roman" w:cs="Times New Roman"/>
          <w:sz w:val="24"/>
          <w:szCs w:val="24"/>
          <w:lang w:val="en-GB"/>
        </w:rPr>
        <w:t>almost all of the foreign country indices in periods of b</w:t>
      </w:r>
      <w:r w:rsidR="00B45F9D">
        <w:rPr>
          <w:rFonts w:ascii="Times New Roman" w:hAnsi="Times New Roman" w:cs="Times New Roman"/>
          <w:sz w:val="24"/>
          <w:szCs w:val="24"/>
          <w:lang w:val="en-GB"/>
        </w:rPr>
        <w:t>oth under- and over-</w:t>
      </w:r>
      <w:r w:rsidR="00FB1FEA" w:rsidRPr="00B45F9D">
        <w:rPr>
          <w:rFonts w:ascii="Times New Roman" w:hAnsi="Times New Roman" w:cs="Times New Roman"/>
          <w:sz w:val="24"/>
          <w:szCs w:val="24"/>
          <w:lang w:val="en-GB"/>
        </w:rPr>
        <w:t>performance of the US market</w:t>
      </w:r>
      <w:r w:rsidR="00BF1338" w:rsidRPr="00B45F9D">
        <w:rPr>
          <w:rFonts w:ascii="Times New Roman" w:hAnsi="Times New Roman" w:cs="Times New Roman"/>
          <w:sz w:val="24"/>
          <w:szCs w:val="24"/>
          <w:lang w:val="en-GB"/>
        </w:rPr>
        <w:t xml:space="preserve">. </w:t>
      </w:r>
      <w:r w:rsidR="00FB1FEA" w:rsidRPr="00B45F9D">
        <w:rPr>
          <w:rFonts w:ascii="Times New Roman" w:hAnsi="Times New Roman" w:cs="Times New Roman"/>
          <w:sz w:val="24"/>
          <w:szCs w:val="24"/>
          <w:lang w:val="en-GB"/>
        </w:rPr>
        <w:t xml:space="preserve"> </w:t>
      </w:r>
      <w:r w:rsidR="000C3FF4" w:rsidRPr="00B45F9D">
        <w:rPr>
          <w:rFonts w:ascii="Times New Roman" w:hAnsi="Times New Roman" w:cs="Times New Roman"/>
          <w:sz w:val="24"/>
          <w:szCs w:val="24"/>
        </w:rPr>
        <w:t xml:space="preserve">US investors do not need to invest overseas to reap the benefits of international diversification. </w:t>
      </w:r>
    </w:p>
    <w:p w14:paraId="3944FEB5" w14:textId="77777777" w:rsidR="0090003C" w:rsidRPr="00B45F9D" w:rsidRDefault="0090003C" w:rsidP="0090003C">
      <w:pPr>
        <w:spacing w:line="360" w:lineRule="auto"/>
        <w:jc w:val="center"/>
        <w:rPr>
          <w:rFonts w:ascii="Times New Roman" w:hAnsi="Times New Roman" w:cs="Times New Roman"/>
          <w:sz w:val="24"/>
          <w:szCs w:val="24"/>
        </w:rPr>
      </w:pPr>
    </w:p>
    <w:p w14:paraId="26EC49EF" w14:textId="77777777" w:rsidR="0090003C" w:rsidRPr="00B45F9D" w:rsidRDefault="0090003C" w:rsidP="0090003C">
      <w:pPr>
        <w:spacing w:line="360" w:lineRule="auto"/>
        <w:jc w:val="center"/>
        <w:rPr>
          <w:rFonts w:ascii="Times New Roman" w:hAnsi="Times New Roman" w:cs="Times New Roman"/>
          <w:bCs/>
          <w:i/>
          <w:iCs/>
          <w:color w:val="000000"/>
          <w:sz w:val="24"/>
          <w:szCs w:val="24"/>
        </w:rPr>
      </w:pPr>
      <w:r w:rsidRPr="00B45F9D">
        <w:rPr>
          <w:rFonts w:ascii="Times New Roman" w:hAnsi="Times New Roman" w:cs="Times New Roman"/>
          <w:bCs/>
          <w:i/>
          <w:iCs/>
          <w:color w:val="000000"/>
          <w:sz w:val="24"/>
          <w:szCs w:val="24"/>
        </w:rPr>
        <w:t>Keywords</w:t>
      </w:r>
    </w:p>
    <w:p w14:paraId="51DD2A0B" w14:textId="77777777" w:rsidR="00CD4B7C" w:rsidRPr="00B45F9D" w:rsidRDefault="0090003C" w:rsidP="00CD4B7C">
      <w:pPr>
        <w:spacing w:line="360" w:lineRule="auto"/>
        <w:jc w:val="center"/>
        <w:rPr>
          <w:rFonts w:ascii="Times New Roman" w:hAnsi="Times New Roman" w:cs="Times New Roman"/>
          <w:bCs/>
          <w:color w:val="000000"/>
          <w:sz w:val="24"/>
          <w:szCs w:val="24"/>
        </w:rPr>
      </w:pPr>
      <w:r w:rsidRPr="00B45F9D">
        <w:rPr>
          <w:rFonts w:ascii="Times New Roman" w:hAnsi="Times New Roman" w:cs="Times New Roman"/>
          <w:bCs/>
          <w:color w:val="000000"/>
          <w:sz w:val="24"/>
          <w:szCs w:val="24"/>
        </w:rPr>
        <w:t xml:space="preserve">iShares, ADRs, MNCs, international diversification, home bias </w:t>
      </w:r>
    </w:p>
    <w:p w14:paraId="2CA2C821" w14:textId="77777777" w:rsidR="0090003C" w:rsidRPr="00B45F9D" w:rsidRDefault="0090003C" w:rsidP="00CD4B7C">
      <w:pPr>
        <w:spacing w:line="360" w:lineRule="auto"/>
        <w:jc w:val="center"/>
        <w:rPr>
          <w:rFonts w:ascii="Times New Roman" w:hAnsi="Times New Roman" w:cs="Times New Roman"/>
          <w:i/>
          <w:iCs/>
          <w:sz w:val="24"/>
          <w:szCs w:val="24"/>
        </w:rPr>
      </w:pPr>
      <w:r w:rsidRPr="00B45F9D">
        <w:rPr>
          <w:rFonts w:ascii="Times New Roman" w:hAnsi="Times New Roman" w:cs="Times New Roman"/>
          <w:i/>
          <w:sz w:val="24"/>
          <w:szCs w:val="24"/>
        </w:rPr>
        <w:t>JEL Classification</w:t>
      </w:r>
    </w:p>
    <w:p w14:paraId="7BE4758C" w14:textId="77777777" w:rsidR="0090003C" w:rsidRPr="00B45F9D" w:rsidRDefault="0090003C" w:rsidP="0090003C">
      <w:pPr>
        <w:spacing w:line="360" w:lineRule="auto"/>
        <w:jc w:val="center"/>
        <w:rPr>
          <w:rFonts w:ascii="Times New Roman" w:hAnsi="Times New Roman" w:cs="Times New Roman"/>
          <w:color w:val="000000"/>
          <w:sz w:val="24"/>
          <w:szCs w:val="24"/>
          <w:lang w:val="fr-FR"/>
        </w:rPr>
      </w:pPr>
      <w:r w:rsidRPr="00B45F9D">
        <w:rPr>
          <w:rFonts w:ascii="Times New Roman" w:hAnsi="Times New Roman" w:cs="Times New Roman"/>
          <w:color w:val="000000"/>
          <w:sz w:val="24"/>
          <w:szCs w:val="24"/>
          <w:lang w:val="fr-FR"/>
        </w:rPr>
        <w:t>F21, F23, G11, G15</w:t>
      </w:r>
    </w:p>
    <w:p w14:paraId="067E7AB8" w14:textId="77777777" w:rsidR="0090003C" w:rsidRPr="00B45F9D" w:rsidRDefault="0090003C" w:rsidP="0090003C">
      <w:pPr>
        <w:spacing w:line="360" w:lineRule="auto"/>
        <w:jc w:val="center"/>
        <w:rPr>
          <w:rFonts w:ascii="Times New Roman" w:hAnsi="Times New Roman" w:cs="Times New Roman"/>
        </w:rPr>
      </w:pPr>
    </w:p>
    <w:p w14:paraId="3D3685E3" w14:textId="77777777" w:rsidR="00662849" w:rsidRPr="00B45F9D" w:rsidRDefault="00662849" w:rsidP="00662849">
      <w:pPr>
        <w:rPr>
          <w:rFonts w:ascii="Times New Roman" w:hAnsi="Times New Roman" w:cs="Times New Roman"/>
        </w:rPr>
      </w:pPr>
    </w:p>
    <w:p w14:paraId="6FBB3346" w14:textId="77777777" w:rsidR="00662849" w:rsidRPr="00B45F9D" w:rsidRDefault="00662849" w:rsidP="00662849">
      <w:pPr>
        <w:rPr>
          <w:rFonts w:ascii="Times New Roman" w:hAnsi="Times New Roman" w:cs="Times New Roman"/>
        </w:rPr>
      </w:pPr>
    </w:p>
    <w:p w14:paraId="7BAAEE26" w14:textId="77777777" w:rsidR="00662849" w:rsidRPr="00CA4E0C" w:rsidRDefault="00F02E1B" w:rsidP="0087397F">
      <w:pPr>
        <w:pStyle w:val="Heading1"/>
        <w:spacing w:line="360" w:lineRule="auto"/>
        <w:rPr>
          <w:rFonts w:ascii="Times New Roman" w:hAnsi="Times New Roman" w:cs="Times New Roman"/>
          <w:sz w:val="24"/>
          <w:szCs w:val="24"/>
        </w:rPr>
      </w:pPr>
      <w:r w:rsidRPr="00CA4E0C">
        <w:rPr>
          <w:rFonts w:ascii="Times New Roman" w:hAnsi="Times New Roman" w:cs="Times New Roman"/>
          <w:sz w:val="24"/>
          <w:szCs w:val="24"/>
        </w:rPr>
        <w:t xml:space="preserve">1. </w:t>
      </w:r>
      <w:r w:rsidR="00662849" w:rsidRPr="00CA4E0C">
        <w:rPr>
          <w:rFonts w:ascii="Times New Roman" w:hAnsi="Times New Roman" w:cs="Times New Roman"/>
          <w:sz w:val="24"/>
          <w:szCs w:val="24"/>
        </w:rPr>
        <w:t>Introduction</w:t>
      </w:r>
    </w:p>
    <w:p w14:paraId="677F3365" w14:textId="77777777" w:rsidR="00170B35" w:rsidRDefault="00170B35" w:rsidP="00CD4B7C">
      <w:pPr>
        <w:spacing w:line="360" w:lineRule="auto"/>
        <w:jc w:val="both"/>
        <w:rPr>
          <w:rStyle w:val="apple-style-span"/>
          <w:rFonts w:ascii="Times New Roman" w:hAnsi="Times New Roman" w:cs="Times New Roman"/>
          <w:sz w:val="24"/>
          <w:szCs w:val="24"/>
          <w:shd w:val="clear" w:color="auto" w:fill="FFFFFF"/>
        </w:rPr>
      </w:pPr>
      <w:r w:rsidRPr="00312F74">
        <w:rPr>
          <w:rStyle w:val="apple-style-span"/>
          <w:rFonts w:ascii="Times New Roman" w:hAnsi="Times New Roman" w:cs="Times New Roman"/>
          <w:sz w:val="24"/>
          <w:szCs w:val="24"/>
          <w:shd w:val="clear" w:color="auto" w:fill="FFFFFF"/>
        </w:rPr>
        <w:t>Practitioners and academics</w:t>
      </w:r>
      <w:r>
        <w:rPr>
          <w:rStyle w:val="apple-style-span"/>
          <w:rFonts w:ascii="Times New Roman" w:hAnsi="Times New Roman" w:cs="Times New Roman"/>
          <w:sz w:val="24"/>
          <w:szCs w:val="24"/>
          <w:shd w:val="clear" w:color="auto" w:fill="FFFFFF"/>
        </w:rPr>
        <w:t xml:space="preserve"> alike recommend holding a well-</w:t>
      </w:r>
      <w:r w:rsidRPr="00312F74">
        <w:rPr>
          <w:rStyle w:val="apple-style-span"/>
          <w:rFonts w:ascii="Times New Roman" w:hAnsi="Times New Roman" w:cs="Times New Roman"/>
          <w:sz w:val="24"/>
          <w:szCs w:val="24"/>
          <w:shd w:val="clear" w:color="auto" w:fill="FFFFFF"/>
        </w:rPr>
        <w:t xml:space="preserve">diversified portfolio to reduce </w:t>
      </w:r>
      <w:r>
        <w:rPr>
          <w:rStyle w:val="apple-style-span"/>
          <w:rFonts w:ascii="Times New Roman" w:hAnsi="Times New Roman" w:cs="Times New Roman"/>
          <w:sz w:val="24"/>
          <w:szCs w:val="24"/>
          <w:shd w:val="clear" w:color="auto" w:fill="FFFFFF"/>
        </w:rPr>
        <w:t xml:space="preserve">the </w:t>
      </w:r>
      <w:r w:rsidRPr="00312F74">
        <w:rPr>
          <w:rStyle w:val="apple-style-span"/>
          <w:rFonts w:ascii="Times New Roman" w:hAnsi="Times New Roman" w:cs="Times New Roman"/>
          <w:sz w:val="24"/>
          <w:szCs w:val="24"/>
          <w:shd w:val="clear" w:color="auto" w:fill="FFFFFF"/>
        </w:rPr>
        <w:t>risk</w:t>
      </w:r>
      <w:r>
        <w:rPr>
          <w:rStyle w:val="apple-style-span"/>
          <w:rFonts w:ascii="Times New Roman" w:hAnsi="Times New Roman" w:cs="Times New Roman"/>
          <w:sz w:val="24"/>
          <w:szCs w:val="24"/>
          <w:shd w:val="clear" w:color="auto" w:fill="FFFFFF"/>
        </w:rPr>
        <w:t xml:space="preserve"> of equity investment</w:t>
      </w:r>
      <w:r w:rsidRPr="00312F74">
        <w:rPr>
          <w:rStyle w:val="apple-style-span"/>
          <w:rFonts w:ascii="Times New Roman" w:hAnsi="Times New Roman" w:cs="Times New Roman"/>
          <w:sz w:val="24"/>
          <w:szCs w:val="24"/>
          <w:shd w:val="clear" w:color="auto" w:fill="FFFFFF"/>
        </w:rPr>
        <w:t xml:space="preserve">.  The benefits of international portfolio diversification have been extensively highlighted throughout the literature </w:t>
      </w:r>
      <w:r w:rsidRPr="00312F74">
        <w:rPr>
          <w:rStyle w:val="apple-style-span"/>
          <w:rFonts w:ascii="Times New Roman" w:hAnsi="Times New Roman" w:cs="Times New Roman"/>
          <w:sz w:val="24"/>
          <w:szCs w:val="24"/>
          <w:shd w:val="clear" w:color="auto" w:fill="FFFFFF"/>
        </w:rPr>
        <w:fldChar w:fldCharType="begin" w:fldLock="1"/>
      </w:r>
      <w:r w:rsidR="00CE6362">
        <w:rPr>
          <w:rStyle w:val="apple-style-span"/>
          <w:rFonts w:ascii="Times New Roman" w:hAnsi="Times New Roman" w:cs="Times New Roman"/>
          <w:sz w:val="24"/>
          <w:szCs w:val="24"/>
          <w:shd w:val="clear" w:color="auto" w:fill="FFFFFF"/>
        </w:rPr>
        <w:instrText>ADDIN CSL_CITATION { "citationItems" : [ { "id" : "ITEM-1", "itemData" : { "author" : [ { "dropping-particle" : "", "family" : "Levy", "given" : "Haim", "non-dropping-particle" : "", "parse-names" : false, "suffix" : "" }, { "dropping-particle" : "", "family" : "Sarnat", "given" : "Marshall", "non-dropping-particle" : "", "parse-names" : false, "suffix" : "" } ], "container-title" : "The American Economic Review", "id" : "ITEM-1", "issue" : "4", "issued" : { "date-parts" : [ [ "1970" ] ] }, "page" : "668 - 675", "title" : "International Diversification of Investment Portfolios", "type" : "article-journal", "volume" : "60" }, "uris" : [ "http://www.mendeley.com/documents/?uuid=744d53c7-4628-4b3d-bee8-697c28ac82bb" ] }, { "id" : "ITEM-2", "itemData" : { "abstract" : "Because total risk for a portfolio declines, not only with the number of securities included, but with the degree of independence among these securities, substantial risk reduction results from diversifying a portfolio across foreign, as well as domestic, common stocks.", "author" : [ { "dropping-particle" : "", "family" : "Solnik", "given" : "Bruno H.", "non-dropping-particle" : "", "parse-names" : false, "suffix" : "" } ], "container-title" : "Financial Analysts Journal", "id" : "ITEM-2", "issue" : "4", "issued" : { "date-parts" : [ [ "1974", "10" ] ] }, "page" : "48-52", "publisher" : "The Financial Analysts Federation", "title" : "Why Not Diversify Internationally Rather than Domestically?", "type" : "article-journal", "volume" : "30" }, "uris" : [ "http://www.mendeley.com/documents/?uuid=0e91a126-8a92-4603-a022-2ac7a03821eb" ] }, { "id" : "ITEM-3", "itemData" : { "ISSN" : "03784266", "abstract" : "We investigate how the benefits of international portfolio diversification differ across countries from the perspective of a local investor. We find that the benefits of investing abroad are largest for investors in developing countries, including when controlling for currency effects. Most of the benefits are obtained from investing outside the region of the home country. These global diversification benefits remain large when controlling for short-sales constraints in developing stock markets. The gains from international portfolio diversification appear to be largest for countries with high country risk. In addition to this cross-sectional evidence, we also provide evidence that diversification benefits vary over time as country risk changes. We find that diversification benefits have decreased for most countries in our sample over the past two decades.", "author" : [ { "dropping-particle" : "", "family" : "Driessen", "given" : "Joost", "non-dropping-particle" : "", "parse-names" : false, "suffix" : "" }, { "dropping-particle" : "", "family" : "Laeven", "given" : "Luc", "non-dropping-particle" : "", "parse-names" : false, "suffix" : "" } ], "container-title" : "Journal of Banking &amp; Finance", "id" : "ITEM-3", "issue" : "6", "issued" : { "date-parts" : [ [ "2007", "6" ] ] }, "page" : "1693-1712", "title" : "International portfolio diversification benefits: Cross-country evidence from a local perspective", "type" : "article-journal", "volume" : "31" }, "uris" : [ "http://www.mendeley.com/documents/?uuid=3244cf4f-bcf8-470f-8a02-dbf00e57ab80" ] } ], "mendeley" : { "manualFormatting" : "(Levy and Sarnat, 1970; Solnik, 1974; Driessen and Laeven, 2007)", "previouslyFormattedCitation" : "(Driessen &amp; Laeven, 2007; Levy &amp; Sarnat, 1970; Solnik, 1974)" }, "properties" : { "noteIndex" : 0 }, "schema" : "https://github.com/citation-style-language/schema/raw/master/csl-citation.json" }</w:instrText>
      </w:r>
      <w:r w:rsidRPr="00312F74">
        <w:rPr>
          <w:rStyle w:val="apple-style-span"/>
          <w:rFonts w:ascii="Times New Roman" w:hAnsi="Times New Roman" w:cs="Times New Roman"/>
          <w:sz w:val="24"/>
          <w:szCs w:val="24"/>
          <w:shd w:val="clear" w:color="auto" w:fill="FFFFFF"/>
        </w:rPr>
        <w:fldChar w:fldCharType="separate"/>
      </w:r>
      <w:r>
        <w:rPr>
          <w:rStyle w:val="apple-style-span"/>
          <w:rFonts w:ascii="Times New Roman" w:hAnsi="Times New Roman" w:cs="Times New Roman"/>
          <w:noProof/>
          <w:sz w:val="24"/>
          <w:szCs w:val="24"/>
          <w:shd w:val="clear" w:color="auto" w:fill="FFFFFF"/>
        </w:rPr>
        <w:t>(Levy and Sarnat, 1970; Solnik, 1974; Driessen and Laeven,</w:t>
      </w:r>
      <w:r w:rsidRPr="00312F74">
        <w:rPr>
          <w:rStyle w:val="apple-style-span"/>
          <w:rFonts w:ascii="Times New Roman" w:hAnsi="Times New Roman" w:cs="Times New Roman"/>
          <w:noProof/>
          <w:sz w:val="24"/>
          <w:szCs w:val="24"/>
          <w:shd w:val="clear" w:color="auto" w:fill="FFFFFF"/>
        </w:rPr>
        <w:t xml:space="preserve"> 2007)</w:t>
      </w:r>
      <w:r w:rsidRPr="00312F74">
        <w:rPr>
          <w:rStyle w:val="apple-style-span"/>
          <w:rFonts w:ascii="Times New Roman" w:hAnsi="Times New Roman" w:cs="Times New Roman"/>
          <w:sz w:val="24"/>
          <w:szCs w:val="24"/>
          <w:shd w:val="clear" w:color="auto" w:fill="FFFFFF"/>
        </w:rPr>
        <w:fldChar w:fldCharType="end"/>
      </w:r>
      <w:r>
        <w:rPr>
          <w:rStyle w:val="apple-style-span"/>
          <w:rFonts w:ascii="Times New Roman" w:hAnsi="Times New Roman" w:cs="Times New Roman"/>
          <w:sz w:val="24"/>
          <w:szCs w:val="24"/>
          <w:shd w:val="clear" w:color="auto" w:fill="FFFFFF"/>
        </w:rPr>
        <w:t xml:space="preserve">, as </w:t>
      </w:r>
      <w:r w:rsidR="002A0507">
        <w:rPr>
          <w:rStyle w:val="apple-style-span"/>
          <w:rFonts w:ascii="Times New Roman" w:hAnsi="Times New Roman" w:cs="Times New Roman"/>
          <w:sz w:val="24"/>
          <w:szCs w:val="24"/>
          <w:shd w:val="clear" w:color="auto" w:fill="FFFFFF"/>
        </w:rPr>
        <w:t xml:space="preserve">historically, </w:t>
      </w:r>
      <w:r>
        <w:rPr>
          <w:rStyle w:val="apple-style-span"/>
          <w:rFonts w:ascii="Times New Roman" w:hAnsi="Times New Roman" w:cs="Times New Roman"/>
          <w:sz w:val="24"/>
          <w:szCs w:val="24"/>
          <w:shd w:val="clear" w:color="auto" w:fill="FFFFFF"/>
        </w:rPr>
        <w:t xml:space="preserve">low </w:t>
      </w:r>
      <w:r w:rsidRPr="00312F74">
        <w:rPr>
          <w:rStyle w:val="apple-style-span"/>
          <w:rFonts w:ascii="Times New Roman" w:hAnsi="Times New Roman" w:cs="Times New Roman"/>
          <w:sz w:val="24"/>
          <w:szCs w:val="24"/>
          <w:shd w:val="clear" w:color="auto" w:fill="FFFFFF"/>
        </w:rPr>
        <w:t>correlations among national stock markets</w:t>
      </w:r>
      <w:r>
        <w:rPr>
          <w:rStyle w:val="apple-style-span"/>
          <w:rFonts w:ascii="Times New Roman" w:hAnsi="Times New Roman" w:cs="Times New Roman"/>
          <w:sz w:val="24"/>
          <w:szCs w:val="24"/>
          <w:shd w:val="clear" w:color="auto" w:fill="FFFFFF"/>
        </w:rPr>
        <w:t xml:space="preserve"> allow</w:t>
      </w:r>
      <w:r w:rsidR="002A0507">
        <w:rPr>
          <w:rStyle w:val="apple-style-span"/>
          <w:rFonts w:ascii="Times New Roman" w:hAnsi="Times New Roman" w:cs="Times New Roman"/>
          <w:sz w:val="24"/>
          <w:szCs w:val="24"/>
          <w:shd w:val="clear" w:color="auto" w:fill="FFFFFF"/>
        </w:rPr>
        <w:t>ed</w:t>
      </w:r>
      <w:r w:rsidRPr="00312F74">
        <w:rPr>
          <w:rStyle w:val="apple-style-span"/>
          <w:rFonts w:ascii="Times New Roman" w:hAnsi="Times New Roman" w:cs="Times New Roman"/>
          <w:sz w:val="24"/>
          <w:szCs w:val="24"/>
          <w:shd w:val="clear" w:color="auto" w:fill="FFFFFF"/>
        </w:rPr>
        <w:t xml:space="preserve"> investors to reduce their risk for a given return</w:t>
      </w:r>
      <w:r>
        <w:rPr>
          <w:rStyle w:val="apple-style-span"/>
          <w:rFonts w:ascii="Times New Roman" w:hAnsi="Times New Roman" w:cs="Times New Roman"/>
          <w:sz w:val="24"/>
          <w:szCs w:val="24"/>
          <w:shd w:val="clear" w:color="auto" w:fill="FFFFFF"/>
        </w:rPr>
        <w:t xml:space="preserve">.  Moreover, </w:t>
      </w:r>
      <w:r w:rsidR="00537BD2">
        <w:rPr>
          <w:rStyle w:val="apple-style-span"/>
          <w:rFonts w:ascii="Times New Roman" w:hAnsi="Times New Roman" w:cs="Times New Roman"/>
          <w:sz w:val="24"/>
          <w:szCs w:val="24"/>
          <w:shd w:val="clear" w:color="auto" w:fill="FFFFFF"/>
        </w:rPr>
        <w:t xml:space="preserve">as highlighted by </w:t>
      </w:r>
      <w:r w:rsidR="00537BD2">
        <w:rPr>
          <w:rStyle w:val="apple-style-span"/>
          <w:rFonts w:ascii="Times New Roman" w:hAnsi="Times New Roman" w:cs="Times New Roman"/>
          <w:sz w:val="24"/>
          <w:szCs w:val="24"/>
          <w:shd w:val="clear" w:color="auto" w:fill="FFFFFF"/>
        </w:rPr>
        <w:fldChar w:fldCharType="begin" w:fldLock="1"/>
      </w:r>
      <w:r w:rsidR="00CE6362">
        <w:rPr>
          <w:rStyle w:val="apple-style-span"/>
          <w:rFonts w:ascii="Times New Roman" w:hAnsi="Times New Roman" w:cs="Times New Roman"/>
          <w:sz w:val="24"/>
          <w:szCs w:val="24"/>
          <w:shd w:val="clear" w:color="auto" w:fill="FFFFFF"/>
        </w:rPr>
        <w:instrText>ADDIN CSL_CITATION { "citationItems" : [ { "id" : "ITEM-1", "itemData" : { "abstract" : "Despite the growing integration of international financial markets, investors do not diversify internationally to any significant extent. We show that this \"international diversification puzzle\" is deepened once we consider the implications of nontraded human capital for portfolio composition. While growth rates of labor and capital income are not highly correlated within countries, we find that the returns to human capital and physical capital are very highly correlated within four OECD countries. Hedging human capital risk therefore involves a substantial short position in domestic marketable assets. A diversified world portfolio will involve a negative position in domestic marketable assets.", "author" : [ { "dropping-particle" : "", "family" : "Baxter", "given" : "Marianne", "non-dropping-particle" : "", "parse-names" : false, "suffix" : "" }, { "dropping-particle" : "", "family" : "Jermann", "given" : "Urban J.", "non-dropping-particle" : "", "parse-names" : false, "suffix" : "" } ], "container-title" : "The American Economic Review", "id" : "ITEM-1", "issue" : "1", "issued" : { "date-parts" : [ [ "1997" ] ] }, "page" : "170 - 180", "title" : "The International Diversification Puzzle Is Worse Than You Think", "type" : "article-journal", "volume" : "87" }, "uris" : [ "http://www.mendeley.com/documents/?uuid=f20c11e1-4cf6-45d7-ab28-f08cf45cc950" ] } ], "mendeley" : { "manualFormatting" : "Baxter &amp; Jermann (1997)", "previouslyFormattedCitation" : "(Baxter &amp; Jermann, 1997)" }, "properties" : { "noteIndex" : 0 }, "schema" : "https://github.com/citation-style-language/schema/raw/master/csl-citation.json" }</w:instrText>
      </w:r>
      <w:r w:rsidR="00537BD2">
        <w:rPr>
          <w:rStyle w:val="apple-style-span"/>
          <w:rFonts w:ascii="Times New Roman" w:hAnsi="Times New Roman" w:cs="Times New Roman"/>
          <w:sz w:val="24"/>
          <w:szCs w:val="24"/>
          <w:shd w:val="clear" w:color="auto" w:fill="FFFFFF"/>
        </w:rPr>
        <w:fldChar w:fldCharType="separate"/>
      </w:r>
      <w:r w:rsidR="00537BD2">
        <w:rPr>
          <w:rStyle w:val="apple-style-span"/>
          <w:rFonts w:ascii="Times New Roman" w:hAnsi="Times New Roman" w:cs="Times New Roman"/>
          <w:noProof/>
          <w:sz w:val="24"/>
          <w:szCs w:val="24"/>
          <w:shd w:val="clear" w:color="auto" w:fill="FFFFFF"/>
        </w:rPr>
        <w:t>Baxter &amp; Jermann</w:t>
      </w:r>
      <w:r w:rsidR="00537BD2" w:rsidRPr="009F5CF6">
        <w:rPr>
          <w:rStyle w:val="apple-style-span"/>
          <w:rFonts w:ascii="Times New Roman" w:hAnsi="Times New Roman" w:cs="Times New Roman"/>
          <w:noProof/>
          <w:sz w:val="24"/>
          <w:szCs w:val="24"/>
          <w:shd w:val="clear" w:color="auto" w:fill="FFFFFF"/>
        </w:rPr>
        <w:t xml:space="preserve"> </w:t>
      </w:r>
      <w:r w:rsidR="00537BD2">
        <w:rPr>
          <w:rStyle w:val="apple-style-span"/>
          <w:rFonts w:ascii="Times New Roman" w:hAnsi="Times New Roman" w:cs="Times New Roman"/>
          <w:noProof/>
          <w:sz w:val="24"/>
          <w:szCs w:val="24"/>
          <w:shd w:val="clear" w:color="auto" w:fill="FFFFFF"/>
        </w:rPr>
        <w:t>(</w:t>
      </w:r>
      <w:r w:rsidR="00537BD2" w:rsidRPr="009F5CF6">
        <w:rPr>
          <w:rStyle w:val="apple-style-span"/>
          <w:rFonts w:ascii="Times New Roman" w:hAnsi="Times New Roman" w:cs="Times New Roman"/>
          <w:noProof/>
          <w:sz w:val="24"/>
          <w:szCs w:val="24"/>
          <w:shd w:val="clear" w:color="auto" w:fill="FFFFFF"/>
        </w:rPr>
        <w:t>1997)</w:t>
      </w:r>
      <w:r w:rsidR="00537BD2">
        <w:rPr>
          <w:rStyle w:val="apple-style-span"/>
          <w:rFonts w:ascii="Times New Roman" w:hAnsi="Times New Roman" w:cs="Times New Roman"/>
          <w:sz w:val="24"/>
          <w:szCs w:val="24"/>
          <w:shd w:val="clear" w:color="auto" w:fill="FFFFFF"/>
        </w:rPr>
        <w:fldChar w:fldCharType="end"/>
      </w:r>
      <w:r w:rsidR="00537BD2">
        <w:rPr>
          <w:rStyle w:val="apple-style-span"/>
          <w:rFonts w:ascii="Times New Roman" w:hAnsi="Times New Roman" w:cs="Times New Roman"/>
          <w:sz w:val="24"/>
          <w:szCs w:val="24"/>
          <w:shd w:val="clear" w:color="auto" w:fill="FFFFFF"/>
        </w:rPr>
        <w:t xml:space="preserve">, </w:t>
      </w:r>
      <w:r>
        <w:rPr>
          <w:rStyle w:val="apple-style-span"/>
          <w:rFonts w:ascii="Times New Roman" w:hAnsi="Times New Roman" w:cs="Times New Roman"/>
          <w:sz w:val="24"/>
          <w:szCs w:val="24"/>
          <w:shd w:val="clear" w:color="auto" w:fill="FFFFFF"/>
        </w:rPr>
        <w:t>g</w:t>
      </w:r>
      <w:r>
        <w:rPr>
          <w:rFonts w:ascii="Times New Roman" w:hAnsi="Times New Roman" w:cs="Times New Roman"/>
          <w:sz w:val="24"/>
          <w:szCs w:val="24"/>
        </w:rPr>
        <w:t>iven</w:t>
      </w:r>
      <w:r w:rsidRPr="00312F74">
        <w:rPr>
          <w:rStyle w:val="apple-style-span"/>
          <w:rFonts w:ascii="Times New Roman" w:hAnsi="Times New Roman" w:cs="Times New Roman"/>
          <w:sz w:val="24"/>
          <w:szCs w:val="24"/>
          <w:shd w:val="clear" w:color="auto" w:fill="FFFFFF"/>
        </w:rPr>
        <w:t xml:space="preserve"> an individual’s probable exposure to the economic performance of their domestic market via the property and labour market, it would be </w:t>
      </w:r>
      <w:r>
        <w:rPr>
          <w:rStyle w:val="apple-style-span"/>
          <w:rFonts w:ascii="Times New Roman" w:hAnsi="Times New Roman" w:cs="Times New Roman"/>
          <w:sz w:val="24"/>
          <w:szCs w:val="24"/>
          <w:shd w:val="clear" w:color="auto" w:fill="FFFFFF"/>
        </w:rPr>
        <w:t>advisable</w:t>
      </w:r>
      <w:r w:rsidRPr="00312F74">
        <w:rPr>
          <w:rStyle w:val="apple-style-span"/>
          <w:rFonts w:ascii="Times New Roman" w:hAnsi="Times New Roman" w:cs="Times New Roman"/>
          <w:sz w:val="24"/>
          <w:szCs w:val="24"/>
          <w:shd w:val="clear" w:color="auto" w:fill="FFFFFF"/>
        </w:rPr>
        <w:t xml:space="preserve"> to diversify investments internationally to mitigate that exposure.  </w:t>
      </w:r>
      <w:r w:rsidRPr="00312F74">
        <w:rPr>
          <w:rFonts w:ascii="Times New Roman" w:hAnsi="Times New Roman" w:cs="Times New Roman"/>
          <w:sz w:val="24"/>
          <w:szCs w:val="24"/>
        </w:rPr>
        <w:t xml:space="preserve"> </w:t>
      </w:r>
      <w:r w:rsidRPr="00312F74">
        <w:rPr>
          <w:rStyle w:val="apple-style-span"/>
          <w:rFonts w:ascii="Times New Roman" w:hAnsi="Times New Roman" w:cs="Times New Roman"/>
          <w:sz w:val="24"/>
          <w:szCs w:val="24"/>
          <w:shd w:val="clear" w:color="auto" w:fill="FFFFFF"/>
        </w:rPr>
        <w:t>Possible deterrents to fore</w:t>
      </w:r>
      <w:r w:rsidR="00676933">
        <w:rPr>
          <w:rStyle w:val="apple-style-span"/>
          <w:rFonts w:ascii="Times New Roman" w:hAnsi="Times New Roman" w:cs="Times New Roman"/>
          <w:sz w:val="24"/>
          <w:szCs w:val="24"/>
          <w:shd w:val="clear" w:color="auto" w:fill="FFFFFF"/>
        </w:rPr>
        <w:t>ign investment include exchange-</w:t>
      </w:r>
      <w:r w:rsidRPr="00312F74">
        <w:rPr>
          <w:rStyle w:val="apple-style-span"/>
          <w:rFonts w:ascii="Times New Roman" w:hAnsi="Times New Roman" w:cs="Times New Roman"/>
          <w:sz w:val="24"/>
          <w:szCs w:val="24"/>
          <w:shd w:val="clear" w:color="auto" w:fill="FFFFFF"/>
        </w:rPr>
        <w:t>rate risk, foreign investment restrictions, capital controls, transaction costs and asymmetric information.  In recent decades the costs and restrictions on foreign investments have fallen substantially, yet investors continue to hold a disproportionate amount of their equity portfolio investment domestically</w:t>
      </w:r>
      <w:r>
        <w:rPr>
          <w:rStyle w:val="apple-style-span"/>
          <w:rFonts w:ascii="Times New Roman" w:hAnsi="Times New Roman" w:cs="Times New Roman"/>
          <w:sz w:val="24"/>
          <w:szCs w:val="24"/>
          <w:shd w:val="clear" w:color="auto" w:fill="FFFFFF"/>
        </w:rPr>
        <w:t>.</w:t>
      </w:r>
      <w:r w:rsidRPr="00312F74">
        <w:rPr>
          <w:rStyle w:val="apple-style-span"/>
          <w:rFonts w:ascii="Times New Roman" w:hAnsi="Times New Roman" w:cs="Times New Roman"/>
          <w:sz w:val="24"/>
          <w:szCs w:val="24"/>
          <w:shd w:val="clear" w:color="auto" w:fill="FFFFFF"/>
        </w:rPr>
        <w:t xml:space="preserve">  This phenomenon is known as the home bias puzzle </w:t>
      </w:r>
      <w:r w:rsidRPr="00D27B7E">
        <w:rPr>
          <w:rStyle w:val="apple-style-span"/>
          <w:rFonts w:ascii="Times New Roman" w:hAnsi="Times New Roman" w:cs="Times New Roman"/>
          <w:sz w:val="24"/>
          <w:szCs w:val="24"/>
          <w:shd w:val="clear" w:color="auto" w:fill="FFFFFF"/>
        </w:rPr>
        <w:fldChar w:fldCharType="begin" w:fldLock="1"/>
      </w:r>
      <w:r w:rsidR="00CE6362">
        <w:rPr>
          <w:rStyle w:val="apple-style-span"/>
          <w:rFonts w:ascii="Times New Roman" w:hAnsi="Times New Roman" w:cs="Times New Roman"/>
          <w:sz w:val="24"/>
          <w:szCs w:val="24"/>
          <w:shd w:val="clear" w:color="auto" w:fill="FFFFFF"/>
        </w:rPr>
        <w:instrText>ADDIN CSL_CITATION { "citationItems" : [ { "id" : "ITEM-1", "itemData" : { "ISSN" : "08891583", "abstract" : "I study the home bias pattern in international portfolios recommended by global financial institutions. These recommended portfolios from the Economist Quarterly poll provide an interesting research opportunity because transaction costs and other observable barriers in cross-border portfolio investments do not interfere with asset allocation decisions of the polled institutions. Thus, an examination of this poll data can shed light on the role of unobservable factors in international portfolio investments. I find that the institutions tilt recommendations towards their home markets; they change home market weights more frequently relative to other market weights or relative to institutions from other countries; and they change weights of geographically distant markets less often than other market weights. Overall, the evidence from the analysis suggests that home bias can arise from unobservable factors such as information asymmetry and investor optimism. J. Japanese Int. Economies 19 (1) (2005) 72\u201395.", "author" : [ { "dropping-particle" : "", "family" : "Suh", "given" : "Jungwon", "non-dropping-particle" : "", "parse-names" : false, "suffix" : "" } ], "container-title" : "Journal of the Japanese and International Economies", "id" : "ITEM-1", "issue" : "1", "issued" : { "date-parts" : [ [ "2005", "3" ] ] }, "page" : "72-95", "title" : "Home bias among institutional investors: a study of the Quarterly Portfolio Poll", "type" : "article-journal", "volume" : "19" }, "uris" : [ "http://www.mendeley.com/documents/?uuid=8ed6b92c-6b6e-4dab-a8e0-559c55a99a67" ] }, { "id" : "ITEM-2", "itemData" : { "ISSN" : "00221996", "abstract" : "We test extant hypotheses of the home bias in equity holdings using high quality cross-border holdings data and quantitative measures of barriers to international investment. The effects of direct barriers to international investment, when statistically significant, are not economically meaningful. More important are information asymmetries that owe to the poor quality and low credibility of financial information in many countries. While a direct measure of information costs is not available, some foreign firms have reduced these costs by publicly listing their securities in the United States, where investor protection regulations elicit standardized, credible financial information. A proxy for the reduction in information asymmetries\u2014the portion of a country\u2019s market that has a public US listing\u2014is a major determinant of a country\u2019s weight in US investors\u2019 portfolios. Foreign countries whose firms do not alleviate information costs by opting into the US regulatory environment are more severely underweighted in US equity portfolios.", "author" : [ { "dropping-particle" : "", "family" : "Ahearne", "given" : "Alan G.", "non-dropping-particle" : "", "parse-names" : false, "suffix" : "" }, { "dropping-particle" : "", "family" : "Griever", "given" : "William L.", "non-dropping-particle" : "", "parse-names" : false, "suffix" : "" }, { "dropping-particle" : "", "family" : "Warnock", "given" : "Francis E.", "non-dropping-particle" : "", "parse-names" : false, "suffix" : "" } ], "container-title" : "Journal of International Economics", "id" : "ITEM-2", "issue" : "2", "issued" : { "date-parts" : [ [ "2004", "3" ] ] }, "page" : "313-336", "title" : "Information costs and home bias: an analysis of US holdings of foreign equities", "type" : "article-journal", "volume" : "62" }, "uris" : [ "http://www.mendeley.com/documents/?uuid=dfa0c2b7-4cda-4a3c-aa9a-776708f98249" ] } ], "mendeley" : { "manualFormatting" : "(Ahearne, Griever and Warnock, 2004; Suh, 2005)", "previouslyFormattedCitation" : "(Ahearne, Griever, &amp; Warnock, 2004; Suh, 2005)" }, "properties" : { "noteIndex" : 0 }, "schema" : "https://github.com/citation-style-language/schema/raw/master/csl-citation.json" }</w:instrText>
      </w:r>
      <w:r w:rsidRPr="00D27B7E">
        <w:rPr>
          <w:rStyle w:val="apple-style-span"/>
          <w:rFonts w:ascii="Times New Roman" w:hAnsi="Times New Roman" w:cs="Times New Roman"/>
          <w:sz w:val="24"/>
          <w:szCs w:val="24"/>
          <w:shd w:val="clear" w:color="auto" w:fill="FFFFFF"/>
        </w:rPr>
        <w:fldChar w:fldCharType="separate"/>
      </w:r>
      <w:r w:rsidRPr="00D27B7E">
        <w:rPr>
          <w:rStyle w:val="apple-style-span"/>
          <w:rFonts w:ascii="Times New Roman" w:hAnsi="Times New Roman" w:cs="Times New Roman"/>
          <w:noProof/>
          <w:sz w:val="24"/>
          <w:szCs w:val="24"/>
          <w:shd w:val="clear" w:color="auto" w:fill="FFFFFF"/>
        </w:rPr>
        <w:t>(Ahearne, Griever and Warnock, 2004; Suh, 2005)</w:t>
      </w:r>
      <w:r w:rsidRPr="00D27B7E">
        <w:rPr>
          <w:rStyle w:val="apple-style-span"/>
          <w:rFonts w:ascii="Times New Roman" w:hAnsi="Times New Roman" w:cs="Times New Roman"/>
          <w:sz w:val="24"/>
          <w:szCs w:val="24"/>
          <w:shd w:val="clear" w:color="auto" w:fill="FFFFFF"/>
        </w:rPr>
        <w:fldChar w:fldCharType="end"/>
      </w:r>
      <w:r w:rsidRPr="00D27B7E">
        <w:rPr>
          <w:rStyle w:val="apple-style-span"/>
          <w:rFonts w:ascii="Times New Roman" w:hAnsi="Times New Roman" w:cs="Times New Roman"/>
          <w:sz w:val="24"/>
          <w:szCs w:val="24"/>
          <w:shd w:val="clear" w:color="auto" w:fill="FFFFFF"/>
        </w:rPr>
        <w:t xml:space="preserve">.  </w:t>
      </w:r>
    </w:p>
    <w:p w14:paraId="15E392D2" w14:textId="77777777" w:rsidR="00935935" w:rsidRPr="00935935" w:rsidRDefault="00170B35" w:rsidP="00CD4B7C">
      <w:pPr>
        <w:spacing w:line="360" w:lineRule="auto"/>
        <w:jc w:val="both"/>
        <w:rPr>
          <w:rFonts w:ascii="Times New Roman" w:hAnsi="Times New Roman" w:cs="Times New Roman"/>
          <w:sz w:val="24"/>
          <w:szCs w:val="24"/>
          <w:lang w:val="en-GB"/>
        </w:rPr>
      </w:pPr>
      <w:r w:rsidRPr="00D27B7E">
        <w:rPr>
          <w:rFonts w:ascii="Times New Roman" w:hAnsi="Times New Roman" w:cs="Times New Roman"/>
          <w:sz w:val="24"/>
          <w:szCs w:val="24"/>
        </w:rPr>
        <w:t xml:space="preserve">The international capital asset pricing model </w:t>
      </w:r>
      <w:r w:rsidR="00C906EA">
        <w:rPr>
          <w:rFonts w:ascii="Times New Roman" w:hAnsi="Times New Roman" w:cs="Times New Roman"/>
          <w:sz w:val="24"/>
          <w:szCs w:val="24"/>
        </w:rPr>
        <w:t xml:space="preserve">recommends that investors hold the world market portfolio of risky assets regardless of their country of residence.  </w:t>
      </w:r>
      <w:r w:rsidR="00935935">
        <w:rPr>
          <w:rFonts w:ascii="Times New Roman" w:hAnsi="Times New Roman" w:cs="Times New Roman"/>
          <w:sz w:val="24"/>
          <w:szCs w:val="24"/>
        </w:rPr>
        <w:t xml:space="preserve">The </w:t>
      </w:r>
      <w:r w:rsidR="00C906EA">
        <w:rPr>
          <w:rFonts w:ascii="Times New Roman" w:hAnsi="Times New Roman" w:cs="Times New Roman"/>
          <w:sz w:val="24"/>
          <w:szCs w:val="24"/>
        </w:rPr>
        <w:t xml:space="preserve">proportion of foreign stocks held by US investors </w:t>
      </w:r>
      <w:r w:rsidR="00935935">
        <w:rPr>
          <w:rFonts w:ascii="Times New Roman" w:hAnsi="Times New Roman" w:cs="Times New Roman"/>
          <w:sz w:val="24"/>
          <w:szCs w:val="24"/>
        </w:rPr>
        <w:t>represents</w:t>
      </w:r>
      <w:r w:rsidR="00C906EA">
        <w:rPr>
          <w:rFonts w:ascii="Times New Roman" w:hAnsi="Times New Roman" w:cs="Times New Roman"/>
          <w:sz w:val="24"/>
          <w:szCs w:val="24"/>
        </w:rPr>
        <w:t xml:space="preserve"> a disproportionately small share</w:t>
      </w:r>
      <w:r w:rsidR="00935935">
        <w:rPr>
          <w:rFonts w:ascii="Times New Roman" w:hAnsi="Times New Roman" w:cs="Times New Roman"/>
          <w:sz w:val="24"/>
          <w:szCs w:val="24"/>
        </w:rPr>
        <w:t xml:space="preserve"> of </w:t>
      </w:r>
      <w:r w:rsidR="00C906EA">
        <w:rPr>
          <w:rFonts w:ascii="Times New Roman" w:hAnsi="Times New Roman" w:cs="Times New Roman"/>
          <w:sz w:val="24"/>
          <w:szCs w:val="24"/>
        </w:rPr>
        <w:t>overall equity holdings</w:t>
      </w:r>
      <w:r w:rsidR="00935935" w:rsidRPr="00935935">
        <w:rPr>
          <w:rFonts w:ascii="Times New Roman" w:hAnsi="Times New Roman" w:cs="Times New Roman"/>
          <w:sz w:val="24"/>
          <w:szCs w:val="24"/>
        </w:rPr>
        <w:t xml:space="preserve"> </w:t>
      </w:r>
      <w:r w:rsidR="00935935">
        <w:rPr>
          <w:rFonts w:ascii="Times New Roman" w:hAnsi="Times New Roman" w:cs="Times New Roman"/>
          <w:sz w:val="24"/>
          <w:szCs w:val="24"/>
        </w:rPr>
        <w:t xml:space="preserve">when compared to </w:t>
      </w:r>
      <w:r w:rsidR="007303F5">
        <w:rPr>
          <w:rFonts w:ascii="Times New Roman" w:hAnsi="Times New Roman" w:cs="Times New Roman"/>
          <w:sz w:val="24"/>
          <w:szCs w:val="24"/>
        </w:rPr>
        <w:t xml:space="preserve">the </w:t>
      </w:r>
      <w:r w:rsidR="00935935">
        <w:rPr>
          <w:rFonts w:ascii="Times New Roman" w:hAnsi="Times New Roman" w:cs="Times New Roman"/>
          <w:sz w:val="24"/>
          <w:szCs w:val="24"/>
        </w:rPr>
        <w:t>relative stock market capitalisation</w:t>
      </w:r>
      <w:r w:rsidR="004D4991">
        <w:rPr>
          <w:rFonts w:ascii="Times New Roman" w:hAnsi="Times New Roman" w:cs="Times New Roman"/>
          <w:sz w:val="24"/>
          <w:szCs w:val="24"/>
        </w:rPr>
        <w:t xml:space="preserve"> of other countries</w:t>
      </w:r>
      <w:r w:rsidR="00C906EA">
        <w:rPr>
          <w:rFonts w:ascii="Times New Roman" w:hAnsi="Times New Roman" w:cs="Times New Roman"/>
          <w:sz w:val="24"/>
          <w:szCs w:val="24"/>
        </w:rPr>
        <w:t>.  The US equity market represents around 31 percent of t</w:t>
      </w:r>
      <w:r w:rsidR="007303F5">
        <w:rPr>
          <w:rFonts w:ascii="Times New Roman" w:hAnsi="Times New Roman" w:cs="Times New Roman"/>
          <w:sz w:val="24"/>
          <w:szCs w:val="24"/>
        </w:rPr>
        <w:t xml:space="preserve">he world equity capitalisation, </w:t>
      </w:r>
      <w:r w:rsidR="00340507">
        <w:rPr>
          <w:rFonts w:ascii="Times New Roman" w:hAnsi="Times New Roman" w:cs="Times New Roman"/>
          <w:sz w:val="24"/>
          <w:szCs w:val="24"/>
        </w:rPr>
        <w:t>while</w:t>
      </w:r>
      <w:r w:rsidR="00C906EA">
        <w:rPr>
          <w:rFonts w:ascii="Times New Roman" w:hAnsi="Times New Roman" w:cs="Times New Roman"/>
          <w:sz w:val="24"/>
          <w:szCs w:val="24"/>
        </w:rPr>
        <w:t xml:space="preserve"> th</w:t>
      </w:r>
      <w:r w:rsidR="00340507">
        <w:rPr>
          <w:rFonts w:ascii="Times New Roman" w:hAnsi="Times New Roman" w:cs="Times New Roman"/>
          <w:sz w:val="24"/>
          <w:szCs w:val="24"/>
        </w:rPr>
        <w:t>e rest of the world represents</w:t>
      </w:r>
      <w:r w:rsidR="00C906EA">
        <w:rPr>
          <w:rFonts w:ascii="Times New Roman" w:hAnsi="Times New Roman" w:cs="Times New Roman"/>
          <w:sz w:val="24"/>
          <w:szCs w:val="24"/>
        </w:rPr>
        <w:t xml:space="preserve"> around </w:t>
      </w:r>
      <w:r>
        <w:rPr>
          <w:rFonts w:ascii="Times New Roman" w:hAnsi="Times New Roman" w:cs="Times New Roman"/>
          <w:sz w:val="24"/>
          <w:szCs w:val="24"/>
        </w:rPr>
        <w:t xml:space="preserve">69 </w:t>
      </w:r>
      <w:r w:rsidR="003B3D51">
        <w:rPr>
          <w:rFonts w:ascii="Times New Roman" w:hAnsi="Times New Roman" w:cs="Times New Roman"/>
          <w:sz w:val="24"/>
          <w:szCs w:val="24"/>
        </w:rPr>
        <w:t>percent</w:t>
      </w:r>
      <w:r>
        <w:rPr>
          <w:rFonts w:ascii="Times New Roman" w:hAnsi="Times New Roman" w:cs="Times New Roman"/>
          <w:sz w:val="24"/>
          <w:szCs w:val="24"/>
        </w:rPr>
        <w:t>.</w:t>
      </w:r>
      <w:r w:rsidR="00340507">
        <w:rPr>
          <w:rStyle w:val="FootnoteReference"/>
          <w:rFonts w:ascii="Times New Roman" w:hAnsi="Times New Roman" w:cs="Times New Roman"/>
          <w:sz w:val="24"/>
          <w:szCs w:val="24"/>
        </w:rPr>
        <w:footnoteReference w:id="3"/>
      </w:r>
      <w:r w:rsidRPr="00D27B7E">
        <w:rPr>
          <w:rFonts w:ascii="Times New Roman" w:hAnsi="Times New Roman" w:cs="Times New Roman"/>
          <w:sz w:val="24"/>
          <w:szCs w:val="24"/>
        </w:rPr>
        <w:t xml:space="preserve">  </w:t>
      </w:r>
      <w:r w:rsidR="00935935">
        <w:rPr>
          <w:rFonts w:ascii="Times New Roman" w:hAnsi="Times New Roman" w:cs="Times New Roman"/>
          <w:sz w:val="24"/>
          <w:szCs w:val="24"/>
          <w:lang w:val="en-GB"/>
        </w:rPr>
        <w:t xml:space="preserve">In </w:t>
      </w:r>
      <w:r w:rsidR="00537BD2">
        <w:rPr>
          <w:rFonts w:ascii="Times New Roman" w:hAnsi="Times New Roman" w:cs="Times New Roman"/>
          <w:sz w:val="24"/>
          <w:szCs w:val="24"/>
          <w:lang w:val="en-GB"/>
        </w:rPr>
        <w:t>2011</w:t>
      </w:r>
      <w:r w:rsidRPr="00D27B7E">
        <w:rPr>
          <w:rFonts w:ascii="Times New Roman" w:hAnsi="Times New Roman" w:cs="Times New Roman"/>
          <w:sz w:val="24"/>
          <w:szCs w:val="24"/>
          <w:lang w:val="en-GB"/>
        </w:rPr>
        <w:t xml:space="preserve"> </w:t>
      </w:r>
      <w:r w:rsidR="00935935">
        <w:rPr>
          <w:rFonts w:ascii="Times New Roman" w:hAnsi="Times New Roman" w:cs="Times New Roman"/>
          <w:sz w:val="24"/>
          <w:szCs w:val="24"/>
          <w:lang w:val="en-GB"/>
        </w:rPr>
        <w:t xml:space="preserve">the </w:t>
      </w:r>
      <w:r w:rsidRPr="00D27B7E">
        <w:rPr>
          <w:rFonts w:ascii="Times New Roman" w:hAnsi="Times New Roman" w:cs="Times New Roman"/>
          <w:sz w:val="24"/>
          <w:szCs w:val="24"/>
          <w:lang w:val="en-GB"/>
        </w:rPr>
        <w:t>Department of the Treasury estimate</w:t>
      </w:r>
      <w:r w:rsidR="00676933">
        <w:rPr>
          <w:rFonts w:ascii="Times New Roman" w:hAnsi="Times New Roman" w:cs="Times New Roman"/>
          <w:sz w:val="24"/>
          <w:szCs w:val="24"/>
          <w:lang w:val="en-GB"/>
        </w:rPr>
        <w:t>d</w:t>
      </w:r>
      <w:r w:rsidRPr="00D27B7E">
        <w:rPr>
          <w:rFonts w:ascii="Times New Roman" w:hAnsi="Times New Roman" w:cs="Times New Roman"/>
          <w:sz w:val="24"/>
          <w:szCs w:val="24"/>
          <w:lang w:val="en-GB"/>
        </w:rPr>
        <w:t xml:space="preserve"> </w:t>
      </w:r>
      <w:r w:rsidR="00935935">
        <w:rPr>
          <w:rFonts w:ascii="Times New Roman" w:hAnsi="Times New Roman" w:cs="Times New Roman"/>
          <w:sz w:val="24"/>
          <w:szCs w:val="24"/>
          <w:lang w:val="en-GB"/>
        </w:rPr>
        <w:t xml:space="preserve">US </w:t>
      </w:r>
      <w:r w:rsidRPr="00D27B7E">
        <w:rPr>
          <w:rFonts w:ascii="Times New Roman" w:eastAsia="Times New Roman" w:hAnsi="Times New Roman" w:cs="Times New Roman"/>
          <w:sz w:val="24"/>
          <w:szCs w:val="24"/>
          <w:lang w:eastAsia="en-IE"/>
        </w:rPr>
        <w:t xml:space="preserve">foreign </w:t>
      </w:r>
      <w:r>
        <w:rPr>
          <w:rFonts w:ascii="Times New Roman" w:eastAsia="Times New Roman" w:hAnsi="Times New Roman" w:cs="Times New Roman"/>
          <w:sz w:val="24"/>
          <w:szCs w:val="24"/>
          <w:lang w:eastAsia="en-IE"/>
        </w:rPr>
        <w:t xml:space="preserve">holdings </w:t>
      </w:r>
      <w:r w:rsidR="00935935">
        <w:rPr>
          <w:rFonts w:ascii="Times New Roman" w:hAnsi="Times New Roman" w:cs="Times New Roman"/>
          <w:sz w:val="24"/>
          <w:szCs w:val="24"/>
          <w:lang w:val="en-GB"/>
        </w:rPr>
        <w:t>at just</w:t>
      </w:r>
      <w:r w:rsidR="00537BD2">
        <w:rPr>
          <w:rFonts w:ascii="Times New Roman" w:hAnsi="Times New Roman" w:cs="Times New Roman"/>
          <w:sz w:val="24"/>
          <w:szCs w:val="24"/>
          <w:lang w:val="en-GB"/>
        </w:rPr>
        <w:t xml:space="preserve"> </w:t>
      </w:r>
      <w:r w:rsidRPr="00D27B7E">
        <w:rPr>
          <w:rFonts w:ascii="Times New Roman" w:hAnsi="Times New Roman" w:cs="Times New Roman"/>
          <w:sz w:val="24"/>
          <w:szCs w:val="24"/>
          <w:lang w:val="en-GB"/>
        </w:rPr>
        <w:t xml:space="preserve">14 </w:t>
      </w:r>
      <w:r w:rsidR="003B3D51">
        <w:rPr>
          <w:rFonts w:ascii="Times New Roman" w:hAnsi="Times New Roman" w:cs="Times New Roman"/>
          <w:sz w:val="24"/>
          <w:szCs w:val="24"/>
          <w:lang w:val="en-GB"/>
        </w:rPr>
        <w:t>percent</w:t>
      </w:r>
      <w:r w:rsidR="00935935">
        <w:rPr>
          <w:rFonts w:ascii="Times New Roman" w:hAnsi="Times New Roman" w:cs="Times New Roman"/>
          <w:sz w:val="24"/>
          <w:szCs w:val="24"/>
          <w:lang w:val="en-GB"/>
        </w:rPr>
        <w:t xml:space="preserve"> of total equity, implying</w:t>
      </w:r>
      <w:r>
        <w:rPr>
          <w:rFonts w:ascii="Times New Roman" w:hAnsi="Times New Roman" w:cs="Times New Roman"/>
          <w:sz w:val="24"/>
          <w:szCs w:val="24"/>
          <w:lang w:val="en-GB"/>
        </w:rPr>
        <w:t xml:space="preserve"> </w:t>
      </w:r>
      <w:r w:rsidRPr="00D27B7E">
        <w:rPr>
          <w:rFonts w:ascii="Times New Roman" w:hAnsi="Times New Roman" w:cs="Times New Roman"/>
          <w:sz w:val="24"/>
          <w:szCs w:val="24"/>
          <w:lang w:val="en-GB"/>
        </w:rPr>
        <w:t xml:space="preserve">a large degree of home bias in </w:t>
      </w:r>
      <w:r w:rsidR="00935935">
        <w:rPr>
          <w:rFonts w:ascii="Times New Roman" w:hAnsi="Times New Roman" w:cs="Times New Roman"/>
          <w:sz w:val="24"/>
          <w:szCs w:val="24"/>
          <w:lang w:val="en-GB"/>
        </w:rPr>
        <w:t xml:space="preserve">equity </w:t>
      </w:r>
      <w:r w:rsidRPr="00D27B7E">
        <w:rPr>
          <w:rFonts w:ascii="Times New Roman" w:hAnsi="Times New Roman" w:cs="Times New Roman"/>
          <w:sz w:val="24"/>
          <w:szCs w:val="24"/>
          <w:lang w:val="en-GB"/>
        </w:rPr>
        <w:t>portfolio allocations.</w:t>
      </w:r>
      <w:r w:rsidR="00935935" w:rsidRPr="00935935">
        <w:rPr>
          <w:rFonts w:ascii="Times New Roman" w:hAnsi="Times New Roman" w:cs="Times New Roman"/>
          <w:sz w:val="24"/>
          <w:szCs w:val="24"/>
          <w:lang w:val="en-GB"/>
        </w:rPr>
        <w:t xml:space="preserve"> </w:t>
      </w:r>
      <w:r w:rsidR="00935935">
        <w:rPr>
          <w:rFonts w:ascii="Times New Roman" w:hAnsi="Times New Roman" w:cs="Times New Roman"/>
          <w:sz w:val="24"/>
          <w:szCs w:val="24"/>
          <w:lang w:val="en-GB"/>
        </w:rPr>
        <w:t xml:space="preserve"> This</w:t>
      </w:r>
      <w:r w:rsidR="00935935" w:rsidRPr="00935935">
        <w:rPr>
          <w:rFonts w:ascii="Times New Roman" w:hAnsi="Times New Roman" w:cs="Times New Roman"/>
          <w:sz w:val="24"/>
          <w:szCs w:val="24"/>
          <w:lang w:val="en-GB"/>
        </w:rPr>
        <w:t xml:space="preserve"> pheno</w:t>
      </w:r>
      <w:r w:rsidR="00676933">
        <w:rPr>
          <w:rFonts w:ascii="Times New Roman" w:hAnsi="Times New Roman" w:cs="Times New Roman"/>
          <w:sz w:val="24"/>
          <w:szCs w:val="24"/>
          <w:lang w:val="en-GB"/>
        </w:rPr>
        <w:t xml:space="preserve">menon is not confined to the US; </w:t>
      </w:r>
      <w:r w:rsidR="00935935" w:rsidRPr="00935935">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"ISSN" : "0022-1082", "abstract" : "This study analyzes the detailed equity holdings of over 20,000 mutual funds from 26 developed and developing countries. Of particular interest is that we examine how this huge number of funds allocates their money between domestic and foreign equity markets and what factors determine the distribution of their asset allocations worldwide. We find robust evidence that mutual funds, in aggregate, allocate disproportionately a larger fraction of wealth to domestic than foreign stocks. The results indicate that the stock-market development and familiarity variables exhibit significant, but asymmetric, effects on the domestic bias (domestic investors over-weighting the local markets) and foreign bias (foreign investors under- or over-weighting the overseas markets). When a market is more developed, or is closer in terms of physical distance or common language, this attracts foreign investors to the home country (less foreign bias) and, in turn, fewer domestic investors are found to hold local equities (less home bias). Furthermore, we find that variables such as economic development, capital controls, and withholding taxes also have significant, but smaller, effects on the investment decisions of foreign investors and not of domestic investors.", "author" : [ { "dropping-particle" : "", "family" : "Chan", "given" : "Kalok", "non-dropping-particle" : "", "parse-names" : false, "suffix" : "" }, { "dropping-particle" : "", "family" : "Covrig", "given" : "Vicentiu", "non-dropping-particle" : "", "parse-names" : false, "suffix" : "" }, { "dropping-particle" : "", "family" : "Ng", "given" : "Lilian", "non-dropping-particle" : "", "parse-names" : false, "suffix" : "" } ], "container-title" : "The Journal of Finance", "id" : "ITEM-1", "issue" : "3", "issued" : { "date-parts" : [ [ "2005", "6" ] ] }, "page" : "1495-1534", "title" : "What Determines the Domestic Bias and Foreign Bias? Evidence from Mutual Fund Equity Allocations Worldwide", "type" : "article-journal", "volume" : "60" }, "uris" : [ "http://www.mendeley.com/documents/?uuid=62ee5f8b-eed3-47b4-bb9a-bccf961fb738" ] } ], "mendeley" : { "manualFormatting" : "Chan, Covrig and Ng (2005", "previouslyFormattedCitation" : "(Chan, Covrig, &amp; Ng, 2005)" }, "properties" : { "noteIndex" : 0 }, "schema" : "https://github.com/citation-style-language/schema/raw/master/csl-citation.json" }</w:instrText>
      </w:r>
      <w:r w:rsidR="00935935" w:rsidRPr="00935935">
        <w:rPr>
          <w:rFonts w:ascii="Times New Roman" w:hAnsi="Times New Roman" w:cs="Times New Roman"/>
          <w:sz w:val="24"/>
          <w:szCs w:val="24"/>
          <w:lang w:val="en-GB"/>
        </w:rPr>
        <w:fldChar w:fldCharType="separate"/>
      </w:r>
      <w:r w:rsidR="00935935" w:rsidRPr="00935935">
        <w:rPr>
          <w:rFonts w:ascii="Times New Roman" w:hAnsi="Times New Roman" w:cs="Times New Roman"/>
          <w:noProof/>
          <w:sz w:val="24"/>
          <w:szCs w:val="24"/>
          <w:lang w:val="en-GB"/>
        </w:rPr>
        <w:t>Chan, Covrig and Ng (2005</w:t>
      </w:r>
      <w:r w:rsidR="00935935" w:rsidRPr="00935935">
        <w:rPr>
          <w:rFonts w:ascii="Times New Roman" w:hAnsi="Times New Roman" w:cs="Times New Roman"/>
          <w:sz w:val="24"/>
          <w:szCs w:val="24"/>
          <w:lang w:val="en-GB"/>
        </w:rPr>
        <w:fldChar w:fldCharType="end"/>
      </w:r>
      <w:r w:rsidR="00935935" w:rsidRPr="00935935">
        <w:rPr>
          <w:rFonts w:ascii="Times New Roman" w:hAnsi="Times New Roman" w:cs="Times New Roman"/>
          <w:sz w:val="24"/>
          <w:szCs w:val="24"/>
          <w:lang w:val="en-GB"/>
        </w:rPr>
        <w:t xml:space="preserve">) conduct a study in 26 developed and developing countries and find </w:t>
      </w:r>
      <w:r w:rsidR="00935935">
        <w:rPr>
          <w:rFonts w:ascii="Times New Roman" w:hAnsi="Times New Roman" w:cs="Times New Roman"/>
          <w:sz w:val="24"/>
          <w:szCs w:val="24"/>
          <w:lang w:val="en-GB"/>
        </w:rPr>
        <w:t xml:space="preserve">substantial </w:t>
      </w:r>
      <w:r w:rsidR="00935935" w:rsidRPr="00935935">
        <w:rPr>
          <w:rFonts w:ascii="Times New Roman" w:hAnsi="Times New Roman" w:cs="Times New Roman"/>
          <w:sz w:val="24"/>
          <w:szCs w:val="24"/>
          <w:lang w:val="en-GB"/>
        </w:rPr>
        <w:t xml:space="preserve">home bias in every country.  </w:t>
      </w:r>
    </w:p>
    <w:p w14:paraId="56842FB2" w14:textId="77777777" w:rsidR="00935935" w:rsidRPr="000E6048" w:rsidRDefault="00935935" w:rsidP="00CD4B7C">
      <w:pPr>
        <w:spacing w:line="360" w:lineRule="auto"/>
        <w:jc w:val="both"/>
        <w:rPr>
          <w:rFonts w:ascii="Times New Roman" w:hAnsi="Times New Roman"/>
          <w:sz w:val="24"/>
          <w:szCs w:val="24"/>
        </w:rPr>
      </w:pPr>
      <w:r w:rsidRPr="000E6048">
        <w:rPr>
          <w:rFonts w:ascii="Times New Roman" w:hAnsi="Times New Roman"/>
          <w:sz w:val="24"/>
          <w:szCs w:val="24"/>
        </w:rPr>
        <w:t>Traditionally international diversification involves directly investing in equities traded abroad</w:t>
      </w:r>
      <w:r>
        <w:rPr>
          <w:rFonts w:ascii="Times New Roman" w:hAnsi="Times New Roman"/>
          <w:sz w:val="24"/>
          <w:szCs w:val="24"/>
        </w:rPr>
        <w:t xml:space="preserve">, which entails costs, such as transaction costs and withholding taxes, and risks such as FX, </w:t>
      </w:r>
      <w:r>
        <w:rPr>
          <w:rFonts w:ascii="Times New Roman" w:hAnsi="Times New Roman"/>
          <w:sz w:val="24"/>
          <w:szCs w:val="24"/>
        </w:rPr>
        <w:lastRenderedPageBreak/>
        <w:t>liquidity, country and capital control risk</w:t>
      </w:r>
      <w:r w:rsidRPr="000E6048">
        <w:rPr>
          <w:rFonts w:ascii="Times New Roman" w:hAnsi="Times New Roman"/>
          <w:sz w:val="24"/>
          <w:szCs w:val="24"/>
        </w:rPr>
        <w:t>.</w:t>
      </w:r>
      <w:r>
        <w:rPr>
          <w:rFonts w:ascii="Times New Roman" w:hAnsi="Times New Roman"/>
          <w:sz w:val="24"/>
          <w:szCs w:val="24"/>
        </w:rPr>
        <w:t xml:space="preserve">  In addition, i</w:t>
      </w:r>
      <w:r w:rsidRPr="000E6048">
        <w:rPr>
          <w:rFonts w:ascii="Times New Roman" w:hAnsi="Times New Roman"/>
          <w:sz w:val="24"/>
          <w:szCs w:val="24"/>
        </w:rPr>
        <w:t xml:space="preserve">nvestors investing directly in foreign markets need to fully understand local market conditions, for example, trading mechanisms, information </w:t>
      </w:r>
      <w:r>
        <w:rPr>
          <w:rFonts w:ascii="Times New Roman" w:hAnsi="Times New Roman"/>
          <w:sz w:val="24"/>
          <w:szCs w:val="24"/>
        </w:rPr>
        <w:t>that</w:t>
      </w:r>
      <w:r w:rsidRPr="000E6048">
        <w:rPr>
          <w:rFonts w:ascii="Times New Roman" w:hAnsi="Times New Roman"/>
          <w:sz w:val="24"/>
          <w:szCs w:val="24"/>
        </w:rPr>
        <w:t xml:space="preserve"> may be difficult and time consuming to obtain.  </w:t>
      </w:r>
      <w:r>
        <w:rPr>
          <w:rFonts w:ascii="Times New Roman" w:hAnsi="Times New Roman"/>
          <w:sz w:val="24"/>
          <w:szCs w:val="24"/>
        </w:rPr>
        <w:t xml:space="preserve">Investing in broad-based foreign country indices are often used to measure the benefits of international diversification.  Investing in all of the shares </w:t>
      </w:r>
      <w:r w:rsidR="00676933">
        <w:rPr>
          <w:rFonts w:ascii="Times New Roman" w:hAnsi="Times New Roman"/>
          <w:sz w:val="24"/>
          <w:szCs w:val="24"/>
        </w:rPr>
        <w:t>that comprise</w:t>
      </w:r>
      <w:r>
        <w:rPr>
          <w:rFonts w:ascii="Times New Roman" w:hAnsi="Times New Roman"/>
          <w:sz w:val="24"/>
          <w:szCs w:val="24"/>
        </w:rPr>
        <w:t xml:space="preserve"> these indices is not a realistic option for most investors given the transaction costs and restrictions on portfolio size.  An alternative is to invest </w:t>
      </w:r>
      <w:r w:rsidRPr="000E6048">
        <w:rPr>
          <w:rFonts w:ascii="Times New Roman" w:hAnsi="Times New Roman"/>
          <w:sz w:val="24"/>
          <w:szCs w:val="24"/>
        </w:rPr>
        <w:t xml:space="preserve">in </w:t>
      </w:r>
      <w:r>
        <w:rPr>
          <w:rFonts w:ascii="Times New Roman" w:hAnsi="Times New Roman"/>
          <w:sz w:val="24"/>
          <w:szCs w:val="24"/>
        </w:rPr>
        <w:t>equities</w:t>
      </w:r>
      <w:r w:rsidRPr="000E6048">
        <w:rPr>
          <w:rFonts w:ascii="Times New Roman" w:hAnsi="Times New Roman"/>
          <w:sz w:val="24"/>
          <w:szCs w:val="24"/>
        </w:rPr>
        <w:t xml:space="preserve"> that trade domestically and provide international exposure</w:t>
      </w:r>
      <w:r>
        <w:rPr>
          <w:rFonts w:ascii="Times New Roman" w:hAnsi="Times New Roman"/>
          <w:sz w:val="24"/>
          <w:szCs w:val="24"/>
        </w:rPr>
        <w:t xml:space="preserve">.  </w:t>
      </w:r>
      <w:r w:rsidRPr="000E6048">
        <w:rPr>
          <w:rFonts w:ascii="Times New Roman" w:hAnsi="Times New Roman"/>
          <w:sz w:val="24"/>
          <w:szCs w:val="24"/>
        </w:rPr>
        <w:t xml:space="preserve"> </w:t>
      </w:r>
      <w:r>
        <w:rPr>
          <w:rFonts w:ascii="Times New Roman" w:hAnsi="Times New Roman"/>
          <w:sz w:val="24"/>
          <w:szCs w:val="24"/>
        </w:rPr>
        <w:t>This may provide</w:t>
      </w:r>
      <w:r w:rsidRPr="000E6048">
        <w:rPr>
          <w:rFonts w:ascii="Times New Roman" w:hAnsi="Times New Roman"/>
          <w:sz w:val="24"/>
          <w:szCs w:val="24"/>
        </w:rPr>
        <w:t xml:space="preserve"> an indirect</w:t>
      </w:r>
      <w:r>
        <w:rPr>
          <w:rFonts w:ascii="Times New Roman" w:hAnsi="Times New Roman"/>
          <w:sz w:val="24"/>
          <w:szCs w:val="24"/>
        </w:rPr>
        <w:t xml:space="preserve"> method of obtaining the benefits of international diversification</w:t>
      </w:r>
      <w:r w:rsidRPr="000E6048">
        <w:rPr>
          <w:rFonts w:ascii="Times New Roman" w:hAnsi="Times New Roman"/>
          <w:sz w:val="24"/>
          <w:szCs w:val="24"/>
        </w:rPr>
        <w:t xml:space="preserve">, while avoiding the costs and </w:t>
      </w:r>
      <w:r>
        <w:rPr>
          <w:rFonts w:ascii="Times New Roman" w:hAnsi="Times New Roman"/>
          <w:sz w:val="24"/>
          <w:szCs w:val="24"/>
        </w:rPr>
        <w:t>inconveniences</w:t>
      </w:r>
      <w:r w:rsidRPr="000E6048">
        <w:rPr>
          <w:rFonts w:ascii="Times New Roman" w:hAnsi="Times New Roman"/>
          <w:sz w:val="24"/>
          <w:szCs w:val="24"/>
        </w:rPr>
        <w:t xml:space="preserve"> of investing abroad.  </w:t>
      </w:r>
    </w:p>
    <w:p w14:paraId="28269C5A" w14:textId="77777777" w:rsidR="0090003C" w:rsidRPr="00170B35" w:rsidRDefault="00935935" w:rsidP="00CD4B7C">
      <w:pPr>
        <w:spacing w:line="360" w:lineRule="auto"/>
        <w:jc w:val="both"/>
        <w:rPr>
          <w:rFonts w:ascii="Times New Roman" w:hAnsi="Times New Roman" w:cs="Times New Roman"/>
          <w:sz w:val="24"/>
          <w:szCs w:val="24"/>
        </w:rPr>
      </w:pPr>
      <w:r w:rsidRPr="000E6048">
        <w:rPr>
          <w:rFonts w:ascii="Times New Roman" w:hAnsi="Times New Roman"/>
          <w:sz w:val="24"/>
          <w:szCs w:val="24"/>
        </w:rPr>
        <w:t xml:space="preserve">There are several indirect routes by which an investor may achieve exposure to foreign equity returns in a domestic setting.  US Multinational companies (MNCs) operating in overseas markets may provide exposure to foreign country indices.  Some of the gains from international diversification are considered to be due to differences in industrial structure across countries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"02615606", "author" : [ { "dropping-particle" : "", "family" : "Flavin", "given" : "Thomas J.", "non-dropping-particle" : "", "parse-names" : false, "suffix" : "" } ], "container-title" : "Journal of International Money and Finance", "id" : "ITEM-1", "issue" : "7-8", "issued" : { "date-parts" : [ [ "2004", "11" ] ] }, "page" : "1137-1158", "title" : "The effect of the Euro on country versus industry portfolio diversification", "type" : "article-journal", "volume" : "23" }, "uris" : [ "http://www.mendeley.com/documents/?uuid=d8e21c2d-dfb1-4417-921b-f3098672f083" ] } ], "mendeley" : { "manualFormatting" : "(Flavin, 2004)", "previouslyFormattedCitation" : "(Flavin, 2004a)"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(Flavin, 2004)</w:t>
      </w:r>
      <w:r w:rsidRPr="000E6048">
        <w:rPr>
          <w:rFonts w:ascii="Times New Roman" w:hAnsi="Times New Roman"/>
          <w:sz w:val="24"/>
          <w:szCs w:val="24"/>
        </w:rPr>
        <w:fldChar w:fldCharType="end"/>
      </w:r>
      <w:r w:rsidR="00CD4B7C">
        <w:rPr>
          <w:rFonts w:ascii="Times New Roman" w:hAnsi="Times New Roman"/>
          <w:sz w:val="24"/>
          <w:szCs w:val="24"/>
        </w:rPr>
        <w:t>, t</w:t>
      </w:r>
      <w:r w:rsidRPr="000E6048">
        <w:rPr>
          <w:rFonts w:ascii="Times New Roman" w:hAnsi="Times New Roman"/>
          <w:sz w:val="24"/>
          <w:szCs w:val="24"/>
        </w:rPr>
        <w:t xml:space="preserve">herefore investment in specific Industry Indices may mimic foreign country index returns.  Other products </w:t>
      </w:r>
      <w:r>
        <w:rPr>
          <w:rFonts w:ascii="Times New Roman" w:hAnsi="Times New Roman"/>
          <w:sz w:val="24"/>
          <w:szCs w:val="24"/>
        </w:rPr>
        <w:t xml:space="preserve">traded in the US </w:t>
      </w:r>
      <w:r w:rsidRPr="000E6048">
        <w:rPr>
          <w:rFonts w:ascii="Times New Roman" w:hAnsi="Times New Roman"/>
          <w:sz w:val="24"/>
          <w:szCs w:val="24"/>
        </w:rPr>
        <w:t>provide access to foreign equities such as American Depository Receipts (ADRs)</w:t>
      </w:r>
      <w:r w:rsidR="00676933">
        <w:rPr>
          <w:rFonts w:ascii="Times New Roman" w:hAnsi="Times New Roman"/>
          <w:sz w:val="24"/>
          <w:szCs w:val="24"/>
        </w:rPr>
        <w:t>,</w:t>
      </w:r>
      <w:r w:rsidRPr="000E6048">
        <w:rPr>
          <w:rFonts w:ascii="Times New Roman" w:hAnsi="Times New Roman"/>
          <w:sz w:val="24"/>
          <w:szCs w:val="24"/>
        </w:rPr>
        <w:t xml:space="preserve"> which represent a claim o</w:t>
      </w:r>
      <w:r>
        <w:rPr>
          <w:rFonts w:ascii="Times New Roman" w:hAnsi="Times New Roman"/>
          <w:sz w:val="24"/>
          <w:szCs w:val="24"/>
        </w:rPr>
        <w:t>n foreign equities, and</w:t>
      </w:r>
      <w:r w:rsidRPr="000E6048">
        <w:rPr>
          <w:rFonts w:ascii="Times New Roman" w:hAnsi="Times New Roman"/>
          <w:sz w:val="24"/>
          <w:szCs w:val="24"/>
        </w:rPr>
        <w:t xml:space="preserve"> exchange-traded country funds; Closed-End Country Funds (CCFs) and iShares.  </w:t>
      </w:r>
      <w:r>
        <w:rPr>
          <w:rFonts w:ascii="Times New Roman" w:hAnsi="Times New Roman"/>
          <w:sz w:val="24"/>
          <w:szCs w:val="24"/>
        </w:rPr>
        <w:t>We</w:t>
      </w:r>
      <w:r w:rsidRPr="000E6048">
        <w:rPr>
          <w:rFonts w:ascii="Times New Roman" w:hAnsi="Times New Roman"/>
          <w:sz w:val="24"/>
          <w:szCs w:val="24"/>
        </w:rPr>
        <w:t xml:space="preserve"> combine the available equity products for each country to examine whether it is possible to exhaust the benefits of international diversification by investing in do</w:t>
      </w:r>
      <w:r w:rsidR="00676933">
        <w:rPr>
          <w:rFonts w:ascii="Times New Roman" w:hAnsi="Times New Roman"/>
          <w:sz w:val="24"/>
          <w:szCs w:val="24"/>
        </w:rPr>
        <w:t>mestically-</w:t>
      </w:r>
      <w:r w:rsidRPr="000E6048">
        <w:rPr>
          <w:rFonts w:ascii="Times New Roman" w:hAnsi="Times New Roman"/>
          <w:sz w:val="24"/>
          <w:szCs w:val="24"/>
        </w:rPr>
        <w:t>traded products, thereby negating the need to invest overse</w:t>
      </w:r>
      <w:r w:rsidR="00BC0B87">
        <w:rPr>
          <w:rFonts w:ascii="Times New Roman" w:hAnsi="Times New Roman"/>
          <w:sz w:val="24"/>
          <w:szCs w:val="24"/>
        </w:rPr>
        <w:t>as.  Using stepwise regression we</w:t>
      </w:r>
      <w:r w:rsidRPr="000E6048">
        <w:rPr>
          <w:rFonts w:ascii="Times New Roman" w:hAnsi="Times New Roman"/>
          <w:sz w:val="24"/>
          <w:szCs w:val="24"/>
        </w:rPr>
        <w:t xml:space="preserve"> create three types of replicating portfolios for each country, the first of US Industry Indices, the second of Industry Indices, the Russell 1000 and MNCs, and the third of Industry Indices, the Russell 1000, MNCs, ADRs, CCFs</w:t>
      </w:r>
      <w:r w:rsidR="00CE6362">
        <w:rPr>
          <w:rFonts w:ascii="Times New Roman" w:hAnsi="Times New Roman"/>
          <w:sz w:val="24"/>
          <w:szCs w:val="24"/>
        </w:rPr>
        <w:t xml:space="preserve"> and iShares</w:t>
      </w:r>
      <w:r w:rsidRPr="000E6048">
        <w:rPr>
          <w:rFonts w:ascii="Times New Roman" w:hAnsi="Times New Roman"/>
          <w:sz w:val="24"/>
          <w:szCs w:val="24"/>
        </w:rPr>
        <w:t>.</w:t>
      </w:r>
      <w:r w:rsidRPr="000E6048">
        <w:t xml:space="preserve">  </w:t>
      </w:r>
      <w:r w:rsidR="00BC0B87">
        <w:rPr>
          <w:rFonts w:ascii="Times New Roman" w:hAnsi="Times New Roman"/>
          <w:sz w:val="24"/>
          <w:szCs w:val="24"/>
        </w:rPr>
        <w:t xml:space="preserve">We </w:t>
      </w:r>
      <w:r w:rsidRPr="000E6048">
        <w:rPr>
          <w:rFonts w:ascii="Times New Roman" w:hAnsi="Times New Roman"/>
          <w:sz w:val="24"/>
          <w:szCs w:val="24"/>
        </w:rPr>
        <w:t>test the diversification benefits of these portfolios over a 15 year period from 1996 to 2011 and in three sub-periods</w:t>
      </w:r>
      <w:r w:rsidR="00676933">
        <w:rPr>
          <w:rFonts w:ascii="Times New Roman" w:hAnsi="Times New Roman"/>
          <w:sz w:val="24"/>
          <w:szCs w:val="24"/>
        </w:rPr>
        <w:t>, using Mean-Variance Spanning tests</w:t>
      </w:r>
      <w:r w:rsidRPr="000E6048">
        <w:rPr>
          <w:rFonts w:ascii="Times New Roman" w:hAnsi="Times New Roman"/>
          <w:sz w:val="24"/>
          <w:szCs w:val="24"/>
        </w:rPr>
        <w:t xml:space="preserve">.  </w:t>
      </w:r>
      <w:r w:rsidR="003D5534" w:rsidRPr="00170B35">
        <w:rPr>
          <w:rFonts w:ascii="Times New Roman" w:hAnsi="Times New Roman" w:cs="Times New Roman"/>
          <w:sz w:val="24"/>
          <w:szCs w:val="24"/>
        </w:rPr>
        <w:t>If th</w:t>
      </w:r>
      <w:r w:rsidR="00480A65" w:rsidRPr="00170B35">
        <w:rPr>
          <w:rFonts w:ascii="Times New Roman" w:hAnsi="Times New Roman" w:cs="Times New Roman"/>
          <w:sz w:val="24"/>
          <w:szCs w:val="24"/>
        </w:rPr>
        <w:t xml:space="preserve">e benefits </w:t>
      </w:r>
      <w:r w:rsidR="00170B35">
        <w:rPr>
          <w:rFonts w:ascii="Times New Roman" w:hAnsi="Times New Roman" w:cs="Times New Roman"/>
          <w:sz w:val="24"/>
          <w:szCs w:val="24"/>
        </w:rPr>
        <w:t xml:space="preserve">of diversifying internationally </w:t>
      </w:r>
      <w:r w:rsidR="00480A65" w:rsidRPr="00170B35">
        <w:rPr>
          <w:rFonts w:ascii="Times New Roman" w:hAnsi="Times New Roman" w:cs="Times New Roman"/>
          <w:sz w:val="24"/>
          <w:szCs w:val="24"/>
        </w:rPr>
        <w:t>can be exhausted</w:t>
      </w:r>
      <w:r w:rsidR="00DA53D2" w:rsidRPr="00170B35">
        <w:rPr>
          <w:rFonts w:ascii="Times New Roman" w:hAnsi="Times New Roman" w:cs="Times New Roman"/>
          <w:sz w:val="24"/>
          <w:szCs w:val="24"/>
        </w:rPr>
        <w:t xml:space="preserve"> </w:t>
      </w:r>
      <w:r w:rsidR="00F03389">
        <w:rPr>
          <w:rFonts w:ascii="Times New Roman" w:hAnsi="Times New Roman" w:cs="Times New Roman"/>
          <w:sz w:val="24"/>
          <w:szCs w:val="24"/>
        </w:rPr>
        <w:t xml:space="preserve">by investment in domestically traded products, </w:t>
      </w:r>
      <w:r w:rsidR="00DA53D2" w:rsidRPr="00170B35">
        <w:rPr>
          <w:rFonts w:ascii="Times New Roman" w:hAnsi="Times New Roman" w:cs="Times New Roman"/>
          <w:sz w:val="24"/>
          <w:szCs w:val="24"/>
        </w:rPr>
        <w:t>investors</w:t>
      </w:r>
      <w:r w:rsidR="003D5534" w:rsidRPr="00170B35">
        <w:rPr>
          <w:rFonts w:ascii="Times New Roman" w:hAnsi="Times New Roman" w:cs="Times New Roman"/>
          <w:sz w:val="24"/>
          <w:szCs w:val="24"/>
        </w:rPr>
        <w:t xml:space="preserve"> </w:t>
      </w:r>
      <w:r w:rsidR="00484286">
        <w:rPr>
          <w:rFonts w:ascii="Times New Roman" w:hAnsi="Times New Roman" w:cs="Times New Roman"/>
          <w:sz w:val="24"/>
          <w:szCs w:val="24"/>
        </w:rPr>
        <w:t>no longer need to invest in equities traded overseas</w:t>
      </w:r>
      <w:r w:rsidR="003D5534" w:rsidRPr="00170B35">
        <w:rPr>
          <w:rFonts w:ascii="Times New Roman" w:hAnsi="Times New Roman" w:cs="Times New Roman"/>
          <w:sz w:val="24"/>
          <w:szCs w:val="24"/>
        </w:rPr>
        <w:t xml:space="preserve">.  </w:t>
      </w:r>
    </w:p>
    <w:p w14:paraId="6C48F69E" w14:textId="77777777" w:rsidR="00BC0B87" w:rsidRPr="000E6048" w:rsidRDefault="00BC0B87" w:rsidP="00CD4B7C">
      <w:pPr>
        <w:spacing w:line="360" w:lineRule="auto"/>
        <w:jc w:val="both"/>
        <w:rPr>
          <w:rFonts w:ascii="Times New Roman" w:hAnsi="Times New Roman"/>
          <w:sz w:val="24"/>
          <w:szCs w:val="24"/>
        </w:rPr>
      </w:pPr>
      <w:r w:rsidRPr="000E6048">
        <w:rPr>
          <w:rFonts w:ascii="Times New Roman" w:hAnsi="Times New Roman"/>
          <w:sz w:val="24"/>
          <w:szCs w:val="24"/>
        </w:rPr>
        <w:t xml:space="preserve">The contributions of this study are as follows.   A study of the indirect international diversification benefits of US-traded equity products between 1976 and 1993 was conducted by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Hogan, &amp; Hung (1999", "previouslyFormattedCitation" : "(Errunza, Hogan, &amp; Hung, 1999)"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Errunza, Hogan, &amp; Hung (1999</w:t>
      </w:r>
      <w:r w:rsidRPr="000E6048">
        <w:rPr>
          <w:rFonts w:ascii="Times New Roman" w:hAnsi="Times New Roman"/>
          <w:sz w:val="24"/>
          <w:szCs w:val="24"/>
        </w:rPr>
        <w:fldChar w:fldCharType="end"/>
      </w:r>
      <w:r>
        <w:rPr>
          <w:rFonts w:ascii="Times New Roman" w:hAnsi="Times New Roman"/>
          <w:sz w:val="24"/>
          <w:szCs w:val="24"/>
        </w:rPr>
        <w:t>).  We</w:t>
      </w:r>
      <w:r w:rsidRPr="000E6048">
        <w:rPr>
          <w:rFonts w:ascii="Times New Roman" w:hAnsi="Times New Roman"/>
          <w:sz w:val="24"/>
          <w:szCs w:val="24"/>
        </w:rPr>
        <w:t xml:space="preserve"> extend and update that study, during a period in which the US saw two booms and busts, the dotcom bubble of 1999/2000 and the credit crisis of </w:t>
      </w:r>
      <w:r w:rsidRPr="000E6048">
        <w:rPr>
          <w:rFonts w:ascii="Times New Roman" w:hAnsi="Times New Roman"/>
          <w:sz w:val="24"/>
          <w:szCs w:val="24"/>
        </w:rPr>
        <w:lastRenderedPageBreak/>
        <w:t>2007/2008.  There have been a number of developments which warrant a more recent investigation of this topic.  Firstly, since that study, there is a greater availability of US-traded products which offer foreign exposure, for a greater number of countries, allowing an increase of the number of countries included in the study f</w:t>
      </w:r>
      <w:r>
        <w:rPr>
          <w:rFonts w:ascii="Times New Roman" w:hAnsi="Times New Roman"/>
          <w:sz w:val="24"/>
          <w:szCs w:val="24"/>
        </w:rPr>
        <w:t xml:space="preserve">rom 16 to 37.  Secondly, </w:t>
      </w:r>
      <w:r w:rsidRPr="000E6048">
        <w:rPr>
          <w:rFonts w:ascii="Times New Roman" w:hAnsi="Times New Roman"/>
          <w:sz w:val="24"/>
          <w:szCs w:val="24"/>
        </w:rPr>
        <w:t xml:space="preserve">a substantial increase has occurred in the internationalisation of US MNCs, as firms increase their foreign operations. </w:t>
      </w:r>
      <w:r w:rsidRPr="000E6048">
        <w:rPr>
          <w:rFonts w:ascii="Times New Roman" w:hAnsi="Times New Roman"/>
          <w:color w:val="FF0000"/>
          <w:sz w:val="24"/>
          <w:szCs w:val="24"/>
        </w:rPr>
        <w:t xml:space="preserve"> </w:t>
      </w:r>
      <w:r w:rsidRPr="000E6048">
        <w:rPr>
          <w:rFonts w:ascii="Times New Roman" w:hAnsi="Times New Roman"/>
          <w:sz w:val="24"/>
          <w:szCs w:val="24"/>
        </w:rPr>
        <w:t xml:space="preserve">The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Hogan, &amp; Hung (1999", "previouslyFormattedCitation" : "(Errunza et al., 1999)"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Errunza, Hogan, &amp; Hung (1999</w:t>
      </w:r>
      <w:r w:rsidRPr="000E6048">
        <w:rPr>
          <w:rFonts w:ascii="Times New Roman" w:hAnsi="Times New Roman"/>
          <w:sz w:val="24"/>
          <w:szCs w:val="24"/>
        </w:rPr>
        <w:fldChar w:fldCharType="end"/>
      </w:r>
      <w:r w:rsidRPr="000E6048">
        <w:rPr>
          <w:rFonts w:ascii="Times New Roman" w:hAnsi="Times New Roman"/>
          <w:sz w:val="24"/>
          <w:szCs w:val="24"/>
        </w:rPr>
        <w:t xml:space="preserve">) study selects the largest MNCs ranked by total sales in 1976, making the assumption that the firms which have the greatest total sales are also the firms with the greatest level of internationalisation.   </w:t>
      </w:r>
      <w:r>
        <w:rPr>
          <w:rFonts w:ascii="Times New Roman" w:hAnsi="Times New Roman"/>
          <w:sz w:val="24"/>
          <w:szCs w:val="24"/>
        </w:rPr>
        <w:t>We</w:t>
      </w:r>
      <w:r w:rsidRPr="000E6048">
        <w:rPr>
          <w:rFonts w:ascii="Times New Roman" w:hAnsi="Times New Roman"/>
          <w:sz w:val="24"/>
          <w:szCs w:val="24"/>
        </w:rPr>
        <w:t xml:space="preserve"> select MNCs using a more robust method, selecting firms which have foreign sales in at least four </w:t>
      </w:r>
      <w:r>
        <w:rPr>
          <w:rFonts w:ascii="Times New Roman" w:hAnsi="Times New Roman"/>
          <w:sz w:val="24"/>
          <w:szCs w:val="24"/>
        </w:rPr>
        <w:t>region</w:t>
      </w:r>
      <w:r w:rsidRPr="000E6048">
        <w:rPr>
          <w:rFonts w:ascii="Times New Roman" w:hAnsi="Times New Roman"/>
          <w:sz w:val="24"/>
          <w:szCs w:val="24"/>
        </w:rPr>
        <w:t xml:space="preserve">s </w:t>
      </w:r>
      <w:r w:rsidR="00CD4B7C">
        <w:rPr>
          <w:rFonts w:ascii="Times New Roman" w:hAnsi="Times New Roman"/>
          <w:sz w:val="24"/>
          <w:szCs w:val="24"/>
        </w:rPr>
        <w:t xml:space="preserve">of the world </w:t>
      </w:r>
      <w:r w:rsidRPr="000E6048">
        <w:rPr>
          <w:rFonts w:ascii="Times New Roman" w:hAnsi="Times New Roman"/>
          <w:sz w:val="24"/>
          <w:szCs w:val="24"/>
        </w:rPr>
        <w:t xml:space="preserve">in </w:t>
      </w:r>
      <w:r w:rsidR="002B6A96">
        <w:rPr>
          <w:rFonts w:ascii="Times New Roman" w:hAnsi="Times New Roman"/>
          <w:sz w:val="24"/>
          <w:szCs w:val="24"/>
        </w:rPr>
        <w:t>every year</w:t>
      </w:r>
      <w:r w:rsidRPr="000E6048">
        <w:rPr>
          <w:rFonts w:ascii="Times New Roman" w:hAnsi="Times New Roman"/>
          <w:sz w:val="24"/>
          <w:szCs w:val="24"/>
        </w:rPr>
        <w:t xml:space="preserve"> from 1996 to 2010.  Thirdly, the growing relative importance of industrial versus country diversification since the early 1990s has been highlighted in many studies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"abstract" : "Historically, country effects have been dominant in explaining variations in global stock returns, even in the developed markets, and investors have segmented their allocations accordingly. We set out to investigate whether this situation still prevails. We found a significant shift in the relative importance of national and economic influences in the stock returns of the world's largest equity markets. In these markets, the impact of industrial sector effects is now roughly equal to that of country effects. In addition to supporting the notion of increasing global capital market integration, these findings suggest that country-based approaches to global investment management may be losing their effectiveness.", "author" : [ { "dropping-particle" : "", "family" : "Baca", "given" : "Sean P.", "non-dropping-particle" : "", "parse-names" : false, "suffix" : "" }, { "dropping-particle" : "", "family" : "Garbe", "given" : "Brian L.", "non-dropping-particle" : "", "parse-names" : false, "suffix" : "" }, { "dropping-particle" : "", "family" : "Weiss", "given" : "Richard A.", "non-dropping-particle" : "", "parse-names" : false, "suffix" : "" } ], "container-title" : "Financial Analysts Journal", "id" : "ITEM-1", "issue" : "5", "issued" : { "date-parts" : [ [ "2000" ] ] }, "page" : "34 - 40", "publisher" : "CFA Institute", "title" : "The Rise of Sector Effects in Major Equity Markets", "type" : "article-journal", "volume" : "56" }, "uris" : [ "http://www.mendeley.com/documents/?uuid=df9c902c-fceb-463a-b9cb-978489f22816" ] }, { "id" : "ITEM-2", "itemData" : { "abstract" : "Previous studies of the relative importance of industry and country factors in determining equity returns generally concluded that country factors dominate industry factors. We present evidence that industry factors have been growing in relative importance and may now dominate country factors. Furthermore, our evidence suggests that over the past five years, diversification across global industries has provided greater risk reduction than diversification by countries. These findings suggest that industry allocation is an increasingly important consideration for active managers of global equity portfolios and that investors may wish to reconsider home-biased equity allocation policies.", "author" : [ { "dropping-particle" : "", "family" : "Cavaglia", "given" : "Stefano", "non-dropping-particle" : "", "parse-names" : false, "suffix" : "" }, { "dropping-particle" : "", "family" : "Brightman", "given" : "Christopher", "non-dropping-particle" : "", "parse-names" : false, "suffix" : "" }, { "dropping-particle" : "", "family" : "Aked", "given" : "Michael", "non-dropping-particle" : "", "parse-names" : false, "suffix" : "" } ], "container-title" : "Financial Analysts Journal", "id" : "ITEM-2", "issue" : "5", "issued" : { "date-parts" : [ [ "2000" ] ] }, "page" : "41 - 54", "publisher" : "CFA Institute", "title" : "The Increasing Importance of Industry Factors", "type" : "article-journal", "volume" : "56" }, "uris" : [ "http://www.mendeley.com/documents/?uuid=8186ae2b-7803-48b1-8fc0-5057d52dcd01" ] }, { "id" : "ITEM-3", "itemData" : { "ISSN" : "15660141", "abstract" : "This study examines the influence of country and industry factors on the cross-sectional variance and correlation structure of returns. I use new data on emerging markets\u2019 stocks obtained from the Emerging Markets Data Base. I find that emerging markets\u2019 returns are mainly driven by country factors, as it was shown previously in studies for mature markets, and that cross-market correlation is not affected by the industrial composition of the indices. These results have important implications in regard to international portfolio diversification: cross-market diversification seems to be a better bet than cross-industry diversification. A finer industry partition shows, however, that ignoring the industrial mix leads to an important loss of diversification benefits.", "author" : [ { "dropping-particle" : "", "family" : "Serra", "given" : "Ana Paula", "non-dropping-particle" : "", "parse-names" : false, "suffix" : "" } ], "container-title" : "Emerging Markets Review", "id" : "ITEM-3", "issue" : "2", "issued" : { "date-parts" : [ [ "2000", "9" ] ] }, "page" : "127-151", "title" : "Country and industry factors in returns: evidence from emerging markets' stocks", "type" : "article-journal", "volume" : "1" }, "uris" : [ "http://www.mendeley.com/documents/?uuid=9a75b9d2-74a0-490a-82cf-4eddddfafd1a" ] } ], "mendeley" : { "previouslyFormattedCitation" : "(Baca, Garbe, &amp; Weiss, 2000; Cavaglia, Brightman, &amp; Aked, 2000; Serra, 2000)" }, "properties" : { "noteIndex" : 0 }, "schema" : "https://github.com/citation-style-language/schema/raw/master/csl-citation.json" }</w:instrText>
      </w:r>
      <w:r w:rsidRPr="000E6048">
        <w:rPr>
          <w:rFonts w:ascii="Times New Roman" w:hAnsi="Times New Roman"/>
          <w:sz w:val="24"/>
          <w:szCs w:val="24"/>
        </w:rPr>
        <w:fldChar w:fldCharType="separate"/>
      </w:r>
      <w:r w:rsidR="007C224E" w:rsidRPr="007C224E">
        <w:rPr>
          <w:rFonts w:ascii="Times New Roman" w:hAnsi="Times New Roman"/>
          <w:noProof/>
          <w:sz w:val="24"/>
          <w:szCs w:val="24"/>
        </w:rPr>
        <w:t>(Baca, Garbe, &amp; Weiss, 2000; Cavaglia, Brightman, &amp; Aked, 2000; Serra, 2000)</w:t>
      </w:r>
      <w:r w:rsidRPr="000E6048">
        <w:rPr>
          <w:rFonts w:ascii="Times New Roman" w:hAnsi="Times New Roman"/>
          <w:sz w:val="24"/>
          <w:szCs w:val="24"/>
        </w:rPr>
        <w:fldChar w:fldCharType="end"/>
      </w:r>
      <w:r w:rsidRPr="000E6048">
        <w:rPr>
          <w:rFonts w:ascii="Times New Roman" w:hAnsi="Times New Roman"/>
          <w:sz w:val="24"/>
          <w:szCs w:val="24"/>
        </w:rPr>
        <w:t>, which may alter the relative importance of Industry Indices as diversification tools.  Fourthly, iShares were introduced in 1996, and have experienced huge growth since their in</w:t>
      </w:r>
      <w:r>
        <w:rPr>
          <w:rFonts w:ascii="Times New Roman" w:hAnsi="Times New Roman"/>
          <w:sz w:val="24"/>
          <w:szCs w:val="24"/>
        </w:rPr>
        <w:t>ception.  Given these changes, we</w:t>
      </w:r>
      <w:r w:rsidRPr="000E6048">
        <w:rPr>
          <w:rFonts w:ascii="Times New Roman" w:hAnsi="Times New Roman"/>
          <w:sz w:val="24"/>
          <w:szCs w:val="24"/>
        </w:rPr>
        <w:t xml:space="preserve"> investigate whether the results of the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et al., (1999)", "previouslyFormattedCitation" : "(Errunza et al., 1999)"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Errunza et al., (1999)</w:t>
      </w:r>
      <w:r w:rsidRPr="000E6048">
        <w:rPr>
          <w:rFonts w:ascii="Times New Roman" w:hAnsi="Times New Roman"/>
          <w:sz w:val="24"/>
          <w:szCs w:val="24"/>
        </w:rPr>
        <w:fldChar w:fldCharType="end"/>
      </w:r>
      <w:r w:rsidRPr="000E6048">
        <w:rPr>
          <w:rFonts w:ascii="Times New Roman" w:hAnsi="Times New Roman"/>
          <w:sz w:val="24"/>
          <w:szCs w:val="24"/>
        </w:rPr>
        <w:t xml:space="preserve"> study have changed substantially.</w:t>
      </w:r>
    </w:p>
    <w:p w14:paraId="462A0801" w14:textId="77777777" w:rsidR="00BC0B87" w:rsidRPr="000E6048" w:rsidRDefault="00BC0B87" w:rsidP="00CD4B7C">
      <w:pPr>
        <w:spacing w:line="360" w:lineRule="auto"/>
        <w:jc w:val="both"/>
      </w:pPr>
      <w:r>
        <w:rPr>
          <w:rFonts w:ascii="Times New Roman" w:hAnsi="Times New Roman"/>
          <w:sz w:val="24"/>
          <w:szCs w:val="24"/>
        </w:rPr>
        <w:t>Our</w:t>
      </w:r>
      <w:r w:rsidRPr="000E6048">
        <w:rPr>
          <w:rFonts w:ascii="Times New Roman" w:hAnsi="Times New Roman"/>
          <w:sz w:val="24"/>
          <w:szCs w:val="24"/>
        </w:rPr>
        <w:t xml:space="preserve"> findings are as follows.  For the full period</w:t>
      </w:r>
      <w:r>
        <w:rPr>
          <w:rFonts w:ascii="Times New Roman" w:hAnsi="Times New Roman"/>
          <w:sz w:val="24"/>
          <w:szCs w:val="24"/>
        </w:rPr>
        <w:t xml:space="preserve"> and for two sub-periods, we</w:t>
      </w:r>
      <w:r w:rsidRPr="000E6048">
        <w:rPr>
          <w:rFonts w:ascii="Times New Roman" w:hAnsi="Times New Roman"/>
          <w:sz w:val="24"/>
          <w:szCs w:val="24"/>
        </w:rPr>
        <w:t xml:space="preserve"> find that the benefits of international diversification can be comprehensively exhausted via all of the replicating portfolios.  </w:t>
      </w:r>
      <w:r w:rsidR="002B6A96">
        <w:rPr>
          <w:rFonts w:ascii="Times New Roman" w:hAnsi="Times New Roman"/>
          <w:sz w:val="24"/>
          <w:szCs w:val="24"/>
        </w:rPr>
        <w:t>When</w:t>
      </w:r>
      <w:r w:rsidRPr="000E6048">
        <w:rPr>
          <w:rFonts w:ascii="Times New Roman" w:hAnsi="Times New Roman"/>
          <w:sz w:val="24"/>
          <w:szCs w:val="24"/>
        </w:rPr>
        <w:t xml:space="preserve"> all products are included, ADRs, iShares or CCFs have the largest weighting for 31 of the 37 countries.  Prior to 2003, the US outperforms almost all foreign country indices.  In the period 2003 to 2007, the US underperforms most foreign country indices and in the period after 2007, developed markets underperform and emerging markets outperform the US.   When the US underperforms foreign country indices</w:t>
      </w:r>
      <w:r>
        <w:rPr>
          <w:rFonts w:ascii="Times New Roman" w:hAnsi="Times New Roman"/>
          <w:sz w:val="24"/>
          <w:szCs w:val="24"/>
        </w:rPr>
        <w:t xml:space="preserve"> between 2003 and 2007</w:t>
      </w:r>
      <w:r w:rsidRPr="000E6048">
        <w:rPr>
          <w:rFonts w:ascii="Times New Roman" w:hAnsi="Times New Roman"/>
          <w:sz w:val="24"/>
          <w:szCs w:val="24"/>
        </w:rPr>
        <w:t xml:space="preserve">, </w:t>
      </w:r>
      <w:r w:rsidR="007303F5">
        <w:rPr>
          <w:rFonts w:ascii="Times New Roman" w:hAnsi="Times New Roman"/>
          <w:sz w:val="24"/>
          <w:szCs w:val="24"/>
        </w:rPr>
        <w:t xml:space="preserve">many </w:t>
      </w:r>
      <w:r w:rsidRPr="000E6048">
        <w:rPr>
          <w:rFonts w:ascii="Times New Roman" w:hAnsi="Times New Roman"/>
          <w:sz w:val="24"/>
          <w:szCs w:val="24"/>
        </w:rPr>
        <w:t xml:space="preserve">portfolios which do not include ADRs, iShares and CCFs, do not exhaust the benefits of diversifying internationally.  Portfolios which </w:t>
      </w:r>
      <w:r w:rsidR="00CD4B7C">
        <w:rPr>
          <w:rFonts w:ascii="Times New Roman" w:hAnsi="Times New Roman"/>
          <w:sz w:val="24"/>
          <w:szCs w:val="24"/>
        </w:rPr>
        <w:t>include all products</w:t>
      </w:r>
      <w:r w:rsidRPr="000E6048">
        <w:rPr>
          <w:rFonts w:ascii="Times New Roman" w:hAnsi="Times New Roman"/>
          <w:sz w:val="24"/>
          <w:szCs w:val="24"/>
        </w:rPr>
        <w:t xml:space="preserve"> span the foreign market indices in almost all cases.  </w:t>
      </w:r>
      <w:r w:rsidR="004B0BB8">
        <w:rPr>
          <w:rFonts w:ascii="Times New Roman" w:hAnsi="Times New Roman"/>
          <w:sz w:val="24"/>
          <w:szCs w:val="24"/>
        </w:rPr>
        <w:t>Our</w:t>
      </w:r>
      <w:r w:rsidRPr="000E6048">
        <w:rPr>
          <w:rFonts w:ascii="Times New Roman" w:hAnsi="Times New Roman"/>
          <w:sz w:val="24"/>
          <w:szCs w:val="24"/>
        </w:rPr>
        <w:t xml:space="preserve"> results suggest that US-traded products provide an excellent source of foreign equity exposure and that trading overseas is no longer necessary.  While the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et al. (1999)", "previouslyFormattedCitation" : "(Errunza et al., 1999)"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Errunza et al. (1999)</w:t>
      </w:r>
      <w:r w:rsidRPr="000E6048">
        <w:rPr>
          <w:rFonts w:ascii="Times New Roman" w:hAnsi="Times New Roman"/>
          <w:sz w:val="24"/>
          <w:szCs w:val="24"/>
        </w:rPr>
        <w:fldChar w:fldCharType="end"/>
      </w:r>
      <w:r w:rsidRPr="000E6048">
        <w:rPr>
          <w:rFonts w:ascii="Times New Roman" w:hAnsi="Times New Roman"/>
          <w:sz w:val="24"/>
          <w:szCs w:val="24"/>
        </w:rPr>
        <w:t xml:space="preserve"> study finds that the diversification benefits can be exhausted domes</w:t>
      </w:r>
      <w:r w:rsidR="004B0BB8">
        <w:rPr>
          <w:rFonts w:ascii="Times New Roman" w:hAnsi="Times New Roman"/>
          <w:sz w:val="24"/>
          <w:szCs w:val="24"/>
        </w:rPr>
        <w:t>tically for 11 of 16 countries we</w:t>
      </w:r>
      <w:r w:rsidRPr="000E6048">
        <w:rPr>
          <w:rFonts w:ascii="Times New Roman" w:hAnsi="Times New Roman"/>
          <w:sz w:val="24"/>
          <w:szCs w:val="24"/>
        </w:rPr>
        <w:t xml:space="preserve"> find that they can be exha</w:t>
      </w:r>
      <w:r w:rsidR="004B0BB8">
        <w:rPr>
          <w:rFonts w:ascii="Times New Roman" w:hAnsi="Times New Roman"/>
          <w:sz w:val="24"/>
          <w:szCs w:val="24"/>
        </w:rPr>
        <w:t>usted for all 37 countries in our</w:t>
      </w:r>
      <w:r w:rsidRPr="000E6048">
        <w:rPr>
          <w:rFonts w:ascii="Times New Roman" w:hAnsi="Times New Roman"/>
          <w:sz w:val="24"/>
          <w:szCs w:val="24"/>
        </w:rPr>
        <w:t xml:space="preserve"> sample.  </w:t>
      </w:r>
    </w:p>
    <w:p w14:paraId="5581EAE6" w14:textId="77777777" w:rsidR="00FD0722" w:rsidRPr="006A660F" w:rsidRDefault="00F02E1B" w:rsidP="00CD4B7C">
      <w:pPr>
        <w:spacing w:line="360" w:lineRule="auto"/>
        <w:jc w:val="both"/>
        <w:rPr>
          <w:rFonts w:ascii="Times New Roman" w:eastAsiaTheme="majorEastAsia" w:hAnsi="Times New Roman" w:cs="Times New Roman"/>
          <w:b/>
          <w:bCs/>
          <w:color w:val="365F91" w:themeColor="accent1" w:themeShade="BF"/>
          <w:sz w:val="24"/>
          <w:szCs w:val="24"/>
        </w:rPr>
      </w:pPr>
      <w:r w:rsidRPr="006A660F">
        <w:rPr>
          <w:rFonts w:ascii="Times New Roman" w:hAnsi="Times New Roman" w:cs="Times New Roman"/>
          <w:sz w:val="24"/>
          <w:szCs w:val="24"/>
        </w:rPr>
        <w:t>The remainder of the paper is structured as follows.</w:t>
      </w:r>
      <w:r w:rsidR="004716A8" w:rsidRPr="006A660F">
        <w:rPr>
          <w:rFonts w:ascii="Times New Roman" w:hAnsi="Times New Roman" w:cs="Times New Roman"/>
          <w:sz w:val="24"/>
          <w:szCs w:val="24"/>
        </w:rPr>
        <w:t xml:space="preserve">  In </w:t>
      </w:r>
      <w:r w:rsidRPr="006A660F">
        <w:rPr>
          <w:rFonts w:ascii="Times New Roman" w:hAnsi="Times New Roman" w:cs="Times New Roman"/>
          <w:sz w:val="24"/>
          <w:szCs w:val="24"/>
        </w:rPr>
        <w:t xml:space="preserve">Section 2 </w:t>
      </w:r>
      <w:r w:rsidR="004716A8" w:rsidRPr="006A660F">
        <w:rPr>
          <w:rFonts w:ascii="Times New Roman" w:hAnsi="Times New Roman" w:cs="Times New Roman"/>
          <w:sz w:val="24"/>
          <w:szCs w:val="24"/>
        </w:rPr>
        <w:t>we review the literature</w:t>
      </w:r>
      <w:r w:rsidRPr="006A660F">
        <w:rPr>
          <w:rFonts w:ascii="Times New Roman" w:hAnsi="Times New Roman" w:cs="Times New Roman"/>
          <w:sz w:val="24"/>
          <w:szCs w:val="24"/>
        </w:rPr>
        <w:t xml:space="preserve"> in the area of the international diversification benefits of US equity products.  </w:t>
      </w:r>
      <w:r w:rsidR="004716A8" w:rsidRPr="006A660F">
        <w:rPr>
          <w:rFonts w:ascii="Times New Roman" w:hAnsi="Times New Roman" w:cs="Times New Roman"/>
          <w:sz w:val="24"/>
          <w:szCs w:val="24"/>
        </w:rPr>
        <w:t xml:space="preserve">In </w:t>
      </w:r>
      <w:r w:rsidRPr="006A660F">
        <w:rPr>
          <w:rFonts w:ascii="Times New Roman" w:hAnsi="Times New Roman" w:cs="Times New Roman"/>
          <w:sz w:val="24"/>
          <w:szCs w:val="24"/>
        </w:rPr>
        <w:t xml:space="preserve">Section 3 </w:t>
      </w:r>
      <w:r w:rsidR="004716A8" w:rsidRPr="006A660F">
        <w:rPr>
          <w:rFonts w:ascii="Times New Roman" w:hAnsi="Times New Roman" w:cs="Times New Roman"/>
          <w:sz w:val="24"/>
          <w:szCs w:val="24"/>
        </w:rPr>
        <w:t xml:space="preserve">we describe </w:t>
      </w:r>
      <w:r w:rsidR="004716A8" w:rsidRPr="006A660F">
        <w:rPr>
          <w:rFonts w:ascii="Times New Roman" w:hAnsi="Times New Roman" w:cs="Times New Roman"/>
          <w:sz w:val="24"/>
          <w:szCs w:val="24"/>
        </w:rPr>
        <w:lastRenderedPageBreak/>
        <w:t xml:space="preserve">the data used.  </w:t>
      </w:r>
      <w:r w:rsidRPr="006A660F">
        <w:rPr>
          <w:rFonts w:ascii="Times New Roman" w:hAnsi="Times New Roman" w:cs="Times New Roman"/>
          <w:sz w:val="24"/>
          <w:szCs w:val="24"/>
        </w:rPr>
        <w:t xml:space="preserve">Section 4 details our methodology.  </w:t>
      </w:r>
      <w:r w:rsidR="004716A8" w:rsidRPr="006A660F">
        <w:rPr>
          <w:rFonts w:ascii="Times New Roman" w:hAnsi="Times New Roman" w:cs="Times New Roman"/>
          <w:sz w:val="24"/>
          <w:szCs w:val="24"/>
        </w:rPr>
        <w:t xml:space="preserve">In </w:t>
      </w:r>
      <w:r w:rsidRPr="006A660F">
        <w:rPr>
          <w:rFonts w:ascii="Times New Roman" w:hAnsi="Times New Roman" w:cs="Times New Roman"/>
          <w:sz w:val="24"/>
          <w:szCs w:val="24"/>
        </w:rPr>
        <w:t xml:space="preserve">Section 5 </w:t>
      </w:r>
      <w:r w:rsidR="004716A8" w:rsidRPr="006A660F">
        <w:rPr>
          <w:rFonts w:ascii="Times New Roman" w:hAnsi="Times New Roman" w:cs="Times New Roman"/>
          <w:sz w:val="24"/>
          <w:szCs w:val="24"/>
        </w:rPr>
        <w:t>we present</w:t>
      </w:r>
      <w:r w:rsidR="00CD4B7C">
        <w:rPr>
          <w:rFonts w:ascii="Times New Roman" w:hAnsi="Times New Roman" w:cs="Times New Roman"/>
          <w:sz w:val="24"/>
          <w:szCs w:val="24"/>
        </w:rPr>
        <w:t xml:space="preserve"> our results and finally in S</w:t>
      </w:r>
      <w:r w:rsidRPr="006A660F">
        <w:rPr>
          <w:rFonts w:ascii="Times New Roman" w:hAnsi="Times New Roman" w:cs="Times New Roman"/>
          <w:sz w:val="24"/>
          <w:szCs w:val="24"/>
        </w:rPr>
        <w:t>ection 6 we summarize our findings and describe our conclusions.</w:t>
      </w:r>
    </w:p>
    <w:p w14:paraId="741D5FE7" w14:textId="77777777" w:rsidR="00662849" w:rsidRPr="00CA4E0C" w:rsidRDefault="00F02E1B" w:rsidP="0087397F">
      <w:pPr>
        <w:pStyle w:val="Heading1"/>
        <w:spacing w:line="360" w:lineRule="auto"/>
        <w:rPr>
          <w:rFonts w:ascii="Times New Roman" w:hAnsi="Times New Roman" w:cs="Times New Roman"/>
          <w:sz w:val="24"/>
          <w:szCs w:val="24"/>
        </w:rPr>
      </w:pPr>
      <w:r w:rsidRPr="00CA4E0C">
        <w:rPr>
          <w:rFonts w:ascii="Times New Roman" w:hAnsi="Times New Roman" w:cs="Times New Roman"/>
          <w:sz w:val="24"/>
          <w:szCs w:val="24"/>
        </w:rPr>
        <w:t xml:space="preserve">2. </w:t>
      </w:r>
      <w:r w:rsidR="00662849" w:rsidRPr="00CA4E0C">
        <w:rPr>
          <w:rFonts w:ascii="Times New Roman" w:hAnsi="Times New Roman" w:cs="Times New Roman"/>
          <w:sz w:val="24"/>
          <w:szCs w:val="24"/>
        </w:rPr>
        <w:t>Literature Review</w:t>
      </w:r>
      <w:r w:rsidR="00C10443" w:rsidRPr="00CA4E0C">
        <w:rPr>
          <w:rFonts w:ascii="Times New Roman" w:hAnsi="Times New Roman" w:cs="Times New Roman"/>
          <w:sz w:val="24"/>
          <w:szCs w:val="24"/>
        </w:rPr>
        <w:t xml:space="preserve"> </w:t>
      </w:r>
    </w:p>
    <w:p w14:paraId="25F525C5" w14:textId="77777777" w:rsidR="00264735" w:rsidRPr="008B4465" w:rsidRDefault="004B0BB8" w:rsidP="009E0B56">
      <w:pPr>
        <w:spacing w:line="360" w:lineRule="auto"/>
        <w:jc w:val="both"/>
        <w:rPr>
          <w:rFonts w:ascii="Times New Roman" w:hAnsi="Times New Roman"/>
          <w:color w:val="FF0000"/>
          <w:sz w:val="24"/>
          <w:szCs w:val="24"/>
          <w:lang w:val="en-GB"/>
        </w:rPr>
      </w:pPr>
      <w:r w:rsidRPr="000E6048">
        <w:rPr>
          <w:rStyle w:val="apple-style-span"/>
          <w:rFonts w:ascii="Times New Roman" w:hAnsi="Times New Roman"/>
          <w:sz w:val="24"/>
          <w:szCs w:val="24"/>
          <w:shd w:val="clear" w:color="auto" w:fill="FFFFFF"/>
        </w:rPr>
        <w:t>The benefits of international portfolio diversification have long been highlighted throughout the literature</w:t>
      </w:r>
      <w:r w:rsidR="006B143E" w:rsidRPr="00CA4E0C">
        <w:rPr>
          <w:rFonts w:ascii="Times New Roman" w:hAnsi="Times New Roman" w:cs="Times New Roman"/>
          <w:sz w:val="24"/>
          <w:szCs w:val="24"/>
          <w:lang w:val="en-GB"/>
        </w:rPr>
        <w:t xml:space="preserve">.  </w:t>
      </w:r>
      <w:r w:rsidR="00264735">
        <w:rPr>
          <w:rStyle w:val="apple-style-span"/>
          <w:rFonts w:ascii="Times New Roman" w:hAnsi="Times New Roman"/>
          <w:sz w:val="24"/>
          <w:szCs w:val="24"/>
          <w:shd w:val="clear" w:color="auto" w:fill="FFFFFF"/>
        </w:rPr>
        <w:fldChar w:fldCharType="begin" w:fldLock="1"/>
      </w:r>
      <w:r w:rsidR="00CE6362">
        <w:rPr>
          <w:rStyle w:val="apple-style-span"/>
          <w:rFonts w:ascii="Times New Roman" w:hAnsi="Times New Roman"/>
          <w:sz w:val="24"/>
          <w:szCs w:val="24"/>
          <w:shd w:val="clear" w:color="auto" w:fill="FFFFFF"/>
        </w:rPr>
        <w:instrText>ADDIN CSL_CITATION { "citationItems" : [ { "id" : "ITEM-1", "itemData" : { "author" : [ { "dropping-particle" : "", "family" : "Grubel", "given" : "Herbert G.", "non-dropping-particle" : "", "parse-names" : false, "suffix" : "" } ], "container-title" : "The American Economic Review", "id" : "ITEM-1", "issue" : "5", "issued" : { "date-parts" : [ [ "1968" ] ] }, "page" : "1299 - 1314", "publisher" : "American Economic Association", "title" : "Internationally Diversified Portfolios: Welfare Gains and Capital Flows", "type" : "article-journal", "volume" : "58" }, "uris" : [ "http://www.mendeley.com/documents/?uuid=f92e38d6-cd3c-4626-b6f1-fa8fe68ac2d3" ] } ], "mendeley" : { "manualFormatting" : "Grubel (1968)", "previouslyFormattedCitation" : "(Grubel, 1968)" }, "properties" : { "noteIndex" : 0 }, "schema" : "https://github.com/citation-style-language/schema/raw/master/csl-citation.json" }</w:instrText>
      </w:r>
      <w:r w:rsidR="00264735">
        <w:rPr>
          <w:rStyle w:val="apple-style-span"/>
          <w:rFonts w:ascii="Times New Roman" w:hAnsi="Times New Roman"/>
          <w:sz w:val="24"/>
          <w:szCs w:val="24"/>
          <w:shd w:val="clear" w:color="auto" w:fill="FFFFFF"/>
        </w:rPr>
        <w:fldChar w:fldCharType="separate"/>
      </w:r>
      <w:r w:rsidR="00264735">
        <w:rPr>
          <w:rStyle w:val="apple-style-span"/>
          <w:rFonts w:ascii="Times New Roman" w:hAnsi="Times New Roman"/>
          <w:noProof/>
          <w:sz w:val="24"/>
          <w:szCs w:val="24"/>
          <w:shd w:val="clear" w:color="auto" w:fill="FFFFFF"/>
        </w:rPr>
        <w:t>Grubel</w:t>
      </w:r>
      <w:r w:rsidR="00264735" w:rsidRPr="00D6548C">
        <w:rPr>
          <w:rStyle w:val="apple-style-span"/>
          <w:rFonts w:ascii="Times New Roman" w:hAnsi="Times New Roman"/>
          <w:noProof/>
          <w:sz w:val="24"/>
          <w:szCs w:val="24"/>
          <w:shd w:val="clear" w:color="auto" w:fill="FFFFFF"/>
        </w:rPr>
        <w:t xml:space="preserve"> </w:t>
      </w:r>
      <w:r w:rsidR="00264735">
        <w:rPr>
          <w:rStyle w:val="apple-style-span"/>
          <w:rFonts w:ascii="Times New Roman" w:hAnsi="Times New Roman"/>
          <w:noProof/>
          <w:sz w:val="24"/>
          <w:szCs w:val="24"/>
          <w:shd w:val="clear" w:color="auto" w:fill="FFFFFF"/>
        </w:rPr>
        <w:t>(</w:t>
      </w:r>
      <w:r w:rsidR="00264735" w:rsidRPr="00D6548C">
        <w:rPr>
          <w:rStyle w:val="apple-style-span"/>
          <w:rFonts w:ascii="Times New Roman" w:hAnsi="Times New Roman"/>
          <w:noProof/>
          <w:sz w:val="24"/>
          <w:szCs w:val="24"/>
          <w:shd w:val="clear" w:color="auto" w:fill="FFFFFF"/>
        </w:rPr>
        <w:t>1968)</w:t>
      </w:r>
      <w:r w:rsidR="00264735">
        <w:rPr>
          <w:rStyle w:val="apple-style-span"/>
          <w:rFonts w:ascii="Times New Roman" w:hAnsi="Times New Roman"/>
          <w:sz w:val="24"/>
          <w:szCs w:val="24"/>
          <w:shd w:val="clear" w:color="auto" w:fill="FFFFFF"/>
        </w:rPr>
        <w:fldChar w:fldCharType="end"/>
      </w:r>
      <w:r w:rsidR="00264735">
        <w:rPr>
          <w:rStyle w:val="apple-style-span"/>
          <w:rFonts w:ascii="Times New Roman" w:hAnsi="Times New Roman"/>
          <w:sz w:val="24"/>
          <w:szCs w:val="24"/>
          <w:shd w:val="clear" w:color="auto" w:fill="FFFFFF"/>
        </w:rPr>
        <w:t xml:space="preserve"> finds substantial international diversification benefits for US investors with countries furthest from the US</w:t>
      </w:r>
      <w:r w:rsidR="009E0B56">
        <w:rPr>
          <w:rStyle w:val="apple-style-span"/>
          <w:rFonts w:ascii="Times New Roman" w:hAnsi="Times New Roman"/>
          <w:sz w:val="24"/>
          <w:szCs w:val="24"/>
          <w:shd w:val="clear" w:color="auto" w:fill="FFFFFF"/>
        </w:rPr>
        <w:t xml:space="preserve"> providing greatest benefit</w:t>
      </w:r>
      <w:r w:rsidR="00264735">
        <w:rPr>
          <w:rStyle w:val="apple-style-span"/>
          <w:rFonts w:ascii="Times New Roman" w:hAnsi="Times New Roman"/>
          <w:sz w:val="24"/>
          <w:szCs w:val="24"/>
          <w:shd w:val="clear" w:color="auto" w:fill="FFFFFF"/>
        </w:rPr>
        <w:t xml:space="preserve">.  </w:t>
      </w:r>
      <w:r w:rsidR="00264735">
        <w:rPr>
          <w:rStyle w:val="apple-style-span"/>
          <w:rFonts w:ascii="Times New Roman" w:hAnsi="Times New Roman"/>
          <w:sz w:val="24"/>
          <w:szCs w:val="24"/>
          <w:shd w:val="clear" w:color="auto" w:fill="FFFFFF"/>
        </w:rPr>
        <w:fldChar w:fldCharType="begin" w:fldLock="1"/>
      </w:r>
      <w:r w:rsidR="00CE6362">
        <w:rPr>
          <w:rStyle w:val="apple-style-span"/>
          <w:rFonts w:ascii="Times New Roman" w:hAnsi="Times New Roman"/>
          <w:sz w:val="24"/>
          <w:szCs w:val="24"/>
          <w:shd w:val="clear" w:color="auto" w:fill="FFFFFF"/>
        </w:rPr>
        <w:instrText>ADDIN CSL_CITATION { "citationItems" : [ { "id" : "ITEM-1", "itemData" : { "author" : [ { "dropping-particle" : "", "family" : "Levy", "given" : "Haim", "non-dropping-particle" : "", "parse-names" : false, "suffix" : "" }, { "dropping-particle" : "", "family" : "Sarnat", "given" : "Marshall", "non-dropping-particle" : "", "parse-names" : false, "suffix" : "" } ], "container-title" : "The American Economic Review", "id" : "ITEM-1", "issue" : "4", "issued" : { "date-parts" : [ [ "1970" ] ] }, "page" : "668 - 675", "title" : "International Diversification of Investment Portfolios", "type" : "article-journal", "volume" : "60" }, "uris" : [ "http://www.mendeley.com/documents/?uuid=744d53c7-4628-4b3d-bee8-697c28ac82bb" ] } ], "mendeley" : { "manualFormatting" : "Levy &amp; Sarnat (1970)", "previouslyFormattedCitation" : "(Levy &amp; Sarnat, 1970)" }, "properties" : { "noteIndex" : 0 }, "schema" : "https://github.com/citation-style-language/schema/raw/master/csl-citation.json" }</w:instrText>
      </w:r>
      <w:r w:rsidR="00264735">
        <w:rPr>
          <w:rStyle w:val="apple-style-span"/>
          <w:rFonts w:ascii="Times New Roman" w:hAnsi="Times New Roman"/>
          <w:sz w:val="24"/>
          <w:szCs w:val="24"/>
          <w:shd w:val="clear" w:color="auto" w:fill="FFFFFF"/>
        </w:rPr>
        <w:fldChar w:fldCharType="separate"/>
      </w:r>
      <w:r w:rsidR="00264735">
        <w:rPr>
          <w:rStyle w:val="apple-style-span"/>
          <w:rFonts w:ascii="Times New Roman" w:hAnsi="Times New Roman"/>
          <w:noProof/>
          <w:sz w:val="24"/>
          <w:szCs w:val="24"/>
          <w:shd w:val="clear" w:color="auto" w:fill="FFFFFF"/>
        </w:rPr>
        <w:t>Levy &amp; Sarnat</w:t>
      </w:r>
      <w:r w:rsidR="00264735" w:rsidRPr="00A943F5">
        <w:rPr>
          <w:rStyle w:val="apple-style-span"/>
          <w:rFonts w:ascii="Times New Roman" w:hAnsi="Times New Roman"/>
          <w:noProof/>
          <w:sz w:val="24"/>
          <w:szCs w:val="24"/>
          <w:shd w:val="clear" w:color="auto" w:fill="FFFFFF"/>
        </w:rPr>
        <w:t xml:space="preserve"> </w:t>
      </w:r>
      <w:r w:rsidR="00264735">
        <w:rPr>
          <w:rStyle w:val="apple-style-span"/>
          <w:rFonts w:ascii="Times New Roman" w:hAnsi="Times New Roman"/>
          <w:noProof/>
          <w:sz w:val="24"/>
          <w:szCs w:val="24"/>
          <w:shd w:val="clear" w:color="auto" w:fill="FFFFFF"/>
        </w:rPr>
        <w:t>(</w:t>
      </w:r>
      <w:r w:rsidR="00264735" w:rsidRPr="00A943F5">
        <w:rPr>
          <w:rStyle w:val="apple-style-span"/>
          <w:rFonts w:ascii="Times New Roman" w:hAnsi="Times New Roman"/>
          <w:noProof/>
          <w:sz w:val="24"/>
          <w:szCs w:val="24"/>
          <w:shd w:val="clear" w:color="auto" w:fill="FFFFFF"/>
        </w:rPr>
        <w:t>1970)</w:t>
      </w:r>
      <w:r w:rsidR="00264735">
        <w:rPr>
          <w:rStyle w:val="apple-style-span"/>
          <w:rFonts w:ascii="Times New Roman" w:hAnsi="Times New Roman"/>
          <w:sz w:val="24"/>
          <w:szCs w:val="24"/>
          <w:shd w:val="clear" w:color="auto" w:fill="FFFFFF"/>
        </w:rPr>
        <w:fldChar w:fldCharType="end"/>
      </w:r>
      <w:r w:rsidR="00264735">
        <w:rPr>
          <w:rStyle w:val="apple-style-span"/>
          <w:rFonts w:ascii="Times New Roman" w:hAnsi="Times New Roman"/>
          <w:sz w:val="24"/>
          <w:szCs w:val="24"/>
          <w:shd w:val="clear" w:color="auto" w:fill="FFFFFF"/>
        </w:rPr>
        <w:t xml:space="preserve"> find investment in emerging market countries to be of particular benefit to US investors.  </w:t>
      </w:r>
      <w:r w:rsidR="00264735">
        <w:rPr>
          <w:rStyle w:val="apple-style-span"/>
          <w:rFonts w:ascii="Times New Roman" w:hAnsi="Times New Roman"/>
          <w:sz w:val="24"/>
          <w:szCs w:val="24"/>
          <w:shd w:val="clear" w:color="auto" w:fill="FFFFFF"/>
        </w:rPr>
        <w:fldChar w:fldCharType="begin" w:fldLock="1"/>
      </w:r>
      <w:r w:rsidR="00CE6362">
        <w:rPr>
          <w:rStyle w:val="apple-style-span"/>
          <w:rFonts w:ascii="Times New Roman" w:hAnsi="Times New Roman"/>
          <w:sz w:val="24"/>
          <w:szCs w:val="24"/>
          <w:shd w:val="clear" w:color="auto" w:fill="FFFFFF"/>
        </w:rPr>
        <w:instrText>ADDIN CSL_CITATION { "citationItems" : [ { "id" : "ITEM-1", "itemData" : { "abstract" : "Because total risk for a portfolio declines, not only with the number of securities included, but with the degree of independence among these securities, substantial risk reduction results from diversifying a portfolio across foreign, as well as domestic, common stocks.", "author" : [ { "dropping-particle" : "", "family" : "Solnik", "given" : "Bruno H.", "non-dropping-particle" : "", "parse-names" : false, "suffix" : "" } ], "container-title" : "Financial Analysts Journal", "id" : "ITEM-1", "issue" : "4", "issued" : { "date-parts" : [ [ "1974", "10" ] ] }, "page" : "48-52", "publisher" : "The Financial Analysts Federation", "title" : "Why Not Diversify Internationally Rather than Domestically?", "type" : "article-journal", "volume" : "30" }, "uris" : [ "http://www.mendeley.com/documents/?uuid=0e91a126-8a92-4603-a022-2ac7a03821eb" ] } ], "mendeley" : { "manualFormatting" : "Solnik (1974)", "previouslyFormattedCitation" : "(Solnik, 1974)" }, "properties" : { "noteIndex" : 0 }, "schema" : "https://github.com/citation-style-language/schema/raw/master/csl-citation.json" }</w:instrText>
      </w:r>
      <w:r w:rsidR="00264735">
        <w:rPr>
          <w:rStyle w:val="apple-style-span"/>
          <w:rFonts w:ascii="Times New Roman" w:hAnsi="Times New Roman"/>
          <w:sz w:val="24"/>
          <w:szCs w:val="24"/>
          <w:shd w:val="clear" w:color="auto" w:fill="FFFFFF"/>
        </w:rPr>
        <w:fldChar w:fldCharType="separate"/>
      </w:r>
      <w:r w:rsidR="00264735">
        <w:rPr>
          <w:rStyle w:val="apple-style-span"/>
          <w:rFonts w:ascii="Times New Roman" w:hAnsi="Times New Roman"/>
          <w:noProof/>
          <w:sz w:val="24"/>
          <w:szCs w:val="24"/>
          <w:shd w:val="clear" w:color="auto" w:fill="FFFFFF"/>
        </w:rPr>
        <w:t>Solnik (</w:t>
      </w:r>
      <w:r w:rsidR="00264735" w:rsidRPr="00A943F5">
        <w:rPr>
          <w:rStyle w:val="apple-style-span"/>
          <w:rFonts w:ascii="Times New Roman" w:hAnsi="Times New Roman"/>
          <w:noProof/>
          <w:sz w:val="24"/>
          <w:szCs w:val="24"/>
          <w:shd w:val="clear" w:color="auto" w:fill="FFFFFF"/>
        </w:rPr>
        <w:t>1974)</w:t>
      </w:r>
      <w:r w:rsidR="00264735">
        <w:rPr>
          <w:rStyle w:val="apple-style-span"/>
          <w:rFonts w:ascii="Times New Roman" w:hAnsi="Times New Roman"/>
          <w:sz w:val="24"/>
          <w:szCs w:val="24"/>
          <w:shd w:val="clear" w:color="auto" w:fill="FFFFFF"/>
        </w:rPr>
        <w:fldChar w:fldCharType="end"/>
      </w:r>
      <w:r w:rsidR="00264735">
        <w:rPr>
          <w:rStyle w:val="apple-style-span"/>
          <w:rFonts w:ascii="Times New Roman" w:hAnsi="Times New Roman"/>
          <w:sz w:val="24"/>
          <w:szCs w:val="24"/>
          <w:shd w:val="clear" w:color="auto" w:fill="FFFFFF"/>
        </w:rPr>
        <w:t xml:space="preserve"> </w:t>
      </w:r>
      <w:r w:rsidR="0045524C">
        <w:rPr>
          <w:rStyle w:val="apple-style-span"/>
          <w:rFonts w:ascii="Times New Roman" w:hAnsi="Times New Roman"/>
          <w:sz w:val="24"/>
          <w:szCs w:val="24"/>
          <w:shd w:val="clear" w:color="auto" w:fill="FFFFFF"/>
        </w:rPr>
        <w:t xml:space="preserve">and </w:t>
      </w:r>
      <w:r w:rsidR="0045524C">
        <w:rPr>
          <w:rStyle w:val="apple-style-span"/>
          <w:rFonts w:ascii="Times New Roman" w:hAnsi="Times New Roman"/>
          <w:sz w:val="24"/>
          <w:szCs w:val="24"/>
          <w:shd w:val="clear" w:color="auto" w:fill="FFFFFF"/>
        </w:rPr>
        <w:fldChar w:fldCharType="begin" w:fldLock="1"/>
      </w:r>
      <w:r w:rsidR="00CE6362">
        <w:rPr>
          <w:rStyle w:val="apple-style-span"/>
          <w:rFonts w:ascii="Times New Roman" w:hAnsi="Times New Roman"/>
          <w:sz w:val="24"/>
          <w:szCs w:val="24"/>
          <w:shd w:val="clear" w:color="auto" w:fill="FFFFFF"/>
        </w:rPr>
        <w:instrText>ADDIN CSL_CITATION { "citationItems" : [ { "id" : "ITEM-1", "itemData" : { "author" : [ { "dropping-particle" : "", "family" : "Lessard", "given" : "Donald R.", "non-dropping-particle" : "", "parse-names" : false, "suffix" : "" } ], "container-title" : "The Journal of Finance", "id" : "ITEM-1", "issue" : "2", "issued" : { "date-parts" : [ [ "1974" ] ] }, "page" : "379 - 391", "publisher" : "Blackwell Publishing for the American Finance Association", "title" : "World, National, and Industry Factors in Equity Returns", "type" : "article-journal", "volume" : "29" }, "uris" : [ "http://www.mendeley.com/documents/?uuid=5987dfd7-2dfd-47fa-aa3b-7eef8c2457db" ] } ], "mendeley" : { "manualFormatting" : "Lessard (1974)", "previouslyFormattedCitation" : "(Lessard, 1974)" }, "properties" : { "noteIndex" : 0 }, "schema" : "https://github.com/citation-style-language/schema/raw/master/csl-citation.json" }</w:instrText>
      </w:r>
      <w:r w:rsidR="0045524C">
        <w:rPr>
          <w:rStyle w:val="apple-style-span"/>
          <w:rFonts w:ascii="Times New Roman" w:hAnsi="Times New Roman"/>
          <w:sz w:val="24"/>
          <w:szCs w:val="24"/>
          <w:shd w:val="clear" w:color="auto" w:fill="FFFFFF"/>
        </w:rPr>
        <w:fldChar w:fldCharType="separate"/>
      </w:r>
      <w:r w:rsidR="0045524C">
        <w:rPr>
          <w:rStyle w:val="apple-style-span"/>
          <w:rFonts w:ascii="Times New Roman" w:hAnsi="Times New Roman"/>
          <w:noProof/>
          <w:sz w:val="24"/>
          <w:szCs w:val="24"/>
          <w:shd w:val="clear" w:color="auto" w:fill="FFFFFF"/>
        </w:rPr>
        <w:t>Lessard (</w:t>
      </w:r>
      <w:r w:rsidR="0045524C" w:rsidRPr="00867968">
        <w:rPr>
          <w:rStyle w:val="apple-style-span"/>
          <w:rFonts w:ascii="Times New Roman" w:hAnsi="Times New Roman"/>
          <w:noProof/>
          <w:sz w:val="24"/>
          <w:szCs w:val="24"/>
          <w:shd w:val="clear" w:color="auto" w:fill="FFFFFF"/>
        </w:rPr>
        <w:t>1974)</w:t>
      </w:r>
      <w:r w:rsidR="0045524C">
        <w:rPr>
          <w:rStyle w:val="apple-style-span"/>
          <w:rFonts w:ascii="Times New Roman" w:hAnsi="Times New Roman"/>
          <w:sz w:val="24"/>
          <w:szCs w:val="24"/>
          <w:shd w:val="clear" w:color="auto" w:fill="FFFFFF"/>
        </w:rPr>
        <w:fldChar w:fldCharType="end"/>
      </w:r>
      <w:r w:rsidR="0045524C">
        <w:rPr>
          <w:rStyle w:val="apple-style-span"/>
          <w:rFonts w:ascii="Times New Roman" w:hAnsi="Times New Roman"/>
          <w:sz w:val="24"/>
          <w:szCs w:val="24"/>
          <w:shd w:val="clear" w:color="auto" w:fill="FFFFFF"/>
        </w:rPr>
        <w:t xml:space="preserve"> find</w:t>
      </w:r>
      <w:r w:rsidR="00264735">
        <w:rPr>
          <w:rStyle w:val="apple-style-span"/>
          <w:rFonts w:ascii="Times New Roman" w:hAnsi="Times New Roman"/>
          <w:sz w:val="24"/>
          <w:szCs w:val="24"/>
          <w:shd w:val="clear" w:color="auto" w:fill="FFFFFF"/>
        </w:rPr>
        <w:t xml:space="preserve"> that substantial risk reduction can be achieved by adding foreign county indices to a domestic portfolio.  </w:t>
      </w:r>
      <w:r w:rsidR="00264735"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"0022-1082", "abstract" : "We test the conditional capital asset pricing model (CAPM) for the world's eight largest equity markets using a parsimonious generalized autoregressive conditional heteroskedasticity (GARCH) parameterization. Our methodology can be applied simultaneously to many assets and, at the same time, accommodate general dynamics of the conditional moments. The evidence supports most of the pricing restrictions of the model, but some of the variation in risk-adjusted excess returns remains predictable during periods of high interest rates. Our estimates indicate that, although severe market declines are contagious, the expected gains from international diversification for a U.S. investor average 2.11 percent per year and have not significantly declined over the last two decades. [ABSTRACT FROM AUTHOR]", "author" : [ { "dropping-particle" : "", "family" : "Santis", "given" : "Giorgio", "non-dropping-particle" : "De", "parse-names" : false, "suffix" : "" }, { "dropping-particle" : "", "family" : "Gerard", "given" : "Bruno", "non-dropping-particle" : "", "parse-names" : false, "suffix" : "" } ], "container-title" : "Journal of Finance", "id" : "ITEM-1", "issue" : "5", "issued" : { "date-parts" : [ [ "1997" ] ] }, "page" : "1881-1912", "title" : "International Asset Pricing and Portfolio Diversification with Time-Varying Risk.", "type" : "article-journal", "volume" : "52" }, "uris" : [ "http://www.mendeley.com/documents/?uuid=1c35e955-1909-4809-942a-124cbd1d043f" ] } ], "mendeley" : { "manualFormatting" : "De Santis &amp; Gerard (1997)", "previouslyFormattedCitation" : "(De Santis &amp; Gerard, 1997)" }, "properties" : { "noteIndex" : 0 }, "schema" : "https://github.com/citation-style-language/schema/raw/master/csl-citation.json" }</w:instrText>
      </w:r>
      <w:r w:rsidR="00264735" w:rsidRPr="000E6048">
        <w:rPr>
          <w:rFonts w:ascii="Times New Roman" w:hAnsi="Times New Roman"/>
          <w:sz w:val="24"/>
          <w:szCs w:val="24"/>
          <w:lang w:val="en-GB"/>
        </w:rPr>
        <w:fldChar w:fldCharType="separate"/>
      </w:r>
      <w:r w:rsidR="00264735" w:rsidRPr="000E6048">
        <w:rPr>
          <w:rFonts w:ascii="Times New Roman" w:hAnsi="Times New Roman"/>
          <w:noProof/>
          <w:sz w:val="24"/>
          <w:szCs w:val="24"/>
          <w:lang w:val="en-GB"/>
        </w:rPr>
        <w:t>De Santis &amp; Gerard (1997)</w:t>
      </w:r>
      <w:r w:rsidR="00264735" w:rsidRPr="000E6048">
        <w:rPr>
          <w:rFonts w:ascii="Times New Roman" w:hAnsi="Times New Roman"/>
          <w:sz w:val="24"/>
          <w:szCs w:val="24"/>
          <w:lang w:val="en-GB"/>
        </w:rPr>
        <w:fldChar w:fldCharType="end"/>
      </w:r>
      <w:r w:rsidR="00264735" w:rsidRPr="000E6048">
        <w:rPr>
          <w:rFonts w:ascii="Times New Roman" w:hAnsi="Times New Roman"/>
          <w:sz w:val="24"/>
          <w:szCs w:val="24"/>
          <w:lang w:val="en-GB"/>
        </w:rPr>
        <w:t xml:space="preserve"> find that although contagion occurs in times of financial crises, the long-term gains from international diversification are substantial and not decreasing.  </w:t>
      </w:r>
      <w:r w:rsidR="00264735"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"author" : [ { "dropping-particle" : "", "family" : "Goetzmann, W. N., Li, L., &amp; Rouwenhorst", "given" : "K. G. (2001)", "non-dropping-particle" : "", "parse-names" : false, "suffix" : "" } ], "container-title" : "NBER Working Paper No. 8612", "id" : "ITEM-1", "issued" : { "date-parts" : [ [ "2001", "11", "1" ] ] }, "title" : "Long-Term Global Market Correlations", "type" : "article-journal" }, "uris" : [ "http://www.mendeley.com/documents/?uuid=172ecc91-120f-4888-914c-df293ff9023e" ] } ], "mendeley" : { "manualFormatting" : "Goetzmann, Li, &amp; Rouwenhorst (2001)", "previouslyFormattedCitation" : "(Goetzmann, W. N., Li, L., &amp; Rouwenhorst, 2001)" }, "properties" : { "noteIndex" : 0 }, "schema" : "https://github.com/citation-style-language/schema/raw/master/csl-citation.json" }</w:instrText>
      </w:r>
      <w:r w:rsidR="00264735" w:rsidRPr="000E6048">
        <w:rPr>
          <w:rFonts w:ascii="Times New Roman" w:hAnsi="Times New Roman"/>
          <w:sz w:val="24"/>
          <w:szCs w:val="24"/>
          <w:lang w:val="en-GB"/>
        </w:rPr>
        <w:fldChar w:fldCharType="separate"/>
      </w:r>
      <w:r w:rsidR="00264735" w:rsidRPr="000E6048">
        <w:rPr>
          <w:rFonts w:ascii="Times New Roman" w:hAnsi="Times New Roman"/>
          <w:noProof/>
          <w:sz w:val="24"/>
          <w:szCs w:val="24"/>
          <w:lang w:val="en-GB"/>
        </w:rPr>
        <w:t>Goetzmann, Li, &amp; Rouwenhorst (2001)</w:t>
      </w:r>
      <w:r w:rsidR="00264735" w:rsidRPr="000E6048">
        <w:rPr>
          <w:rFonts w:ascii="Times New Roman" w:hAnsi="Times New Roman"/>
          <w:sz w:val="24"/>
          <w:szCs w:val="24"/>
          <w:lang w:val="en-GB"/>
        </w:rPr>
        <w:fldChar w:fldCharType="end"/>
      </w:r>
      <w:r w:rsidR="00264735" w:rsidRPr="000E6048">
        <w:rPr>
          <w:rFonts w:ascii="Times New Roman" w:hAnsi="Times New Roman"/>
          <w:sz w:val="24"/>
          <w:szCs w:val="24"/>
          <w:lang w:val="en-GB"/>
        </w:rPr>
        <w:t xml:space="preserve"> suggest that globalisation brings with it both advantages and disadvantages; expanding the investment opportunity set but causing diversification benefits to rely increasingly on investment in peripher</w:t>
      </w:r>
      <w:r w:rsidR="00264735">
        <w:rPr>
          <w:rFonts w:ascii="Times New Roman" w:hAnsi="Times New Roman"/>
          <w:sz w:val="24"/>
          <w:szCs w:val="24"/>
          <w:lang w:val="en-GB"/>
        </w:rPr>
        <w:t xml:space="preserve">al markets.  </w:t>
      </w:r>
      <w:r w:rsidR="00264735"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"03784266", "abstract" : "We investigate how the benefits of international portfolio diversification differ across countries from the perspective of a local investor. We find that the benefits of investing abroad are largest for investors in developing countries, including when controlling for currency effects. Most of the benefits are obtained from investing outside the region of the home country. These global diversification benefits remain large when controlling for short-sales constraints in developing stock markets. The gains from international portfolio diversification appear to be largest for countries with high country risk. In addition to this cross-sectional evidence, we also provide evidence that diversification benefits vary over time as country risk changes. We find that diversification benefits have decreased for most countries in our sample over the past two decades.", "author" : [ { "dropping-particle" : "", "family" : "Driessen", "given" : "Joost", "non-dropping-particle" : "", "parse-names" : false, "suffix" : "" }, { "dropping-particle" : "", "family" : "Laeven", "given" : "Luc", "non-dropping-particle" : "", "parse-names" : false, "suffix" : "" } ], "container-title" : "Journal of Banking &amp; Finance", "id" : "ITEM-1", "issue" : "6", "issued" : { "date-parts" : [ [ "2007", "6" ] ] }, "page" : "1693-1712", "title" : "International portfolio diversification benefits: Cross-country evidence from a local perspective", "type" : "article-journal", "volume" : "31" }, "uris" : [ "http://www.mendeley.com/documents/?uuid=3244cf4f-bcf8-470f-8a02-dbf00e57ab80" ] } ], "mendeley" : { "manualFormatting" : "Driessen &amp; Laeven", "previouslyFormattedCitation" : "(Driessen &amp; Laeven, 2007)" }, "properties" : { "noteIndex" : 0 }, "schema" : "https://github.com/citation-style-language/schema/raw/master/csl-citation.json" }</w:instrText>
      </w:r>
      <w:r w:rsidR="00264735" w:rsidRPr="000E6048">
        <w:rPr>
          <w:rFonts w:ascii="Times New Roman" w:hAnsi="Times New Roman"/>
          <w:sz w:val="24"/>
          <w:szCs w:val="24"/>
          <w:lang w:val="en-GB"/>
        </w:rPr>
        <w:fldChar w:fldCharType="separate"/>
      </w:r>
      <w:r w:rsidR="00264735" w:rsidRPr="000E6048">
        <w:rPr>
          <w:rFonts w:ascii="Times New Roman" w:hAnsi="Times New Roman"/>
          <w:noProof/>
          <w:sz w:val="24"/>
          <w:szCs w:val="24"/>
          <w:lang w:val="en-GB"/>
        </w:rPr>
        <w:t>Driessen &amp; Laeven</w:t>
      </w:r>
      <w:r w:rsidR="00264735" w:rsidRPr="000E6048">
        <w:rPr>
          <w:rFonts w:ascii="Times New Roman" w:hAnsi="Times New Roman"/>
          <w:sz w:val="24"/>
          <w:szCs w:val="24"/>
          <w:lang w:val="en-GB"/>
        </w:rPr>
        <w:fldChar w:fldCharType="end"/>
      </w:r>
      <w:r w:rsidR="00264735">
        <w:rPr>
          <w:rFonts w:ascii="Times New Roman" w:hAnsi="Times New Roman"/>
          <w:sz w:val="24"/>
          <w:szCs w:val="24"/>
          <w:lang w:val="en-GB"/>
        </w:rPr>
        <w:t xml:space="preserve"> (2007) conduct a study of the diversification benefits of 52 countries, and find</w:t>
      </w:r>
      <w:r w:rsidR="00264735" w:rsidRPr="000E6048">
        <w:rPr>
          <w:rFonts w:ascii="Times New Roman" w:hAnsi="Times New Roman"/>
          <w:sz w:val="24"/>
          <w:szCs w:val="24"/>
          <w:lang w:val="en-GB"/>
        </w:rPr>
        <w:t xml:space="preserve"> that benefits exist for almost all of the</w:t>
      </w:r>
      <w:r w:rsidR="00264735">
        <w:rPr>
          <w:rFonts w:ascii="Times New Roman" w:hAnsi="Times New Roman"/>
          <w:sz w:val="24"/>
          <w:szCs w:val="24"/>
          <w:lang w:val="en-GB"/>
        </w:rPr>
        <w:t xml:space="preserve"> </w:t>
      </w:r>
      <w:r w:rsidR="00264735" w:rsidRPr="000E6048">
        <w:rPr>
          <w:rFonts w:ascii="Times New Roman" w:hAnsi="Times New Roman"/>
          <w:sz w:val="24"/>
          <w:szCs w:val="24"/>
          <w:lang w:val="en-GB"/>
        </w:rPr>
        <w:t xml:space="preserve">countries examined, but that the benefits are decreasing over time.  </w:t>
      </w:r>
      <w:r w:rsidR="00264735">
        <w:rPr>
          <w:rFonts w:ascii="Times New Roman" w:hAnsi="Times New Roman"/>
          <w:sz w:val="24"/>
          <w:szCs w:val="24"/>
          <w:lang w:val="en-GB"/>
        </w:rPr>
        <w:t xml:space="preserve">They find that most of the benefits are gained from investment outside the region in which each country is located.   </w:t>
      </w:r>
      <w:r w:rsidR="00264735"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"03784266", "abstract" : "Previous research claims that low constant correlations among international stock indices create substantial risk-reduction from diversification. We contend that only using constant correlations is too simplistic an approach. We examine international diversification by: (1) using conditional correlations, (2) evaluating tail risk, including the effect of skewness and kurtosis, and (3) examining the possible tradeoffs of standard deviation with correlation, skewness, and kurtosis. We show that conclusions concerning diversification based solely on constant correlations across markets can be misleading, since the diversification benefits are time-varying, are affected by non-normality, and depend on the benchmark (country) employed. Finally, tradeoffs do exist between standard deviation and the other risk factors.", "author" : [ { "dropping-particle" : "", "family" : "You", "given" : "Leyuan", "non-dropping-particle" : "", "parse-names" : false, "suffix" : "" }, { "dropping-particle" : "", "family" : "Daigler", "given" : "Robert T.", "non-dropping-particle" : "", "parse-names" : false, "suffix" : "" } ], "container-title" : "Journal of Banking &amp; Finance", "id" : "ITEM-1", "issue" : "1", "issued" : { "date-parts" : [ [ "2010", "1" ] ] }, "page" : "163-173", "title" : "Is international diversification really beneficial?", "type" : "article-journal", "volume" : "34" }, "uris" : [ "http://www.mendeley.com/documents/?uuid=28bbe907-71ab-4436-bafb-9531ad27b002" ] } ], "mendeley" : { "manualFormatting" : "You &amp; Daigler (2010)", "previouslyFormattedCitation" : "(You &amp; Daigler, 2010)" }, "properties" : { "noteIndex" : 0 }, "schema" : "https://github.com/citation-style-language/schema/raw/master/csl-citation.json" }</w:instrText>
      </w:r>
      <w:r w:rsidR="00264735" w:rsidRPr="000E6048">
        <w:rPr>
          <w:rFonts w:ascii="Times New Roman" w:hAnsi="Times New Roman"/>
          <w:sz w:val="24"/>
          <w:szCs w:val="24"/>
          <w:lang w:val="en-GB"/>
        </w:rPr>
        <w:fldChar w:fldCharType="separate"/>
      </w:r>
      <w:r w:rsidR="00264735" w:rsidRPr="000E6048">
        <w:rPr>
          <w:rFonts w:ascii="Times New Roman" w:hAnsi="Times New Roman"/>
          <w:noProof/>
          <w:sz w:val="24"/>
          <w:szCs w:val="24"/>
          <w:lang w:val="en-GB"/>
        </w:rPr>
        <w:t>You &amp; Daigler (2010)</w:t>
      </w:r>
      <w:r w:rsidR="00264735" w:rsidRPr="000E6048">
        <w:rPr>
          <w:rFonts w:ascii="Times New Roman" w:hAnsi="Times New Roman"/>
          <w:sz w:val="24"/>
          <w:szCs w:val="24"/>
          <w:lang w:val="en-GB"/>
        </w:rPr>
        <w:fldChar w:fldCharType="end"/>
      </w:r>
      <w:r w:rsidR="00264735" w:rsidRPr="000E6048">
        <w:rPr>
          <w:rFonts w:ascii="Times New Roman" w:hAnsi="Times New Roman"/>
          <w:sz w:val="24"/>
          <w:szCs w:val="24"/>
          <w:lang w:val="en-GB"/>
        </w:rPr>
        <w:t xml:space="preserve"> find that the benefits </w:t>
      </w:r>
      <w:r w:rsidR="0045524C">
        <w:rPr>
          <w:rFonts w:ascii="Times New Roman" w:hAnsi="Times New Roman"/>
          <w:sz w:val="24"/>
          <w:szCs w:val="24"/>
          <w:lang w:val="en-GB"/>
        </w:rPr>
        <w:t xml:space="preserve">of international diversification </w:t>
      </w:r>
      <w:r w:rsidR="00264735" w:rsidRPr="000E6048">
        <w:rPr>
          <w:rFonts w:ascii="Times New Roman" w:hAnsi="Times New Roman"/>
          <w:sz w:val="24"/>
          <w:szCs w:val="24"/>
          <w:lang w:val="en-GB"/>
        </w:rPr>
        <w:t xml:space="preserve">are time-varying and dependent upon the benchmark used.  </w:t>
      </w:r>
      <w:r w:rsidR="00264735" w:rsidRPr="008D623F">
        <w:rPr>
          <w:rFonts w:ascii="Times New Roman" w:hAnsi="Times New Roman"/>
          <w:sz w:val="24"/>
          <w:szCs w:val="24"/>
          <w:lang w:val="en-GB"/>
        </w:rPr>
        <w:t xml:space="preserve">A marked increase in correlations between country indices was evident during the 2007/2008 financial crisis, but since then the long term benefits of international diversification have been defended by </w:t>
      </w:r>
      <w:r w:rsidR="00264735" w:rsidRPr="008D623F">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"author" : [ { "dropping-particle" : "", "family" : "Asness", "given" : "Clifford S.", "non-dropping-particle" : "", "parse-names" : false, "suffix" : "" }, { "dropping-particle" : "", "family" : "Israelov", "given" : "Roni and", "non-dropping-particle" : "", "parse-names" : false, "suffix" : "" }, { "dropping-particle" : "", "family" : "Liew", "given" : "John M.", "non-dropping-particle" : "", "parse-names" : false, "suffix" : "" } ], "container-title" : "Financial Analysts Journal", "id" : "ITEM-1", "issue" : "3", "issued" : { "date-parts" : [ [ "2011", "6", "11" ] ] }, "page" : "24-38", "title" : "International Diversification Works (Eventually)", "type" : "article-journal", "volume" : "67" }, "uris" : [ "http://www.mendeley.com/documents/?uuid=b16b8286-2730-4bfa-922c-43b7a8ae4501" ] } ], "mendeley" : { "manualFormatting" : "Asness et al. (2011)", "previouslyFormattedCitation" : "(Asness, Israelov, &amp; Liew, 2011)" }, "properties" : { "noteIndex" : 0 }, "schema" : "https://github.com/citation-style-language/schema/raw/master/csl-citation.json" }</w:instrText>
      </w:r>
      <w:r w:rsidR="00264735" w:rsidRPr="008D623F">
        <w:rPr>
          <w:rFonts w:ascii="Times New Roman" w:hAnsi="Times New Roman"/>
          <w:sz w:val="24"/>
          <w:szCs w:val="24"/>
          <w:lang w:val="en-GB"/>
        </w:rPr>
        <w:fldChar w:fldCharType="separate"/>
      </w:r>
      <w:r w:rsidR="00264735" w:rsidRPr="008D623F">
        <w:rPr>
          <w:rFonts w:ascii="Times New Roman" w:hAnsi="Times New Roman"/>
          <w:noProof/>
          <w:sz w:val="24"/>
          <w:szCs w:val="24"/>
          <w:lang w:val="en-GB"/>
        </w:rPr>
        <w:t>Asness et al. (2011)</w:t>
      </w:r>
      <w:r w:rsidR="00264735" w:rsidRPr="008D623F">
        <w:rPr>
          <w:rFonts w:ascii="Times New Roman" w:hAnsi="Times New Roman"/>
          <w:sz w:val="24"/>
          <w:szCs w:val="24"/>
          <w:lang w:val="en-GB"/>
        </w:rPr>
        <w:fldChar w:fldCharType="end"/>
      </w:r>
      <w:r w:rsidR="0045524C">
        <w:rPr>
          <w:rFonts w:ascii="Times New Roman" w:hAnsi="Times New Roman"/>
          <w:sz w:val="24"/>
          <w:szCs w:val="24"/>
          <w:lang w:val="en-GB"/>
        </w:rPr>
        <w:t xml:space="preserve">.  </w:t>
      </w:r>
      <w:r w:rsidR="00264735" w:rsidRPr="008D623F">
        <w:rPr>
          <w:rFonts w:ascii="Times New Roman" w:hAnsi="Times New Roman"/>
          <w:sz w:val="24"/>
          <w:szCs w:val="24"/>
          <w:lang w:val="en-GB"/>
        </w:rPr>
        <w:t xml:space="preserve">They </w:t>
      </w:r>
      <w:r w:rsidR="0045524C">
        <w:rPr>
          <w:rFonts w:ascii="Times New Roman" w:hAnsi="Times New Roman"/>
          <w:sz w:val="24"/>
          <w:szCs w:val="24"/>
          <w:lang w:val="en-GB"/>
        </w:rPr>
        <w:t>find</w:t>
      </w:r>
      <w:r w:rsidR="00264735" w:rsidRPr="008D623F">
        <w:rPr>
          <w:rFonts w:ascii="Times New Roman" w:hAnsi="Times New Roman"/>
          <w:sz w:val="24"/>
          <w:szCs w:val="24"/>
          <w:lang w:val="en-GB"/>
        </w:rPr>
        <w:t xml:space="preserve"> that international diversification wor</w:t>
      </w:r>
      <w:r w:rsidR="0045524C">
        <w:rPr>
          <w:rFonts w:ascii="Times New Roman" w:hAnsi="Times New Roman"/>
          <w:sz w:val="24"/>
          <w:szCs w:val="24"/>
          <w:lang w:val="en-GB"/>
        </w:rPr>
        <w:t>ks over longer time periods, f</w:t>
      </w:r>
      <w:r w:rsidR="00264735" w:rsidRPr="008D623F">
        <w:rPr>
          <w:rFonts w:ascii="Times New Roman" w:hAnsi="Times New Roman"/>
          <w:sz w:val="24"/>
          <w:szCs w:val="24"/>
          <w:lang w:val="en-GB"/>
        </w:rPr>
        <w:t xml:space="preserve">inancial crises can have a </w:t>
      </w:r>
      <w:proofErr w:type="spellStart"/>
      <w:r w:rsidR="00264735" w:rsidRPr="008D623F">
        <w:rPr>
          <w:rFonts w:ascii="Times New Roman" w:hAnsi="Times New Roman"/>
          <w:sz w:val="24"/>
          <w:szCs w:val="24"/>
          <w:lang w:val="en-GB"/>
        </w:rPr>
        <w:t>spillover</w:t>
      </w:r>
      <w:proofErr w:type="spellEnd"/>
      <w:r w:rsidR="00264735" w:rsidRPr="008D623F">
        <w:rPr>
          <w:rFonts w:ascii="Times New Roman" w:hAnsi="Times New Roman"/>
          <w:sz w:val="24"/>
          <w:szCs w:val="24"/>
          <w:lang w:val="en-GB"/>
        </w:rPr>
        <w:t xml:space="preserve"> effects in the short term, but country-specific performance is the dominant factor in the long run. </w:t>
      </w:r>
      <w:r w:rsidR="00264735"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"0893-9454", "abstract" : "International equity markets are characterized by nonlinear dependence and asymmetries. We propose a new dynamic asymmetric copula model to capture long-run and short-run dependence, multivariate nonnormality, and asymmetries in large cross-sections. We find that correlations have increased markedly in both developed markets (DMs) and emerging markets (EMs), but they are much lower in EMs than in DMs. Tail dependence has also increased, but its level is still relatively low in EMs. We propose new measures of dynamic diversification benefits that take into account higher-order moments and nonlinear dependence. The benefits from international diversification have reduced over time, drastically so for DMs. EMs still offer significant diversification benefits, especially during large market downturns.", "author" : [ { "dropping-particle" : "", "family" : "Christoffersen", "given" : "P.", "non-dropping-particle" : "", "parse-names" : false, "suffix" : "" }, { "dropping-particle" : "", "family" : "Errunza", "given" : "V.", "non-dropping-particle" : "", "parse-names" : false, "suffix" : "" }, { "dropping-particle" : "", "family" : "Jacobs", "given" : "K.", "non-dropping-particle" : "", "parse-names" : false, "suffix" : "" }, { "dropping-particle" : "", "family" : "Langlois", "given" : "H.", "non-dropping-particle" : "", "parse-names" : false, "suffix" : "" } ], "container-title" : "Review of Financial Studies", "id" : "ITEM-1", "issue" : "12", "issued" : { "date-parts" : [ [ "2012", "10", "24" ] ] }, "page" : "3711-3751", "title" : "Is the Potential for International Diversification Disappearing? A Dynamic Copula Approach", "type" : "article-journal", "volume" : "25" }, "uris" : [ "http://www.mendeley.com/documents/?uuid=cb82438c-836d-421a-9519-d6c9415e03f2" ] } ], "mendeley" : { "manualFormatting" : "Christoffersen, Errunza, Jacobs, &amp; Langlois (2012)", "previouslyFormattedCitation" : "(Christoffersen, Errunza, Jacobs, &amp; Langlois, 2012)" }, "properties" : { "noteIndex" : 0 }, "schema" : "https://github.com/citation-style-language/schema/raw/master/csl-citation.json" }</w:instrText>
      </w:r>
      <w:r w:rsidR="00264735" w:rsidRPr="000E6048">
        <w:rPr>
          <w:rFonts w:ascii="Times New Roman" w:hAnsi="Times New Roman"/>
          <w:sz w:val="24"/>
          <w:szCs w:val="24"/>
          <w:lang w:val="en-GB"/>
        </w:rPr>
        <w:fldChar w:fldCharType="separate"/>
      </w:r>
      <w:r w:rsidR="00264735" w:rsidRPr="000E6048">
        <w:rPr>
          <w:rFonts w:ascii="Times New Roman" w:hAnsi="Times New Roman"/>
          <w:noProof/>
          <w:sz w:val="24"/>
          <w:szCs w:val="24"/>
          <w:lang w:val="en-GB"/>
        </w:rPr>
        <w:t>Christoffersen, Errunza, Jacobs, &amp; Langlois (2012)</w:t>
      </w:r>
      <w:r w:rsidR="00264735" w:rsidRPr="000E6048">
        <w:rPr>
          <w:rFonts w:ascii="Times New Roman" w:hAnsi="Times New Roman"/>
          <w:sz w:val="24"/>
          <w:szCs w:val="24"/>
          <w:lang w:val="en-GB"/>
        </w:rPr>
        <w:fldChar w:fldCharType="end"/>
      </w:r>
      <w:r w:rsidR="00264735" w:rsidRPr="000E6048">
        <w:rPr>
          <w:rFonts w:ascii="Times New Roman" w:hAnsi="Times New Roman"/>
          <w:sz w:val="24"/>
          <w:szCs w:val="24"/>
          <w:lang w:val="en-GB"/>
        </w:rPr>
        <w:t xml:space="preserve"> </w:t>
      </w:r>
      <w:r w:rsidR="00264735" w:rsidRPr="008D623F">
        <w:rPr>
          <w:rFonts w:ascii="Times New Roman" w:hAnsi="Times New Roman"/>
          <w:sz w:val="24"/>
          <w:szCs w:val="24"/>
          <w:lang w:val="en-GB"/>
        </w:rPr>
        <w:t xml:space="preserve">find that </w:t>
      </w:r>
      <w:r w:rsidR="0045524C">
        <w:rPr>
          <w:rFonts w:ascii="Times New Roman" w:hAnsi="Times New Roman"/>
          <w:sz w:val="24"/>
          <w:szCs w:val="24"/>
          <w:lang w:val="en-GB"/>
        </w:rPr>
        <w:t xml:space="preserve">international diversification </w:t>
      </w:r>
      <w:r w:rsidR="00264735" w:rsidRPr="008D623F">
        <w:rPr>
          <w:rFonts w:ascii="Times New Roman" w:hAnsi="Times New Roman"/>
          <w:sz w:val="24"/>
          <w:szCs w:val="24"/>
          <w:lang w:val="en-GB"/>
        </w:rPr>
        <w:t xml:space="preserve">benefits are still available for emerging markets but have dramatically reduced for developed markets.  </w:t>
      </w:r>
    </w:p>
    <w:p w14:paraId="48B6ABFD" w14:textId="77777777" w:rsidR="005231D4" w:rsidRPr="00CA4E0C" w:rsidRDefault="005231D4" w:rsidP="009E0B56">
      <w:pPr>
        <w:spacing w:line="360" w:lineRule="auto"/>
        <w:jc w:val="both"/>
        <w:rPr>
          <w:rFonts w:ascii="Times New Roman" w:hAnsi="Times New Roman" w:cs="Times New Roman"/>
          <w:color w:val="C00000"/>
          <w:sz w:val="24"/>
          <w:szCs w:val="24"/>
          <w:lang w:val="en-GB"/>
        </w:rPr>
      </w:pPr>
      <w:r w:rsidRPr="00CA4E0C">
        <w:rPr>
          <w:rFonts w:ascii="Times New Roman" w:hAnsi="Times New Roman" w:cs="Times New Roman"/>
          <w:sz w:val="24"/>
          <w:szCs w:val="24"/>
          <w:lang w:val="en-GB"/>
        </w:rPr>
        <w:t xml:space="preserve">Despite this, investors in the US and elsewhere continue to hold a large proportion of their equity investments in domestic assets.  Home bias was first documented by </w:t>
      </w:r>
      <w:r w:rsidRPr="00CA4E0C">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"abstract" : "Since the fortunes of different nations do not always move together, investors can di- versify their portfolios by holding assets in several countries. The benefits of interna- tional diversification have been recognized for decades. In spite of this, most investors hold nearly all of their wealth in domestic assets. In this paper we use a simple model of investor preferences and behavior to show that current portfolio patterns imply that investors in each nation expect returns in their domestic equity market to be several hundred basis points higher than returns in other markets. The lack of diversification appears to be the result of investor choices, rather than institutional constraints.", "author" : [ { "dropping-particle" : "", "family" : "French", "given" : "Kenneth R.", "non-dropping-particle" : "", "parse-names" : false, "suffix" : "" }, { "dropping-particle" : "", "family" : "Poterba", "given" : "James M.", "non-dropping-particle" : "", "parse-names" : false, "suffix" : "" } ], "container-title" : "The American Economic Review", "id" : "ITEM-1", "issue" : "2", "issued" : { "date-parts" : [ [ "1991" ] ] }, "note" : "V good article.", "page" : "222 - 226", "title" : "Investor Diversification and International Equity Markets", "type" : "article-journal", "volume" : "81" }, "uris" : [ "http://www.mendeley.com/documents/?uuid=39db691b-b477-4172-be6e-b8111053cdf0" ] } ], "mendeley" : { "manualFormatting" : "French &amp; Poterba (1991)", "previouslyFormattedCitation" : "(French &amp; Poterba, 1991)" }, "properties" : { "noteIndex" : 0 }, "schema" : "https://github.com/citation-style-language/schema/raw/master/csl-citation.json" }</w:instrText>
      </w:r>
      <w:r w:rsidRPr="00CA4E0C">
        <w:rPr>
          <w:rFonts w:ascii="Times New Roman" w:hAnsi="Times New Roman" w:cs="Times New Roman"/>
          <w:sz w:val="24"/>
          <w:szCs w:val="24"/>
          <w:lang w:val="en-GB"/>
        </w:rPr>
        <w:fldChar w:fldCharType="separate"/>
      </w:r>
      <w:r w:rsidRPr="00CA4E0C">
        <w:rPr>
          <w:rFonts w:ascii="Times New Roman" w:hAnsi="Times New Roman" w:cs="Times New Roman"/>
          <w:noProof/>
          <w:sz w:val="24"/>
          <w:szCs w:val="24"/>
          <w:lang w:val="en-GB"/>
        </w:rPr>
        <w:t>French &amp; Poterba (1991)</w:t>
      </w:r>
      <w:r w:rsidRPr="00CA4E0C">
        <w:rPr>
          <w:rFonts w:ascii="Times New Roman" w:hAnsi="Times New Roman" w:cs="Times New Roman"/>
          <w:sz w:val="24"/>
          <w:szCs w:val="24"/>
          <w:lang w:val="en-GB"/>
        </w:rPr>
        <w:fldChar w:fldCharType="end"/>
      </w:r>
      <w:r w:rsidRPr="00CA4E0C">
        <w:rPr>
          <w:rFonts w:ascii="Times New Roman" w:hAnsi="Times New Roman" w:cs="Times New Roman"/>
          <w:sz w:val="24"/>
          <w:szCs w:val="24"/>
          <w:lang w:val="en-GB"/>
        </w:rPr>
        <w:t xml:space="preserve"> and </w:t>
      </w:r>
      <w:r w:rsidR="00837EF2">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"abstract" : "This article examines U.S. equity flows to emerging stock markets from 1978 to 1991 and draws three main conclusions. First, despite the recent increase in U.S. equity investment in emerging stock markets, the U.S. portfolio remains strongly biased toward domestic equities. Second, of the fraction of the U.S. portfolio that is allocated to foreign equity investment, the share invested in emerging stock markets is roughly proportional to the share of the emerging stock markets in the global market capitalization value. Third, the volatility of U.S. transactions in emerging-market equities is higher than in other foreign equities. The normalized volatility of U.S. transactions appears to be falling over time, however, and we find no relation between the volume of U.S. transactions in foreign equity and local turnover rates or volatility of stock returns.", "author" : [ { "dropping-particle" : "", "family" : "Tesar", "given" : "Linda L.", "non-dropping-particle" : "", "parse-names" : false, "suffix" : "" }, { "dropping-particle" : "", "family" : "Werner", "given" : "Ingrid M.", "non-dropping-particle" : "", "parse-names" : false, "suffix" : "" } ], "container-title" : "World Bank Econ. Rev.", "id" : "ITEM-1", "issue" : "1", "issued" : { "date-parts" : [ [ "1995" ] ] }, "page" : "109-129", "title" : "U.S. Equity Investment in Emerging Stock Markets", "type" : "article-journal", "volume" : "9" }, "uris" : [ "http://www.mendeley.com/documents/?uuid=49dc4852-6277-4306-aa6a-df6a5f022700" ] } ], "mendeley" : { "manualFormatting" : "Tesar &amp; Werner (1995)", "previouslyFormattedCitation" : "(Tesar &amp; Werner, 1995b)" }, "properties" : { "noteIndex" : 0 }, "schema" : "https://github.com/citation-style-language/schema/raw/master/csl-citation.json" }</w:instrText>
      </w:r>
      <w:r w:rsidR="00837EF2">
        <w:rPr>
          <w:rFonts w:ascii="Times New Roman" w:hAnsi="Times New Roman" w:cs="Times New Roman"/>
          <w:sz w:val="24"/>
          <w:szCs w:val="24"/>
          <w:lang w:val="en-GB"/>
        </w:rPr>
        <w:fldChar w:fldCharType="separate"/>
      </w:r>
      <w:r w:rsidR="00837EF2">
        <w:rPr>
          <w:rFonts w:ascii="Times New Roman" w:hAnsi="Times New Roman" w:cs="Times New Roman"/>
          <w:noProof/>
          <w:sz w:val="24"/>
          <w:szCs w:val="24"/>
          <w:lang w:val="en-GB"/>
        </w:rPr>
        <w:t>Tesar &amp; Werner (1995</w:t>
      </w:r>
      <w:r w:rsidR="00837EF2" w:rsidRPr="00837EF2">
        <w:rPr>
          <w:rFonts w:ascii="Times New Roman" w:hAnsi="Times New Roman" w:cs="Times New Roman"/>
          <w:noProof/>
          <w:sz w:val="24"/>
          <w:szCs w:val="24"/>
          <w:lang w:val="en-GB"/>
        </w:rPr>
        <w:t>)</w:t>
      </w:r>
      <w:r w:rsidR="00837EF2">
        <w:rPr>
          <w:rFonts w:ascii="Times New Roman" w:hAnsi="Times New Roman" w:cs="Times New Roman"/>
          <w:sz w:val="24"/>
          <w:szCs w:val="24"/>
          <w:lang w:val="en-GB"/>
        </w:rPr>
        <w:fldChar w:fldCharType="end"/>
      </w:r>
      <w:r w:rsidRPr="00CA4E0C">
        <w:rPr>
          <w:rFonts w:ascii="Times New Roman" w:hAnsi="Times New Roman" w:cs="Times New Roman"/>
          <w:sz w:val="24"/>
          <w:szCs w:val="24"/>
          <w:lang w:val="en-GB"/>
        </w:rPr>
        <w:t xml:space="preserve"> and more recently by </w:t>
      </w:r>
      <w:r w:rsidRPr="00CA4E0C">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"ISSN" : "00221996", "abstract" : "We test extant hypotheses of the home bias in equity holdings using high quality cross-border holdings data and quantitative measures of barriers to international investment. The effects of direct barriers to international investment, when statistically significant, are not economically meaningful. More important are information asymmetries that owe to the poor quality and low credibility of financial information in many countries. While a direct measure of information costs is not available, some foreign firms have reduced these costs by publicly listing their securities in the United States, where investor protection regulations elicit standardized, credible financial information. A proxy for the reduction in information asymmetries\u2014the portion of a country\u2019s market that has a public US listing\u2014is a major determinant of a country\u2019s weight in US investors\u2019 portfolios. Foreign countries whose firms do not alleviate information costs by opting into the US regulatory environment are more severely underweighted in US equity portfolios.", "author" : [ { "dropping-particle" : "", "family" : "Ahearne", "given" : "Alan G.", "non-dropping-particle" : "", "parse-names" : false, "suffix" : "" }, { "dropping-particle" : "", "family" : "Griever", "given" : "William L.", "non-dropping-particle" : "", "parse-names" : false, "suffix" : "" }, { "dropping-particle" : "", "family" : "Warnock", "given" : "Francis E.", "non-dropping-particle" : "", "parse-names" : false, "suffix" : "" } ], "container-title" : "Journal of International Economics", "id" : "ITEM-1", "issue" : "2", "issued" : { "date-parts" : [ [ "2004", "3" ] ] }, "page" : "313-336", "title" : "Information costs and home bias: an analysis of US holdings of foreign equities", "type" : "article-journal", "volume" : "62" }, "uris" : [ "http://www.mendeley.com/documents/?uuid=dfa0c2b7-4cda-4a3c-aa9a-776708f98249" ] }, { "id" : "ITEM-2", "itemData" : { "abstract" : "More patriotic countries have greater equity home bias. In a panel of World Values Surveys covering 53 countries, measures of patriotism are positively related to home bias measures after controlling for transaction barriers, diversification benefits, information and familiarity. Changes in patriotism vary with changes in the home bias. The results are robust to using ISSP measures of patriotism covering 24 countries and within-U.S. data from the Survey of Consumer Finances. Instrumenting patriotism with social variables uncorrelated with economic and political factors confirms that patriotism affects investment. The average country invests $18 to $30 billion more abroad with a one standard deviation drop in patriotism.", "author" : [ { "dropping-particle" : "", "family" : "Morse", "given" : "Adair", "non-dropping-particle" : "", "parse-names" : false, "suffix" : "" }, { "dropping-particle" : "", "family" : "Shive", "given" : "Sophie", "non-dropping-particle" : "", "parse-names" : false, "suffix" : "" } ], "container-title" : "Journal of Financial Markets", "id" : "ITEM-2", "issue" : "2", "issued" : { "date-parts" : [ [ "2011" ] ] }, "page" : "411-440", "publisher" : "SSRN", "title" : "Patriotism in Your Portfolio", "type" : "article-journal", "volume" : "14" }, "uris" : [ "http://www.mendeley.com/documents/?uuid=1fe45274-4c3f-416b-b2cf-40a2b559d212" ] }, { "id" : "ITEM-3", "itemData" : { "ISSN" : "00221082", "author" : [ { "dropping-particle" : "", "family" : "VanNieuwerburgh", "given" : "Sjtin", "non-dropping-particle" : "", "parse-names" : false, "suffix" : "" }, { "dropping-particle" : "", "family" : "Veldkamp", "given" : "Laura", "non-dropping-particle" : "", "parse-names" : false, "suffix" : "" } ], "container-title" : "The Journal of Finance", "id" : "ITEM-3", "issue" : "3", "issued" : { "date-parts" : [ [ "2009", "6" ] ] }, "page" : "1187-1215", "title" : "Information Immobility and the Home Bias Puzzle", "type" : "article-journal", "volume" : "64" }, "uris" : [ "http://www.mendeley.com/documents/?uuid=82d10b5f-de60-48bf-8954-287b822ace17" ] } ], "mendeley" : { "manualFormatting" : "Ahearne et al. (2004), ", "previouslyFormattedCitation" : "(Ahearne et al., 2004; Morse &amp; Shive, 2011; VanNieuwerburgh &amp; Veldkamp, 2009)" }, "properties" : { "noteIndex" : 0 }, "schema" : "https://github.com/citation-style-language/schema/raw/master/csl-citation.json" }</w:instrText>
      </w:r>
      <w:r w:rsidRPr="00CA4E0C">
        <w:rPr>
          <w:rFonts w:ascii="Times New Roman" w:hAnsi="Times New Roman" w:cs="Times New Roman"/>
          <w:sz w:val="24"/>
          <w:szCs w:val="24"/>
          <w:lang w:val="en-GB"/>
        </w:rPr>
        <w:fldChar w:fldCharType="separate"/>
      </w:r>
      <w:r w:rsidRPr="00CA4E0C">
        <w:rPr>
          <w:rFonts w:ascii="Times New Roman" w:hAnsi="Times New Roman" w:cs="Times New Roman"/>
          <w:noProof/>
          <w:sz w:val="24"/>
          <w:szCs w:val="24"/>
          <w:lang w:val="en-GB"/>
        </w:rPr>
        <w:t xml:space="preserve">Ahearne et al. (2004), </w:t>
      </w:r>
      <w:r w:rsidRPr="00CA4E0C">
        <w:rPr>
          <w:rFonts w:ascii="Times New Roman" w:hAnsi="Times New Roman" w:cs="Times New Roman"/>
          <w:sz w:val="24"/>
          <w:szCs w:val="24"/>
          <w:lang w:val="en-GB"/>
        </w:rPr>
        <w:fldChar w:fldCharType="end"/>
      </w:r>
      <w:r w:rsidR="002B6A96">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"ISSN" : "08891583", "abstract" : "I study the home bias pattern in international portfolios recommended by global financial institutions. These recommended portfolios from the Economist Quarterly poll provide an interesting research opportunity because transaction costs and other observable barriers in cross-border portfolio investments do not interfere with asset allocation decisions of the polled institutions. Thus, an examination of this poll data can shed light on the role of unobservable factors in international portfolio investments. I find that the institutions tilt recommendations towards their home markets; they change home market weights more frequently relative to other market weights or relative to institutions from other countries; and they change weights of geographically distant markets less often than other market weights. Overall, the evidence from the analysis suggests that home bias can arise from unobservable factors such as information asymmetry and investor optimism. J. Japanese Int. Economies 19 (1) (2005) 72\u201395.", "author" : [ { "dropping-particle" : "", "family" : "Suh", "given" : "Jungwon", "non-dropping-particle" : "", "parse-names" : false, "suffix" : "" } ], "container-title" : "Journal of the Japanese and International Economies", "id" : "ITEM-1", "issue" : "1", "issued" : { "date-parts" : [ [ "2005", "3" ] ] }, "page" : "72-95", "title" : "Home bias among institutional investors: a study of the Quarterly Portfolio Poll", "type" : "article-journal", "volume" : "19" }, "uris" : [ "http://www.mendeley.com/documents/?uuid=8ed6b92c-6b6e-4dab-a8e0-559c55a99a67" ] } ], "mendeley" : { "manualFormatting" : "Suh (2005)", "previouslyFormattedCitation" : "(Suh, 2005)" }, "properties" : { "noteIndex" : 0 }, "schema" : "https://github.com/citation-style-language/schema/raw/master/csl-citation.json" }</w:instrText>
      </w:r>
      <w:r w:rsidR="002B6A96">
        <w:rPr>
          <w:rFonts w:ascii="Times New Roman" w:hAnsi="Times New Roman" w:cs="Times New Roman"/>
          <w:sz w:val="24"/>
          <w:szCs w:val="24"/>
          <w:lang w:val="en-GB"/>
        </w:rPr>
        <w:fldChar w:fldCharType="separate"/>
      </w:r>
      <w:r w:rsidR="002B6A96">
        <w:rPr>
          <w:rFonts w:ascii="Times New Roman" w:hAnsi="Times New Roman" w:cs="Times New Roman"/>
          <w:noProof/>
          <w:sz w:val="24"/>
          <w:szCs w:val="24"/>
          <w:lang w:val="en-GB"/>
        </w:rPr>
        <w:t>Suh</w:t>
      </w:r>
      <w:r w:rsidR="002B6A96" w:rsidRPr="002B6A96">
        <w:rPr>
          <w:rFonts w:ascii="Times New Roman" w:hAnsi="Times New Roman" w:cs="Times New Roman"/>
          <w:noProof/>
          <w:sz w:val="24"/>
          <w:szCs w:val="24"/>
          <w:lang w:val="en-GB"/>
        </w:rPr>
        <w:t xml:space="preserve"> </w:t>
      </w:r>
      <w:r w:rsidR="002B6A96">
        <w:rPr>
          <w:rFonts w:ascii="Times New Roman" w:hAnsi="Times New Roman" w:cs="Times New Roman"/>
          <w:noProof/>
          <w:sz w:val="24"/>
          <w:szCs w:val="24"/>
          <w:lang w:val="en-GB"/>
        </w:rPr>
        <w:t>(</w:t>
      </w:r>
      <w:r w:rsidR="002B6A96" w:rsidRPr="002B6A96">
        <w:rPr>
          <w:rFonts w:ascii="Times New Roman" w:hAnsi="Times New Roman" w:cs="Times New Roman"/>
          <w:noProof/>
          <w:sz w:val="24"/>
          <w:szCs w:val="24"/>
          <w:lang w:val="en-GB"/>
        </w:rPr>
        <w:t>2005)</w:t>
      </w:r>
      <w:r w:rsidR="002B6A96">
        <w:rPr>
          <w:rFonts w:ascii="Times New Roman" w:hAnsi="Times New Roman" w:cs="Times New Roman"/>
          <w:sz w:val="24"/>
          <w:szCs w:val="24"/>
          <w:lang w:val="en-GB"/>
        </w:rPr>
        <w:fldChar w:fldCharType="end"/>
      </w:r>
      <w:r w:rsidR="002B6A96">
        <w:rPr>
          <w:rFonts w:ascii="Times New Roman" w:hAnsi="Times New Roman" w:cs="Times New Roman"/>
          <w:sz w:val="24"/>
          <w:szCs w:val="24"/>
          <w:lang w:val="en-GB"/>
        </w:rPr>
        <w:t xml:space="preserve">, </w:t>
      </w:r>
      <w:r w:rsidR="005005C5" w:rsidRPr="00CA4E0C">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"abstract" : "This paper reviews the recent literature on equity home bias - the empirical finding that people over invest in domestic stocks relative to the theoretically optimal investment portfolio. We cover different home bias measures and we illustrate the extent and the evolution of equity home bias both with recent portfolio holdings data and longer time series. Institutional-based and behavior-based explanations for the puzzle are considered and discussed. We conclude that none of the proposed theories can explain the full extent of the bias by itself, thus we argue that international portfolio choice should be explained by a mixture of rational and irrational behavior.", "author" : [ { "dropping-particle" : "", "family" : "Sercu", "given" : "Piet M.", "non-dropping-particle" : "", "parse-names" : false, "suffix" : "" }, { "dropping-particle" : "", "family" : "Vanpee", "given" : "Rosanne", "non-dropping-particle" : "", "parse-names" : false, "suffix" : "" } ], "container-title" : "K.U.Leuven - Faculty of Economics and Applied Economics", "id" : "ITEM-1", "issued" : { "date-parts" : [ [ "2007" ] ] }, "publisher" : "SSRN", "title" : "Home Bias in International Equity Portfolios: A Review", "type" : "article-journal" }, "uris" : [ "http://www.mendeley.com/documents/?uuid=9796ec27-b37c-48f0-8d54-3f49bcfbdbe3" ] } ], "mendeley" : { "manualFormatting" : "Sercu &amp; Vanpee (2007)", "previouslyFormattedCitation" : "(Sercu &amp; Vanpee, 2007)" }, "properties" : { "noteIndex" : 0 }, "schema" : "https://github.com/citation-style-language/schema/raw/master/csl-citation.json" }</w:instrText>
      </w:r>
      <w:r w:rsidR="005005C5" w:rsidRPr="00CA4E0C">
        <w:rPr>
          <w:rFonts w:ascii="Times New Roman" w:hAnsi="Times New Roman" w:cs="Times New Roman"/>
          <w:sz w:val="24"/>
          <w:szCs w:val="24"/>
          <w:lang w:val="en-GB"/>
        </w:rPr>
        <w:fldChar w:fldCharType="separate"/>
      </w:r>
      <w:r w:rsidR="005005C5" w:rsidRPr="00CA4E0C">
        <w:rPr>
          <w:rFonts w:ascii="Times New Roman" w:hAnsi="Times New Roman" w:cs="Times New Roman"/>
          <w:noProof/>
          <w:sz w:val="24"/>
          <w:szCs w:val="24"/>
          <w:lang w:val="en-GB"/>
        </w:rPr>
        <w:t>Sercu &amp; Vanpee (2007)</w:t>
      </w:r>
      <w:r w:rsidR="005005C5" w:rsidRPr="00CA4E0C">
        <w:rPr>
          <w:rFonts w:ascii="Times New Roman" w:hAnsi="Times New Roman" w:cs="Times New Roman"/>
          <w:sz w:val="24"/>
          <w:szCs w:val="24"/>
          <w:lang w:val="en-GB"/>
        </w:rPr>
        <w:fldChar w:fldCharType="end"/>
      </w:r>
      <w:r w:rsidRPr="00CA4E0C">
        <w:rPr>
          <w:rFonts w:ascii="Times New Roman" w:hAnsi="Times New Roman" w:cs="Times New Roman"/>
          <w:sz w:val="24"/>
          <w:szCs w:val="24"/>
          <w:lang w:val="en-GB"/>
        </w:rPr>
        <w:t xml:space="preserve"> </w:t>
      </w:r>
      <w:r w:rsidRPr="00CA4E0C">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"ISSN" : "00221082", "author" : [ { "dropping-particle" : "", "family" : "VanNieuwerburgh", "given" : "Sjtin", "non-dropping-particle" : "", "parse-names" : false, "suffix" : "" }, { "dropping-particle" : "", "family" : "Veldkamp", "given" : "Laura", "non-dropping-particle" : "", "parse-names" : false, "suffix" : "" } ], "container-title" : "The Journal of Finance", "id" : "ITEM-1", "issue" : "3", "issued" : { "date-parts" : [ [ "2009", "6" ] ] }, "page" : "1187-1215", "title" : "Information Immobility and the Home Bias Puzzle", "type" : "article-journal", "volume" : "64" }, "uris" : [ "http://www.mendeley.com/documents/?uuid=82d10b5f-de60-48bf-8954-287b822ace17" ] }, { "id" : "ITEM-2", "itemData" : { "abstract" : "More patriotic countries have greater equity home bias. In a panel of World Values Surveys covering 53 countries, measures of patriotism are positively related to home bias measures after controlling for transaction barriers, diversification benefits, information and familiarity. Changes in patriotism vary with changes in the home bias. The results are robust to using ISSP measures of patriotism covering 24 countries and within-U.S. data from the Survey of Consumer Finances. Instrumenting patriotism with social variables uncorrelated with economic and political factors confirms that patriotism affects investment. The average country invests $18 to $30 billion more abroad with a one standard deviation drop in patriotism.", "author" : [ { "dropping-particle" : "", "family" : "Morse", "given" : "Adair", "non-dropping-particle" : "", "parse-names" : false, "suffix" : "" }, { "dropping-particle" : "", "family" : "Shive", "given" : "Sophie", "non-dropping-particle" : "", "parse-names" : false, "suffix" : "" } ], "container-title" : "Journal of Financial Markets", "id" : "ITEM-2", "issue" : "2", "issued" : { "date-parts" : [ [ "2011" ] ] }, "page" : "411-440", "publisher" : "SSRN", "title" : "Patriotism in Your Portfolio", "type" : "article-journal", "volume" : "14" }, "uris" : [ "http://www.mendeley.com/documents/?uuid=1fe45274-4c3f-416b-b2cf-40a2b559d212" ] } ], "mendeley" : { "manualFormatting" : "VanNieuwerburgh and Veldkamp (2009) and Morse and Shive (2011)", "previouslyFormattedCitation" : "(Morse &amp; Shive, 2011; VanNieuwerburgh &amp; Veldkamp, 2009)" }, "properties" : { "noteIndex" : 0 }, "schema" : "https://github.com/citation-style-language/schema/raw/master/csl-citation.json" }</w:instrText>
      </w:r>
      <w:r w:rsidRPr="00CA4E0C">
        <w:rPr>
          <w:rFonts w:ascii="Times New Roman" w:hAnsi="Times New Roman" w:cs="Times New Roman"/>
          <w:sz w:val="24"/>
          <w:szCs w:val="24"/>
          <w:lang w:val="en-GB"/>
        </w:rPr>
        <w:fldChar w:fldCharType="separate"/>
      </w:r>
      <w:r w:rsidRPr="00CA4E0C">
        <w:rPr>
          <w:rFonts w:ascii="Times New Roman" w:hAnsi="Times New Roman" w:cs="Times New Roman"/>
          <w:noProof/>
          <w:sz w:val="24"/>
          <w:szCs w:val="24"/>
          <w:lang w:val="en-GB"/>
        </w:rPr>
        <w:t>VanNieuwerburgh and Veldkamp (2009) and Morse and Shive (2011)</w:t>
      </w:r>
      <w:r w:rsidRPr="00CA4E0C">
        <w:rPr>
          <w:rFonts w:ascii="Times New Roman" w:hAnsi="Times New Roman" w:cs="Times New Roman"/>
          <w:sz w:val="24"/>
          <w:szCs w:val="24"/>
          <w:lang w:val="en-GB"/>
        </w:rPr>
        <w:fldChar w:fldCharType="end"/>
      </w:r>
      <w:r w:rsidRPr="00CA4E0C">
        <w:rPr>
          <w:rFonts w:ascii="Times New Roman" w:hAnsi="Times New Roman" w:cs="Times New Roman"/>
          <w:sz w:val="24"/>
          <w:szCs w:val="24"/>
          <w:lang w:val="en-GB"/>
        </w:rPr>
        <w:t xml:space="preserve">.  Possible </w:t>
      </w:r>
      <w:r w:rsidRPr="00CA4E0C">
        <w:rPr>
          <w:rFonts w:ascii="Times New Roman" w:hAnsi="Times New Roman" w:cs="Times New Roman"/>
          <w:sz w:val="24"/>
          <w:szCs w:val="24"/>
          <w:lang w:val="en-GB"/>
        </w:rPr>
        <w:lastRenderedPageBreak/>
        <w:t xml:space="preserve">explanations include exchange rate risk, </w:t>
      </w:r>
      <w:r w:rsidR="002B6A96">
        <w:rPr>
          <w:rFonts w:ascii="Times New Roman" w:hAnsi="Times New Roman" w:cs="Times New Roman"/>
          <w:sz w:val="24"/>
          <w:szCs w:val="24"/>
          <w:lang w:val="en-GB"/>
        </w:rPr>
        <w:t>country</w:t>
      </w:r>
      <w:r w:rsidRPr="00CA4E0C">
        <w:rPr>
          <w:rFonts w:ascii="Times New Roman" w:hAnsi="Times New Roman" w:cs="Times New Roman"/>
          <w:sz w:val="24"/>
          <w:szCs w:val="24"/>
          <w:lang w:val="en-GB"/>
        </w:rPr>
        <w:t xml:space="preserve"> risk, taxes, transaction costs and asymmetric information.   </w:t>
      </w:r>
      <w:r w:rsidR="006B143E" w:rsidRPr="00CA4E0C">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"abstract" : "This paper documents the available evidence on international portfolio investment in five GECD countries. We draw three conclusions from the data. First. there is strong evidence of a home bias in national investment portfolios despite the potential gains from international diversification. Second, to the extent investors hold international securities, the composition of the portfolio of foreign securities seems to reflect factors other than diversification of risk. Third, the high volume of cross-border capital flows and the high turnover rate on foreign equity investments relative to domestic equity markets suggests that transactions costs and incomplete information are unlikely to be important deterrents to international investment. These observations suggest that a richer set of models is required to account for international investment behavior.Institutional subscribers to the NBER working paper series, and residents of developing countries may download this paper without additional charge at www.nber.org.", "author" : [ { "dropping-particle" : "", "family" : "Tesar", "given" : "Linda L.", "non-dropping-particle" : "", "parse-names" : false, "suffix" : "" }, { "dropping-particle" : "", "family" : "Werner", "given" : "Ingrid M.", "non-dropping-particle" : "", "parse-names" : false, "suffix" : "" } ], "container-title" : "Journal of International Money and Finance", "id" : "ITEM-1", "issued" : { "date-parts" : [ [ "1995" ] ] }, "note" : "Doesn't say too much extra apart from that it's still a puzzle.  5 OECD Countries", "page" : "467-493", "publisher" : "SSRN", "title" : "Home Bias and the High Turnover", "type" : "article-journal", "volume" : "14" }, "uris" : [ "http://www.mendeley.com/documents/?uuid=ffa6fb4a-f88a-4b7d-a2f4-a61c87cf1bc8" ] } ], "mendeley" : { "manualFormatting" : "Tesar &amp; Werner (1995)", "previouslyFormattedCitation" : "(Tesar &amp; Werner, 1995a)" }, "properties" : { "noteIndex" : 0 }, "schema" : "https://github.com/citation-style-language/schema/raw/master/csl-citation.json" }</w:instrText>
      </w:r>
      <w:r w:rsidR="006B143E" w:rsidRPr="00CA4E0C">
        <w:rPr>
          <w:rFonts w:ascii="Times New Roman" w:hAnsi="Times New Roman" w:cs="Times New Roman"/>
          <w:sz w:val="24"/>
          <w:szCs w:val="24"/>
          <w:lang w:val="en-GB"/>
        </w:rPr>
        <w:fldChar w:fldCharType="separate"/>
      </w:r>
      <w:r w:rsidR="00837EF2">
        <w:rPr>
          <w:rFonts w:ascii="Times New Roman" w:hAnsi="Times New Roman" w:cs="Times New Roman"/>
          <w:noProof/>
          <w:sz w:val="24"/>
          <w:szCs w:val="24"/>
          <w:lang w:val="en-GB"/>
        </w:rPr>
        <w:t>Tesar &amp; Werner (1995</w:t>
      </w:r>
      <w:r w:rsidR="006B143E" w:rsidRPr="00CA4E0C">
        <w:rPr>
          <w:rFonts w:ascii="Times New Roman" w:hAnsi="Times New Roman" w:cs="Times New Roman"/>
          <w:noProof/>
          <w:sz w:val="24"/>
          <w:szCs w:val="24"/>
          <w:lang w:val="en-GB"/>
        </w:rPr>
        <w:t>)</w:t>
      </w:r>
      <w:r w:rsidR="006B143E" w:rsidRPr="00CA4E0C">
        <w:rPr>
          <w:rFonts w:ascii="Times New Roman" w:hAnsi="Times New Roman" w:cs="Times New Roman"/>
          <w:sz w:val="24"/>
          <w:szCs w:val="24"/>
          <w:lang w:val="en-GB"/>
        </w:rPr>
        <w:fldChar w:fldCharType="end"/>
      </w:r>
      <w:r w:rsidR="006B143E" w:rsidRPr="00CA4E0C">
        <w:rPr>
          <w:rFonts w:ascii="Times New Roman" w:hAnsi="Times New Roman" w:cs="Times New Roman"/>
          <w:sz w:val="24"/>
          <w:szCs w:val="24"/>
        </w:rPr>
        <w:t xml:space="preserve"> estimated that US investors held less than 2 </w:t>
      </w:r>
      <w:r w:rsidR="003B3D51">
        <w:rPr>
          <w:rFonts w:ascii="Times New Roman" w:hAnsi="Times New Roman" w:cs="Times New Roman"/>
          <w:sz w:val="24"/>
          <w:szCs w:val="24"/>
        </w:rPr>
        <w:t>percent</w:t>
      </w:r>
      <w:r w:rsidR="006B143E" w:rsidRPr="00CA4E0C">
        <w:rPr>
          <w:rFonts w:ascii="Times New Roman" w:hAnsi="Times New Roman" w:cs="Times New Roman"/>
          <w:sz w:val="24"/>
          <w:szCs w:val="24"/>
        </w:rPr>
        <w:t xml:space="preserve"> of their investme</w:t>
      </w:r>
      <w:r w:rsidR="007303F5">
        <w:rPr>
          <w:rFonts w:ascii="Times New Roman" w:hAnsi="Times New Roman" w:cs="Times New Roman"/>
          <w:sz w:val="24"/>
          <w:szCs w:val="24"/>
        </w:rPr>
        <w:t>nts in foreign equities in 1975 and</w:t>
      </w:r>
      <w:r w:rsidR="006B143E" w:rsidRPr="00CA4E0C">
        <w:rPr>
          <w:rFonts w:ascii="Times New Roman" w:hAnsi="Times New Roman" w:cs="Times New Roman"/>
          <w:sz w:val="24"/>
          <w:szCs w:val="24"/>
        </w:rPr>
        <w:t xml:space="preserve"> </w:t>
      </w:r>
      <w:r w:rsidR="006B143E"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"00221996", "abstract" : "We test extant hypotheses of the home bias in equity holdings using high quality cross-border holdings data and quantitative measures of barriers to international investment. The effects of direct barriers to international investment, when statistically significant, are not economically meaningful. More important are information asymmetries that owe to the poor quality and low credibility of financial information in many countries. While a direct measure of information costs is not available, some foreign firms have reduced these costs by publicly listing their securities in the United States, where investor protection regulations elicit standardized, credible financial information. A proxy for the reduction in information asymmetries\u2014the portion of a country\u2019s market that has a public US listing\u2014is a major determinant of a country\u2019s weight in US investors\u2019 portfolios. Foreign countries whose firms do not alleviate information costs by opting into the US regulatory environment are more severely underweighted in US equity portfolios.", "author" : [ { "dropping-particle" : "", "family" : "Ahearne", "given" : "Alan G.", "non-dropping-particle" : "", "parse-names" : false, "suffix" : "" }, { "dropping-particle" : "", "family" : "Griever", "given" : "William L.", "non-dropping-particle" : "", "parse-names" : false, "suffix" : "" }, { "dropping-particle" : "", "family" : "Warnock", "given" : "Francis E.", "non-dropping-particle" : "", "parse-names" : false, "suffix" : "" } ], "container-title" : "Journal of International Economics", "id" : "ITEM-1", "issue" : "2", "issued" : { "date-parts" : [ [ "2004", "3" ] ] }, "page" : "313-336", "title" : "Information costs and home bias: an analysis of US holdings of foreign equities", "type" : "article-journal", "volume" : "62" }, "uris" : [ "http://www.mendeley.com/documents/?uuid=dfa0c2b7-4cda-4a3c-aa9a-776708f98249" ] } ], "mendeley" : { "manualFormatting" : "Ahearne et al. (2004)", "previouslyFormattedCitation" : "(Ahearne et al., 2004)" }, "properties" : { "noteIndex" : 0 }, "schema" : "https://github.com/citation-style-language/schema/raw/master/csl-citation.json" }</w:instrText>
      </w:r>
      <w:r w:rsidR="006B143E" w:rsidRPr="00CA4E0C">
        <w:rPr>
          <w:rFonts w:ascii="Times New Roman" w:hAnsi="Times New Roman" w:cs="Times New Roman"/>
          <w:sz w:val="24"/>
          <w:szCs w:val="24"/>
        </w:rPr>
        <w:fldChar w:fldCharType="separate"/>
      </w:r>
      <w:r w:rsidR="006B143E" w:rsidRPr="00CA4E0C">
        <w:rPr>
          <w:rFonts w:ascii="Times New Roman" w:hAnsi="Times New Roman" w:cs="Times New Roman"/>
          <w:noProof/>
          <w:sz w:val="24"/>
          <w:szCs w:val="24"/>
        </w:rPr>
        <w:t>Ahearne et al. (2004)</w:t>
      </w:r>
      <w:r w:rsidR="006B143E" w:rsidRPr="00CA4E0C">
        <w:rPr>
          <w:rFonts w:ascii="Times New Roman" w:hAnsi="Times New Roman" w:cs="Times New Roman"/>
          <w:sz w:val="24"/>
          <w:szCs w:val="24"/>
        </w:rPr>
        <w:fldChar w:fldCharType="end"/>
      </w:r>
      <w:r w:rsidR="006B143E" w:rsidRPr="00CA4E0C">
        <w:rPr>
          <w:rFonts w:ascii="Times New Roman" w:hAnsi="Times New Roman" w:cs="Times New Roman"/>
          <w:sz w:val="24"/>
          <w:szCs w:val="24"/>
        </w:rPr>
        <w:t xml:space="preserve"> estimated that this had risen to 10 </w:t>
      </w:r>
      <w:r w:rsidR="003B3D51">
        <w:rPr>
          <w:rFonts w:ascii="Times New Roman" w:hAnsi="Times New Roman" w:cs="Times New Roman"/>
          <w:sz w:val="24"/>
          <w:szCs w:val="24"/>
        </w:rPr>
        <w:t>percent</w:t>
      </w:r>
      <w:r w:rsidR="006B143E" w:rsidRPr="00CA4E0C">
        <w:rPr>
          <w:rFonts w:ascii="Times New Roman" w:hAnsi="Times New Roman" w:cs="Times New Roman"/>
          <w:sz w:val="24"/>
          <w:szCs w:val="24"/>
        </w:rPr>
        <w:t xml:space="preserve"> in 1997</w:t>
      </w:r>
      <w:r w:rsidR="000C130B" w:rsidRPr="00CA4E0C">
        <w:rPr>
          <w:rFonts w:ascii="Times New Roman" w:hAnsi="Times New Roman" w:cs="Times New Roman"/>
          <w:sz w:val="24"/>
          <w:szCs w:val="24"/>
        </w:rPr>
        <w:t xml:space="preserve">.  </w:t>
      </w:r>
      <w:r w:rsidR="00FA671B">
        <w:rPr>
          <w:rFonts w:ascii="Times New Roman" w:hAnsi="Times New Roman" w:cs="Times New Roman"/>
          <w:sz w:val="24"/>
          <w:szCs w:val="24"/>
          <w:lang w:val="en-GB"/>
        </w:rPr>
        <w:fldChar w:fldCharType="begin"/>
      </w:r>
      <w:r w:rsidR="00FA671B" w:rsidRPr="00FA671B">
        <w:rPr>
          <w:rFonts w:ascii="Times New Roman" w:hAnsi="Times New Roman" w:cs="Times New Roman"/>
          <w:sz w:val="24"/>
          <w:szCs w:val="24"/>
          <w:lang w:val="en-GB"/>
        </w:rPr>
        <w:instrText xml:space="preserve"> REF _Ref384650662 \h </w:instrText>
      </w:r>
      <w:r w:rsidR="00FA671B">
        <w:rPr>
          <w:rFonts w:ascii="Times New Roman" w:hAnsi="Times New Roman" w:cs="Times New Roman"/>
          <w:sz w:val="24"/>
          <w:szCs w:val="24"/>
          <w:lang w:val="en-GB"/>
        </w:rPr>
        <w:instrText xml:space="preserve"> \* MERGEFORMAT </w:instrText>
      </w:r>
      <w:r w:rsidR="00FA671B">
        <w:rPr>
          <w:rFonts w:ascii="Times New Roman" w:hAnsi="Times New Roman" w:cs="Times New Roman"/>
          <w:sz w:val="24"/>
          <w:szCs w:val="24"/>
          <w:lang w:val="en-GB"/>
        </w:rPr>
      </w:r>
      <w:r w:rsidR="00FA671B">
        <w:rPr>
          <w:rFonts w:ascii="Times New Roman" w:hAnsi="Times New Roman" w:cs="Times New Roman"/>
          <w:sz w:val="24"/>
          <w:szCs w:val="24"/>
          <w:lang w:val="en-GB"/>
        </w:rPr>
        <w:fldChar w:fldCharType="separate"/>
      </w:r>
      <w:r w:rsidR="00FA671B" w:rsidRPr="00FA671B">
        <w:rPr>
          <w:rFonts w:ascii="Times New Roman" w:hAnsi="Times New Roman" w:cs="Times New Roman"/>
          <w:sz w:val="24"/>
          <w:szCs w:val="24"/>
          <w:lang w:val="en-GB"/>
        </w:rPr>
        <w:t>Table 1</w:t>
      </w:r>
      <w:r w:rsidR="00FA671B">
        <w:rPr>
          <w:rFonts w:ascii="Times New Roman" w:hAnsi="Times New Roman" w:cs="Times New Roman"/>
          <w:sz w:val="24"/>
          <w:szCs w:val="24"/>
          <w:lang w:val="en-GB"/>
        </w:rPr>
        <w:fldChar w:fldCharType="end"/>
      </w:r>
      <w:r w:rsidR="00FA671B">
        <w:rPr>
          <w:rFonts w:ascii="Times New Roman" w:hAnsi="Times New Roman" w:cs="Times New Roman"/>
          <w:sz w:val="24"/>
          <w:szCs w:val="24"/>
          <w:lang w:val="en-GB"/>
        </w:rPr>
        <w:t xml:space="preserve"> </w:t>
      </w:r>
      <w:r w:rsidR="000C130B" w:rsidRPr="00CA4E0C">
        <w:rPr>
          <w:rFonts w:ascii="Times New Roman" w:hAnsi="Times New Roman" w:cs="Times New Roman"/>
          <w:sz w:val="24"/>
          <w:szCs w:val="24"/>
          <w:lang w:val="en-GB"/>
        </w:rPr>
        <w:t xml:space="preserve">presents a timeline of US foreign equity holdings from 2003 to 2011 </w:t>
      </w:r>
      <w:r w:rsidR="000C130B" w:rsidRPr="00CA4E0C">
        <w:rPr>
          <w:rFonts w:ascii="Times New Roman" w:hAnsi="Times New Roman" w:cs="Times New Roman"/>
          <w:sz w:val="24"/>
          <w:szCs w:val="24"/>
        </w:rPr>
        <w:t>showing a</w:t>
      </w:r>
      <w:r w:rsidR="006B143E" w:rsidRPr="00CA4E0C">
        <w:rPr>
          <w:rFonts w:ascii="Times New Roman" w:hAnsi="Times New Roman" w:cs="Times New Roman"/>
          <w:sz w:val="24"/>
          <w:szCs w:val="24"/>
        </w:rPr>
        <w:t xml:space="preserve"> peak of 18 </w:t>
      </w:r>
      <w:r w:rsidR="003B3D51">
        <w:rPr>
          <w:rFonts w:ascii="Times New Roman" w:hAnsi="Times New Roman" w:cs="Times New Roman"/>
          <w:sz w:val="24"/>
          <w:szCs w:val="24"/>
        </w:rPr>
        <w:t>percent</w:t>
      </w:r>
      <w:r w:rsidR="006B143E" w:rsidRPr="00CA4E0C">
        <w:rPr>
          <w:rFonts w:ascii="Times New Roman" w:hAnsi="Times New Roman" w:cs="Times New Roman"/>
          <w:sz w:val="24"/>
          <w:szCs w:val="24"/>
        </w:rPr>
        <w:t xml:space="preserve"> in 2010.  </w:t>
      </w:r>
      <w:r w:rsidR="00F52882">
        <w:rPr>
          <w:rFonts w:ascii="Times New Roman" w:hAnsi="Times New Roman" w:cs="Times New Roman"/>
          <w:sz w:val="24"/>
          <w:szCs w:val="24"/>
        </w:rPr>
        <w:t xml:space="preserve">This </w:t>
      </w:r>
      <w:r w:rsidR="007303F5">
        <w:rPr>
          <w:rFonts w:ascii="Times New Roman" w:hAnsi="Times New Roman" w:cs="Times New Roman"/>
          <w:sz w:val="24"/>
          <w:szCs w:val="24"/>
        </w:rPr>
        <w:t>appears disproportionately small when compared to</w:t>
      </w:r>
      <w:r w:rsidR="00F52882">
        <w:rPr>
          <w:rFonts w:ascii="Times New Roman" w:hAnsi="Times New Roman" w:cs="Times New Roman"/>
          <w:sz w:val="24"/>
          <w:szCs w:val="24"/>
        </w:rPr>
        <w:t xml:space="preserve"> the 69</w:t>
      </w:r>
      <w:r w:rsidR="00F52882" w:rsidRPr="00CA4E0C">
        <w:rPr>
          <w:rFonts w:ascii="Times New Roman" w:hAnsi="Times New Roman" w:cs="Times New Roman"/>
          <w:sz w:val="24"/>
          <w:szCs w:val="24"/>
        </w:rPr>
        <w:t xml:space="preserve"> </w:t>
      </w:r>
      <w:r w:rsidR="003B3D51">
        <w:rPr>
          <w:rFonts w:ascii="Times New Roman" w:hAnsi="Times New Roman" w:cs="Times New Roman"/>
          <w:sz w:val="24"/>
          <w:szCs w:val="24"/>
        </w:rPr>
        <w:t>percent</w:t>
      </w:r>
      <w:r w:rsidR="00F52882" w:rsidRPr="00CA4E0C">
        <w:rPr>
          <w:rFonts w:ascii="Times New Roman" w:hAnsi="Times New Roman" w:cs="Times New Roman"/>
          <w:sz w:val="24"/>
          <w:szCs w:val="24"/>
        </w:rPr>
        <w:t xml:space="preserve"> </w:t>
      </w:r>
      <w:r w:rsidR="00F52882">
        <w:rPr>
          <w:rFonts w:ascii="Times New Roman" w:hAnsi="Times New Roman" w:cs="Times New Roman"/>
          <w:sz w:val="24"/>
          <w:szCs w:val="24"/>
        </w:rPr>
        <w:t xml:space="preserve">of world market capitalisation represented by other countries in 2011.  </w:t>
      </w:r>
      <w:r w:rsidR="006B143E" w:rsidRPr="00CA4E0C">
        <w:rPr>
          <w:rFonts w:ascii="Times New Roman" w:hAnsi="Times New Roman" w:cs="Times New Roman"/>
          <w:sz w:val="24"/>
          <w:szCs w:val="24"/>
        </w:rPr>
        <w:t xml:space="preserve">In 2003 the US equity market </w:t>
      </w:r>
      <w:r w:rsidR="00F52882">
        <w:rPr>
          <w:rFonts w:ascii="Times New Roman" w:hAnsi="Times New Roman" w:cs="Times New Roman"/>
          <w:sz w:val="24"/>
          <w:szCs w:val="24"/>
        </w:rPr>
        <w:t>represented</w:t>
      </w:r>
      <w:r w:rsidR="00F52882" w:rsidRPr="00CA4E0C">
        <w:rPr>
          <w:rFonts w:ascii="Times New Roman" w:hAnsi="Times New Roman" w:cs="Times New Roman"/>
          <w:sz w:val="24"/>
          <w:szCs w:val="24"/>
        </w:rPr>
        <w:t xml:space="preserve"> 46 </w:t>
      </w:r>
      <w:r w:rsidR="003B3D51">
        <w:rPr>
          <w:rFonts w:ascii="Times New Roman" w:hAnsi="Times New Roman" w:cs="Times New Roman"/>
          <w:sz w:val="24"/>
          <w:szCs w:val="24"/>
        </w:rPr>
        <w:t>percent</w:t>
      </w:r>
      <w:r w:rsidR="00F52882" w:rsidRPr="00CA4E0C">
        <w:rPr>
          <w:rFonts w:ascii="Times New Roman" w:hAnsi="Times New Roman" w:cs="Times New Roman"/>
          <w:sz w:val="24"/>
          <w:szCs w:val="24"/>
        </w:rPr>
        <w:t xml:space="preserve"> </w:t>
      </w:r>
      <w:r w:rsidR="00F52882">
        <w:rPr>
          <w:rFonts w:ascii="Times New Roman" w:hAnsi="Times New Roman" w:cs="Times New Roman"/>
          <w:sz w:val="24"/>
          <w:szCs w:val="24"/>
        </w:rPr>
        <w:t xml:space="preserve">of the world market </w:t>
      </w:r>
      <w:r w:rsidR="006B143E" w:rsidRPr="00CA4E0C">
        <w:rPr>
          <w:rFonts w:ascii="Times New Roman" w:hAnsi="Times New Roman" w:cs="Times New Roman"/>
          <w:sz w:val="24"/>
          <w:szCs w:val="24"/>
        </w:rPr>
        <w:t>capitalisation</w:t>
      </w:r>
      <w:r w:rsidR="00F52882">
        <w:rPr>
          <w:rFonts w:ascii="Times New Roman" w:hAnsi="Times New Roman" w:cs="Times New Roman"/>
          <w:sz w:val="24"/>
          <w:szCs w:val="24"/>
        </w:rPr>
        <w:t>.  By 2011 that had fallen to 31</w:t>
      </w:r>
      <w:r w:rsidR="006B143E" w:rsidRPr="00CA4E0C">
        <w:rPr>
          <w:rFonts w:ascii="Times New Roman" w:hAnsi="Times New Roman" w:cs="Times New Roman"/>
          <w:sz w:val="24"/>
          <w:szCs w:val="24"/>
        </w:rPr>
        <w:t xml:space="preserve"> </w:t>
      </w:r>
      <w:r w:rsidR="003B3D51">
        <w:rPr>
          <w:rFonts w:ascii="Times New Roman" w:hAnsi="Times New Roman" w:cs="Times New Roman"/>
          <w:sz w:val="24"/>
          <w:szCs w:val="24"/>
        </w:rPr>
        <w:t>percent</w:t>
      </w:r>
      <w:r w:rsidR="006B143E" w:rsidRPr="00CA4E0C">
        <w:rPr>
          <w:rFonts w:ascii="Times New Roman" w:hAnsi="Times New Roman" w:cs="Times New Roman"/>
          <w:sz w:val="24"/>
          <w:szCs w:val="24"/>
        </w:rPr>
        <w:t>.</w:t>
      </w:r>
      <w:r w:rsidR="00F52882" w:rsidRPr="00CA4E0C">
        <w:rPr>
          <w:rFonts w:ascii="Times New Roman" w:hAnsi="Times New Roman" w:cs="Times New Roman"/>
          <w:sz w:val="24"/>
          <w:szCs w:val="24"/>
          <w:vertAlign w:val="superscript"/>
        </w:rPr>
        <w:footnoteReference w:id="4"/>
      </w:r>
      <w:r w:rsidR="006B143E" w:rsidRPr="00CA4E0C">
        <w:rPr>
          <w:rFonts w:ascii="Times New Roman" w:hAnsi="Times New Roman" w:cs="Times New Roman"/>
          <w:sz w:val="24"/>
          <w:szCs w:val="24"/>
        </w:rPr>
        <w:t xml:space="preserve">  Therefore, although US investors </w:t>
      </w:r>
      <w:r w:rsidR="00554021" w:rsidRPr="00CA4E0C">
        <w:rPr>
          <w:rFonts w:ascii="Times New Roman" w:hAnsi="Times New Roman" w:cs="Times New Roman"/>
          <w:sz w:val="24"/>
          <w:szCs w:val="24"/>
        </w:rPr>
        <w:t>may be</w:t>
      </w:r>
      <w:r w:rsidR="006B143E" w:rsidRPr="00CA4E0C">
        <w:rPr>
          <w:rFonts w:ascii="Times New Roman" w:hAnsi="Times New Roman" w:cs="Times New Roman"/>
          <w:sz w:val="24"/>
          <w:szCs w:val="24"/>
        </w:rPr>
        <w:t xml:space="preserve"> investing more overseas, the market capitalisation of the US as a percentage of the world has fallen over the same period, thereby causing little reduction in the degree of home bias</w:t>
      </w:r>
      <w:r w:rsidR="000C130B" w:rsidRPr="00CA4E0C">
        <w:rPr>
          <w:rFonts w:ascii="Times New Roman" w:hAnsi="Times New Roman" w:cs="Times New Roman"/>
          <w:sz w:val="24"/>
          <w:szCs w:val="24"/>
        </w:rPr>
        <w:t>.</w:t>
      </w:r>
      <w:r w:rsidR="00155BFA" w:rsidRPr="00CA4E0C">
        <w:rPr>
          <w:rFonts w:ascii="Times New Roman" w:hAnsi="Times New Roman" w:cs="Times New Roman"/>
          <w:sz w:val="24"/>
          <w:szCs w:val="24"/>
        </w:rPr>
        <w:t xml:space="preserve"> </w:t>
      </w:r>
    </w:p>
    <w:p w14:paraId="22F0F64F" w14:textId="77777777" w:rsidR="00BC36A4" w:rsidRDefault="00362F78" w:rsidP="009E0B56">
      <w:pPr>
        <w:spacing w:line="360" w:lineRule="auto"/>
        <w:jc w:val="both"/>
        <w:rPr>
          <w:rFonts w:ascii="Times New Roman" w:hAnsi="Times New Roman"/>
          <w:sz w:val="24"/>
          <w:szCs w:val="24"/>
        </w:rPr>
      </w:pPr>
      <w:r w:rsidRPr="000E6048">
        <w:rPr>
          <w:rFonts w:ascii="Times New Roman" w:hAnsi="Times New Roman"/>
          <w:sz w:val="24"/>
          <w:szCs w:val="24"/>
        </w:rPr>
        <w:t xml:space="preserve">Traditionally international diversification involves directly investing in equities traded abroad.  </w:t>
      </w:r>
      <w:r>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et al., (1999)", "previouslyFormattedCitation" : "(Errunza et al., 1999)" }, "properties" : { "noteIndex" : 0 }, "schema" : "https://github.com/citation-style-language/schema/raw/master/csl-citation.json" }</w:instrText>
      </w:r>
      <w:r>
        <w:rPr>
          <w:rFonts w:ascii="Times New Roman" w:hAnsi="Times New Roman"/>
          <w:sz w:val="24"/>
          <w:szCs w:val="24"/>
          <w:lang w:val="en-GB"/>
        </w:rPr>
        <w:fldChar w:fldCharType="separate"/>
      </w:r>
      <w:r w:rsidRPr="009C43AE">
        <w:rPr>
          <w:rFonts w:ascii="Times New Roman" w:hAnsi="Times New Roman"/>
          <w:noProof/>
          <w:sz w:val="24"/>
          <w:szCs w:val="24"/>
          <w:lang w:val="en-GB"/>
        </w:rPr>
        <w:t xml:space="preserve">Errunza et al., </w:t>
      </w:r>
      <w:r>
        <w:rPr>
          <w:rFonts w:ascii="Times New Roman" w:hAnsi="Times New Roman"/>
          <w:noProof/>
          <w:sz w:val="24"/>
          <w:szCs w:val="24"/>
          <w:lang w:val="en-GB"/>
        </w:rPr>
        <w:t>(</w:t>
      </w:r>
      <w:r w:rsidRPr="009C43AE">
        <w:rPr>
          <w:rFonts w:ascii="Times New Roman" w:hAnsi="Times New Roman"/>
          <w:noProof/>
          <w:sz w:val="24"/>
          <w:szCs w:val="24"/>
          <w:lang w:val="en-GB"/>
        </w:rPr>
        <w:t>1999)</w:t>
      </w:r>
      <w:r>
        <w:rPr>
          <w:rFonts w:ascii="Times New Roman" w:hAnsi="Times New Roman"/>
          <w:sz w:val="24"/>
          <w:szCs w:val="24"/>
          <w:lang w:val="en-GB"/>
        </w:rPr>
        <w:fldChar w:fldCharType="end"/>
      </w:r>
      <w:r>
        <w:rPr>
          <w:rFonts w:ascii="Times New Roman" w:hAnsi="Times New Roman"/>
          <w:sz w:val="24"/>
          <w:szCs w:val="24"/>
          <w:lang w:val="en-GB"/>
        </w:rPr>
        <w:t xml:space="preserve"> introduce the concept of ‘home-made’ international diversification.  </w:t>
      </w:r>
      <w:r w:rsidRPr="000E6048">
        <w:rPr>
          <w:rFonts w:ascii="Times New Roman" w:hAnsi="Times New Roman"/>
          <w:sz w:val="24"/>
          <w:szCs w:val="24"/>
        </w:rPr>
        <w:t>Investing in securities that trade domestically and provide international exposure may be an indirect method of reaping the benefits of</w:t>
      </w:r>
      <w:r>
        <w:rPr>
          <w:rFonts w:ascii="Times New Roman" w:hAnsi="Times New Roman"/>
          <w:sz w:val="24"/>
          <w:szCs w:val="24"/>
        </w:rPr>
        <w:t xml:space="preserve"> international diversification, while avoiding </w:t>
      </w:r>
      <w:r w:rsidRPr="000E6048">
        <w:rPr>
          <w:rFonts w:ascii="Times New Roman" w:hAnsi="Times New Roman"/>
          <w:sz w:val="24"/>
          <w:szCs w:val="24"/>
        </w:rPr>
        <w:t xml:space="preserve">the costs and </w:t>
      </w:r>
      <w:r>
        <w:rPr>
          <w:rFonts w:ascii="Times New Roman" w:hAnsi="Times New Roman"/>
          <w:sz w:val="24"/>
          <w:szCs w:val="24"/>
        </w:rPr>
        <w:t>inconvenience of investing abroad</w:t>
      </w:r>
      <w:r w:rsidRPr="000E6048">
        <w:rPr>
          <w:rFonts w:ascii="Times New Roman" w:hAnsi="Times New Roman"/>
          <w:sz w:val="24"/>
          <w:szCs w:val="24"/>
        </w:rPr>
        <w:t xml:space="preserve">.  </w:t>
      </w:r>
      <w:r w:rsidRPr="000E6048">
        <w:rPr>
          <w:rFonts w:ascii="Times New Roman" w:hAnsi="Times New Roman"/>
          <w:sz w:val="24"/>
          <w:szCs w:val="24"/>
          <w:lang w:val="en-GB"/>
        </w:rPr>
        <w:t xml:space="preserve">Many estimates of investors’ exposure to foreign markets include only direct international portfolio investments, ignoring the indirect exposure that can be achieved via domestic equity products.  Investors’ tendencies to overinvest domestically may be partly due to a preference for this </w:t>
      </w:r>
      <w:r w:rsidRPr="000E6048">
        <w:rPr>
          <w:rFonts w:ascii="Times New Roman" w:hAnsi="Times New Roman"/>
          <w:i/>
          <w:sz w:val="24"/>
          <w:szCs w:val="24"/>
          <w:lang w:val="en-GB"/>
        </w:rPr>
        <w:t>indirect</w:t>
      </w:r>
      <w:r w:rsidRPr="000E6048">
        <w:rPr>
          <w:rFonts w:ascii="Times New Roman" w:hAnsi="Times New Roman"/>
          <w:sz w:val="24"/>
          <w:szCs w:val="24"/>
          <w:lang w:val="en-GB"/>
        </w:rPr>
        <w:t xml:space="preserve"> foreign exposure.  </w:t>
      </w:r>
      <w:r>
        <w:rPr>
          <w:rFonts w:ascii="Times New Roman" w:hAnsi="Times New Roman"/>
          <w:sz w:val="24"/>
          <w:szCs w:val="24"/>
        </w:rPr>
        <w:t>A</w:t>
      </w:r>
      <w:r w:rsidRPr="000E6048">
        <w:rPr>
          <w:rFonts w:ascii="Times New Roman" w:hAnsi="Times New Roman"/>
          <w:sz w:val="24"/>
          <w:szCs w:val="24"/>
        </w:rPr>
        <w:t xml:space="preserve"> study by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"15446123", "abstract" : "We show that US investors obtain substantial foreign exposure through their holdings of domestic equities. Domestic multinationals, in particular, provide significant foreign exposure. We also find that, although the average US investor is less tilted toward domestic multinationals, institutional investors do overweight domestic firms that are more internationally oriented. \u2018Indirect\u2019 foreign holdings through domestic multinationals are shown to be substantial; combining them with reported data on international positions almost doubles US investors\u2019 total \u2018foreign\u2019 holdings. Our findings indicate that the home bias is not as severe as assessments based on reported international investment statistics suggest.", "author" : [ { "dropping-particle" : "", "family" : "Cai", "given" : "Fang", "non-dropping-particle" : "", "parse-names" : false, "suffix" : "" }, { "dropping-particle" : "", "family" : "Warnock", "given" : "Francis E.", "non-dropping-particle" : "", "parse-names" : false, "suffix" : "" } ], "container-title" : "Finance Research Letters", "id" : "ITEM-1", "issue" : "1", "issued" : { "date-parts" : [ [ "2012", "3" ] ] }, "page" : "8-20", "title" : "Foreign exposure through domestic equities", "type" : "article-journal", "volume" : "9" }, "uris" : [ "http://www.mendeley.com/documents/?uuid=0a727c06-06c8-4a4c-8796-7e39581854c5" ] } ], "mendeley" : { "manualFormatting" : "Cai &amp; Warnock (2012)", "previouslyFormattedCitation" : "(Cai &amp; Warnock, 2012)"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Cai &amp; Warnock (2012)</w:t>
      </w:r>
      <w:r w:rsidRPr="000E6048">
        <w:rPr>
          <w:rFonts w:ascii="Times New Roman" w:hAnsi="Times New Roman"/>
          <w:sz w:val="24"/>
          <w:szCs w:val="24"/>
        </w:rPr>
        <w:fldChar w:fldCharType="end"/>
      </w:r>
      <w:r w:rsidRPr="000E6048">
        <w:rPr>
          <w:rFonts w:ascii="Times New Roman" w:hAnsi="Times New Roman"/>
          <w:sz w:val="24"/>
          <w:szCs w:val="24"/>
        </w:rPr>
        <w:t xml:space="preserve"> argues that a more comprehensive analysis of the home bias puzzle requires careful distinction between ‘domestic’ and ‘international’ investment.  They contend that the degree of home bias is overestimated when home-based foreign exposure is not counted as ‘foreign’ investment.</w:t>
      </w:r>
      <w:r w:rsidR="009E0B56">
        <w:rPr>
          <w:rFonts w:ascii="Times New Roman" w:hAnsi="Times New Roman"/>
          <w:sz w:val="24"/>
          <w:szCs w:val="24"/>
        </w:rPr>
        <w:t xml:space="preserve">  </w:t>
      </w:r>
    </w:p>
    <w:p w14:paraId="1125EFAC" w14:textId="77777777" w:rsidR="009E0B56" w:rsidRPr="000E6048" w:rsidRDefault="00BC36A4" w:rsidP="009E0B56">
      <w:pPr>
        <w:spacing w:line="360" w:lineRule="auto"/>
        <w:jc w:val="both"/>
        <w:rPr>
          <w:color w:val="FF0000"/>
          <w:lang w:val="en-GB"/>
        </w:rPr>
      </w:pP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Hogan, and Hung (1999)", "previouslyFormattedCitation" : "(Errunza et al., 1999)"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Errunza, Hogan, and Hung (1999)</w:t>
      </w:r>
      <w:r w:rsidRPr="000E6048">
        <w:rPr>
          <w:rFonts w:ascii="Times New Roman" w:hAnsi="Times New Roman"/>
          <w:sz w:val="24"/>
          <w:szCs w:val="24"/>
        </w:rPr>
        <w:fldChar w:fldCharType="end"/>
      </w:r>
      <w:r w:rsidRPr="000E6048">
        <w:rPr>
          <w:rFonts w:ascii="Times New Roman" w:hAnsi="Times New Roman"/>
          <w:sz w:val="24"/>
          <w:szCs w:val="24"/>
        </w:rPr>
        <w:t xml:space="preserve"> combine </w:t>
      </w:r>
      <w:r>
        <w:rPr>
          <w:rFonts w:ascii="Times New Roman" w:hAnsi="Times New Roman"/>
          <w:sz w:val="24"/>
          <w:szCs w:val="24"/>
        </w:rPr>
        <w:t xml:space="preserve">US </w:t>
      </w:r>
      <w:r w:rsidRPr="000E6048">
        <w:rPr>
          <w:rFonts w:ascii="Times New Roman" w:hAnsi="Times New Roman"/>
          <w:sz w:val="24"/>
          <w:szCs w:val="24"/>
        </w:rPr>
        <w:t xml:space="preserve">Industry Indices, MNCs, CCFs and ADRs into portfolios which attempt to replicate </w:t>
      </w:r>
      <w:r>
        <w:rPr>
          <w:rFonts w:ascii="Times New Roman" w:hAnsi="Times New Roman"/>
          <w:sz w:val="24"/>
          <w:szCs w:val="24"/>
        </w:rPr>
        <w:t xml:space="preserve">each of </w:t>
      </w:r>
      <w:r w:rsidRPr="000E6048">
        <w:rPr>
          <w:rFonts w:ascii="Times New Roman" w:hAnsi="Times New Roman"/>
          <w:sz w:val="24"/>
          <w:szCs w:val="24"/>
        </w:rPr>
        <w:t>16 foreign country indices</w:t>
      </w:r>
      <w:r>
        <w:rPr>
          <w:rFonts w:ascii="Times New Roman" w:hAnsi="Times New Roman"/>
          <w:sz w:val="24"/>
          <w:szCs w:val="24"/>
        </w:rPr>
        <w:t>, 9 emerging markets and 7 developed markets</w:t>
      </w:r>
      <w:r w:rsidRPr="000E6048">
        <w:rPr>
          <w:rFonts w:ascii="Times New Roman" w:hAnsi="Times New Roman"/>
          <w:sz w:val="24"/>
          <w:szCs w:val="24"/>
        </w:rPr>
        <w:t>.  Using data from 1976 to 1993, they find that US investors can mimic foreign m</w:t>
      </w:r>
      <w:r w:rsidR="002B6A96">
        <w:rPr>
          <w:rFonts w:ascii="Times New Roman" w:hAnsi="Times New Roman"/>
          <w:sz w:val="24"/>
          <w:szCs w:val="24"/>
        </w:rPr>
        <w:t>arket returns with domestically-</w:t>
      </w:r>
      <w:r w:rsidRPr="000E6048">
        <w:rPr>
          <w:rFonts w:ascii="Times New Roman" w:hAnsi="Times New Roman"/>
          <w:sz w:val="24"/>
          <w:szCs w:val="24"/>
        </w:rPr>
        <w:t xml:space="preserve">traded securities.  They claim that the gains from international diversification are overstated and should only be measured beyond those attainable through home-based diversification.  They find that most of the diversification benefits are found when portfolios include ADRs and Country Funds.  Using Mean-Variance Spanning they find </w:t>
      </w:r>
      <w:r w:rsidRPr="000E6048">
        <w:rPr>
          <w:rFonts w:ascii="Times New Roman" w:hAnsi="Times New Roman"/>
          <w:sz w:val="24"/>
          <w:szCs w:val="24"/>
        </w:rPr>
        <w:lastRenderedPageBreak/>
        <w:t xml:space="preserve">that the replicating portfolios provide diversification benefits for 9 countries using Ordinary Least Squares (OLS) estimation and for 11 countries using Generalised Method of Moments (GMM) estimation. A similar study was conducted in the UK by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"13547798", "abstract" : "Abstract In spite of the popularity of international portfolio diversification theory, extant empirical literature shows that investors prefer domestic assets and as a result, many studies argue that investors\u2019 portfolios are largely suboptimal. This paper examines whether British investors need to diversify their portfolios internation- ally to gain performance benefits from international markets or can they obtain these benefits by mimicking the portfolios with domestically traded assets. The results confirm that it is possible to mimic the performance of foreign equity with domestic equity. Indeed, the pay-offs from homemade portfolios outperform those from international portfolios regardless of the periodic variation in the overall performance of the UK market vis-` a-vis foreign markets. The superiority of homemade portfolio is more prominent in recent years and is enhanced by the increased internationalisation of developed capital markets. Therefore, investors\u2019 home bias is not suboptimal.", "author" : [ { "dropping-particle" : "", "family" : "Antoniou", "given" : "Antonios", "non-dropping-particle" : "", "parse-names" : false, "suffix" : "" }, { "dropping-particle" : "", "family" : "Olusi", "given" : "Olasupo", "non-dropping-particle" : "", "parse-names" : false, "suffix" : "" }, { "dropping-particle" : "", "family" : "Paudyal", "given" : "Krishna", "non-dropping-particle" : "", "parse-names" : false, "suffix" : "" } ], "container-title" : "European Financial Management", "id" : "ITEM-1", "issue" : "3", "issued" : { "date-parts" : [ [ "2010", "4", "27" ] ] }, "page" : "449-479", "title" : "Equity Home-Bias: A Suboptimal Choice for UK investors?", "type" : "article-journal", "volume" : "16" }, "uris" : [ "http://www.mendeley.com/documents/?uuid=6b85cd01-4e75-4bf0-ac1a-8dbda29fd984" ] } ], "mendeley" : { "manualFormatting" : "Antoniou, Olusi, &amp; Paudyal (2010)", "previouslyFormattedCitation" : "(Antoniou, Olusi, &amp; Paudyal, 2010)"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Antoniou, Olusi, &amp; Paudyal (2010)</w:t>
      </w:r>
      <w:r w:rsidRPr="000E6048">
        <w:rPr>
          <w:rFonts w:ascii="Times New Roman" w:hAnsi="Times New Roman"/>
          <w:sz w:val="24"/>
          <w:szCs w:val="24"/>
        </w:rPr>
        <w:fldChar w:fldCharType="end"/>
      </w:r>
      <w:r w:rsidRPr="000E6048">
        <w:rPr>
          <w:rFonts w:ascii="Times New Roman" w:hAnsi="Times New Roman"/>
          <w:sz w:val="24"/>
          <w:szCs w:val="24"/>
        </w:rPr>
        <w:t xml:space="preserve"> which tests whether portfolios of UK-traded equity products can mimic foreign market indices between 1994 and 2003.  They find international diversification benefits to be mainly attainable via UK MNCs, cross-listings and country funds and less so via industrial diversification.  They conclude that overseas investment is no longer necessary for UK investors to reap the benefits of international diversification.  </w:t>
      </w:r>
    </w:p>
    <w:p w14:paraId="77684B15" w14:textId="77777777" w:rsidR="001F233D" w:rsidRPr="00CA4E0C" w:rsidRDefault="001F233D" w:rsidP="001F233D">
      <w:pPr>
        <w:spacing w:line="360" w:lineRule="auto"/>
        <w:jc w:val="both"/>
        <w:rPr>
          <w:rFonts w:ascii="Times New Roman" w:hAnsi="Times New Roman" w:cs="Times New Roman"/>
          <w:color w:val="FF0000"/>
          <w:sz w:val="24"/>
          <w:szCs w:val="24"/>
        </w:rPr>
      </w:pPr>
      <w:r w:rsidRPr="00CA4E0C">
        <w:rPr>
          <w:rFonts w:ascii="Times New Roman" w:hAnsi="Times New Roman" w:cs="Times New Roman"/>
          <w:sz w:val="24"/>
          <w:szCs w:val="24"/>
        </w:rPr>
        <w:t xml:space="preserve">While these two studies compare several equity products, there are many studies on the diversification benefits of individual equity products.  With regard to industry diversification, earlier studies find that country effects dominate industry effects and that diversification across countries is preferable to diversification across industries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"author" : [ { "dropping-particle" : "", "family" : "Lessard", "given" : "Donald R.", "non-dropping-particle" : "", "parse-names" : false, "suffix" : "" } ], "container-title" : "The Journal of Finance", "id" : "ITEM-1", "issue" : "2", "issued" : { "date-parts" : [ [ "1974" ] ] }, "page" : "379 - 391", "publisher" : "Blackwell Publishing for the American Finance Association", "title" : "World, National, and Industry Factors in Equity Returns", "type" : "article-journal", "volume" : "29" }, "uris" : [ "http://www.mendeley.com/documents/?uuid=5987dfd7-2dfd-47fa-aa3b-7eef8c2457db" ] }, { "id" : "ITEM-2", "itemData" : { "author" : [ { "dropping-particle" : "", "family" : "Roll", "given" : "Richard", "non-dropping-particle" : "", "parse-names" : false, "suffix" : "" } ], "container-title" : "The Journal of Finance", "id" : "ITEM-2", "issue" : "1", "issued" : { "date-parts" : [ [ "1992" ] ] }, "page" : "3 - 41", "publisher" : "Blackwell Publishing for the American Finance Association", "title" : "Industrial Structure and the Comparative Behavior of International Stock Market Indices", "type" : "article-journal", "volume" : "47" }, "uris" : [ "http://www.mendeley.com/documents/?uuid=09507ddb-7e2f-46e1-b4b4-c23a999ff937" ] } ], "mendeley" : { "previouslyFormattedCitation" : "(Lessard, 1974; Roll, 1992)"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(Lessard, 1974; Roll, 1992)</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Subsequent studies find industry effects to be increasing in importance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"Previous studies of the relative importance of industry and country factors in determining equity returns generally concluded that country factors dominate industry factors. We present evidence that industry factors have been growing in relative importance and may now dominate country factors. Furthermore, our evidence suggests that over the past five years, diversification across global industries has provided greater risk reduction than diversification by countries. These findings suggest that industry allocation is an increasingly important consideration for active managers of global equity portfolios and that investors may wish to reconsider home-biased equity allocation policies.", "author" : [ { "dropping-particle" : "", "family" : "Cavaglia", "given" : "Stefano", "non-dropping-particle" : "", "parse-names" : false, "suffix" : "" }, { "dropping-particle" : "", "family" : "Brightman", "given" : "Christopher", "non-dropping-particle" : "", "parse-names" : false, "suffix" : "" }, { "dropping-particle" : "", "family" : "Aked", "given" : "Michael", "non-dropping-particle" : "", "parse-names" : false, "suffix" : "" } ], "container-title" : "Financial Analysts Journal", "id" : "ITEM-1", "issue" : "5", "issued" : { "date-parts" : [ [ "2000" ] ] }, "page" : "41 - 54", "publisher" : "CFA Institute", "title" : "The Increasing Importance of Industry Factors", "type" : "article-journal", "volume" : "56" }, "uris" : [ "http://www.mendeley.com/documents/?uuid=8186ae2b-7803-48b1-8fc0-5057d52dcd01" ] }, { "id" : "ITEM-2", "itemData" : { "abstract" : "Historically, country effects have been dominant in explaining variations in global stock returns, even in the developed markets, and investors have segmented their allocations accordingly. We set out to investigate whether this situation still prevails. We found a significant shift in the relative importance of national and economic influences in the stock returns of the world's largest equity markets. In these markets, the impact of industrial sector effects is now roughly equal to that of country effects. In addition to supporting the notion of increasing global capital market integration, these findings suggest that country-based approaches to global investment management may be losing their effectiveness.", "author" : [ { "dropping-particle" : "", "family" : "Baca", "given" : "Sean P.", "non-dropping-particle" : "", "parse-names" : false, "suffix" : "" }, { "dropping-particle" : "", "family" : "Garbe", "given" : "Brian L.", "non-dropping-particle" : "", "parse-names" : false, "suffix" : "" }, { "dropping-particle" : "", "family" : "Weiss", "given" : "Richard A.", "non-dropping-particle" : "", "parse-names" : false, "suffix" : "" } ], "container-title" : "Financial Analysts Journal", "id" : "ITEM-2", "issue" : "5", "issued" : { "date-parts" : [ [ "2000" ] ] }, "page" : "34 - 40", "publisher" : "CFA Institute", "title" : "The Rise of Sector Effects in Major Equity Markets", "type" : "article-journal", "volume" : "56" }, "uris" : [ "http://www.mendeley.com/documents/?uuid=df9c902c-fceb-463a-b9cb-978489f22816" ] }, { "id" : "ITEM-3", "itemData" : { "ISSN" : "15660141", "abstract" : "This study examines the influence of country and industry factors on the cross-sectional variance and correlation structure of returns. I use new data on emerging markets\u2019 stocks obtained from the Emerging Markets Data Base. I find that emerging markets\u2019 returns are mainly driven by country factors, as it was shown previously in studies for mature markets, and that cross-market correlation is not affected by the industrial composition of the indices. These results have important implications in regard to international portfolio diversification: cross-market diversification seems to be a better bet than cross-industry diversification. A finer industry partition shows, however, that ignoring the industrial mix leads to an important loss of diversification benefits.", "author" : [ { "dropping-particle" : "", "family" : "Serra", "given" : "Ana Paula", "non-dropping-particle" : "", "parse-names" : false, "suffix" : "" } ], "container-title" : "Emerging Markets Review", "id" : "ITEM-3", "issue" : "2", "issued" : { "date-parts" : [ [ "2000", "9" ] ] }, "page" : "127-151", "title" : "Country and industry factors in returns: evidence from emerging markets' stocks", "type" : "article-journal", "volume" : "1" }, "uris" : [ "http://www.mendeley.com/documents/?uuid=9a75b9d2-74a0-490a-82cf-4eddddfafd1a" ] } ], "mendeley" : { "manualFormatting" : "(Baca, Garbe, and Weiss, 2000; Cavaglia, Brightman, and Aked, 2000; Serra, 2000", "previouslyFormattedCitation" : "(Baca et al., 2000; Cavaglia et al., 2000; Serra, 2000)"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(Baca, Garbe, and Weiss, 2000; Cavaglia, Brightman, and Aked, 2000; Serra, 2000</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"1354-7798", "author" : [ { "dropping-particle" : "", "family" : "Ferreira", "given" : "Miguel Almeida", "non-dropping-particle" : "", "parse-names" : false, "suffix" : "" }, { "dropping-particle" : "", "family" : "Ferreira", "given" : "Miguel Angelo", "non-dropping-particle" : "", "parse-names" : false, "suffix" : "" } ], "container-title" : "European Financial Management", "id" : "ITEM-1", "issue" : "3", "issued" : { "date-parts" : [ [ "2006", "6" ] ] }, "page" : "341-373", "title" : "The Importance of Industry and Country Effects in the EMU Equity Markets", "type" : "article-journal", "volume" : "12" }, "uris" : [ "http://www.mendeley.com/documents/?uuid=4e447961-f63c-4b34-934f-c886c1bc8c94" ] }, { "id" : "ITEM-2", "itemData" : { "ISSN" : "00221082", "author" : [ { "dropping-particle" : "", "family" : "Bekaert", "given" : "Geert", "non-dropping-particle" : "", "parse-names" : false, "suffix" : "" }, { "dropping-particle" : "", "family" : "Hodrick", "given" : "Robert J.", "non-dropping-particle" : "", "parse-names" : false, "suffix" : "" }, { "dropping-particle" : "", "family" : "Zhang", "given" : "Xiaoyan", "non-dropping-particle" : "", "parse-names" : false, "suffix" : "" } ], "container-title" : "The Journal of Finance", "id" : "ITEM-2", "issue" : "6", "issued" : { "date-parts" : [ [ "2009", "12" ] ] }, "page" : "2591-2626", "title" : "International Stock Return Comovements", "type" : "article-journal", "volume" : "64" }, "uris" : [ "http://www.mendeley.com/documents/?uuid=2cb56540-6bf7-4632-8aeb-d339a8733980" ] } ], "mendeley" : { "manualFormatting" : "Ferreira and Ferreira, 2006) ", "previouslyFormattedCitation" : "(Bekaert, Hodrick, &amp; Zhang, 2009; Ferreira &amp; Ferreira, 2006)"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 xml:space="preserve">Ferreira and Ferreira, 2006) </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while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"02615606", "abstract" : "We examine the relative benefits of industrial versus geographical diversification in the Euro zone before and after the introduction of the common currency. A priori, one may expect that increased stock market correlation would precipitate a move from geographical towards industrial diversification. We employ the empirical model of Heston and Rouwenhorst but show that adopting a panel data approach is a more efficient estimation method. We find evidence of a shift in factor importance; from country to industry. However, this is not exclusive to the Euro zone but is also present for non-EMU European countries. Therefore, fund managers should pursue industrial rather than geographical diversification strategies.", "author" : [ { "dropping-particle" : "", "family" : "Flavin", "given" : "Thomas J.", "non-dropping-particle" : "", "parse-names" : false, "suffix" : "" } ], "container-title" : "Journal of International Money and Finance", "id" : "ITEM-1", "issue" : "7-8", "issued" : { "date-parts" : [ [ "2004", "11" ] ] }, "page" : "1137-1158", "title" : "The effect of the Euro on country versus industry portfolio diversification", "type" : "article-journal", "volume" : "23" }, "uris" : [ "http://www.mendeley.com/documents/?uuid=b6ecb500-88a9-48a0-bd68-d45ffae73995" ] } ], "mendeley" : { "manualFormatting" : "Flavin (2004)", "previouslyFormattedCitation" : "(Flavin, 2004b)"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Flavin (2004)</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and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"02615606", "abstract" : "The harmonization of fiscal and economic policy within the European Monetary Union (EMU) has had a considerable impact on the economies of member countries. In particular, several studies indicate that the proceeding economic integration among euro area countries has important consequences for the factors driving asset returns in financial markets. However, these studies rely on one specific methodology [Heston, S.L., Rouwenhorst, K.G., 1994. Does industrial structure explain the benefits of international diversification? Journal of Financial Economics 36, 3\u201327; Heston, S.L., Rouwenhorst, K.G., 1995. Industry and country effects in international stock returns. Journal of Portfolio Management Spring, 53\u201358], that has recently been criticized as too restrictive. This study adopts a mean\u2013variance approach instead. Using recent euro area stock markets data, we find strong evidence that diversification over industries yields more efficient portfolios than diversification over countries.", "author" : [ { "dropping-particle" : "", "family" : "Moerman", "given" : "Gerard A.", "non-dropping-particle" : "", "parse-names" : false, "suffix" : "" } ], "container-title" : "Journal of International Money and Finance", "id" : "ITEM-1", "issue" : "7", "issued" : { "date-parts" : [ [ "2008", "11" ] ] }, "page" : "1122-1134", "title" : "Diversification in euro area stock markets: Country versus industry", "type" : "article-journal", "volume" : "27" }, "uris" : [ "http://www.mendeley.com/documents/?uuid=f9488ed3-6f76-491d-a5b6-75d4bd3c0730" ] } ], "mendeley" : { "manualFormatting" : "Moerman (2008)", "previouslyFormattedCitation" : "(Moerman, 2008)"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Moerman (2008)</w:t>
      </w:r>
      <w:r w:rsidRPr="00CA4E0C">
        <w:rPr>
          <w:rFonts w:ascii="Times New Roman" w:hAnsi="Times New Roman" w:cs="Times New Roman"/>
          <w:sz w:val="24"/>
          <w:szCs w:val="24"/>
        </w:rPr>
        <w:fldChar w:fldCharType="end"/>
      </w:r>
      <w:r w:rsidRPr="00CA4E0C">
        <w:rPr>
          <w:rFonts w:ascii="Times New Roman" w:hAnsi="Times New Roman" w:cs="Times New Roman"/>
          <w:color w:val="FF0000"/>
          <w:sz w:val="24"/>
          <w:szCs w:val="24"/>
        </w:rPr>
        <w:t xml:space="preserve"> </w:t>
      </w:r>
      <w:r w:rsidRPr="00CA4E0C">
        <w:rPr>
          <w:rFonts w:ascii="Times New Roman" w:hAnsi="Times New Roman" w:cs="Times New Roman"/>
          <w:sz w:val="24"/>
          <w:szCs w:val="24"/>
        </w:rPr>
        <w:t xml:space="preserve">find that industry effects dominate country effects in European countries.  More recently, however,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"02615606", "abstract" : "The paper compares the dynamics of global, country and industry effects in firm level returns between emerging and mature markets. Based on 1893 firms in MSCI global index from 1990 to 2002 from 37 countries, our results show that the global and industry effects are still dominated by the country effects in emerging markets in contrast to developed markets. The results are robust to controlling for variables, which might have significant impact on firms' factor effects, such as the firm's business globalization, financial market integration and TMT sector affiliation. Our findings have important implications for international portfolio diversification.", "author" : [ { "dropping-particle" : "", "family" : "Phylaktis", "given" : "Kate", "non-dropping-particle" : "", "parse-names" : false, "suffix" : "" }, { "dropping-particle" : "", "family" : "Xia", "given" : "Lichuan", "non-dropping-particle" : "", "parse-names" : false, "suffix" : "" } ], "container-title" : "Journal of International Money and Finance", "id" : "ITEM-1", "issue" : "3", "issued" : { "date-parts" : [ [ "2006", "4" ] ] }, "page" : "459-475", "title" : "Sources of firms' industry and country effects in emerging markets", "type" : "article-journal", "volume" : "25" }, "uris" : [ "http://www.mendeley.com/documents/?uuid=38fe1065-6d2b-41b4-acf1-918f62e55c36" ] } ], "mendeley" : { "manualFormatting" : "Phylaktis &amp; Xia (2006)", "previouslyFormattedCitation" : "(Phylaktis &amp; Xia, 2006)"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Phylaktis &amp; Xia (2006)</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country effects are still stronger than industry effects in emerging markets, and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"1556-5068", "abstract" : "This paper examines the role of common, country and industry effects in international diversification potential in ASEAN stock markets. Following a decomposition approach, we extract these effects from stock returns. We further examine the determinants of country effects using ICRG country risk indexes. Our sample comprises 3460 individual firms across ASEAN-5 classified using the industry classification benchmark (ICB) over the period 1994-2010. The decomposition analysis indicates that country effects dominate industry effects despite the increasing integration of economic and financial markets. However, a diminishing trend of country effects domination coupled with improving fundamentals in ASEAN-5 is observed during the recent subprime crisis. In addition, most of the variations in stock returns are attributed to common effects, suggesting strong integration of stock markets in ASEAN-5. Lastly, the determinant analysis shows political risk is the main driving forces behind the dominance of country effects.", "author" : [ { "dropping-particle" : "", "family" : "Lee", "given" : "Meng Horng", "non-dropping-particle" : "", "parse-names" : false, "suffix" : "" }, { "dropping-particle" : "", "family" : "Hooy", "given" : "Chee Wooi", "non-dropping-particle" : "", "parse-names" : false, "suffix" : "" } ], "container-title" : "SSRN Electronic Journal", "id" : "ITEM-1", "issued" : { "date-parts" : [ [ "2012", "1", "18" ] ] }, "title" : "Country Versus Industry Diversification in ASEAN-5", "type" : "article-journal" }, "uris" : [ "http://www.mendeley.com/documents/?uuid=b191dc23-81b4-48b5-8b0c-b9246bc5b07c" ] } ], "mendeley" : { "manualFormatting" : "Lee &amp; Hooy (2012)", "previouslyFormattedCitation" : "(M. H. Lee &amp; Hooy, 2012)"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Lee &amp; Hooy (2012)</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similar results in the </w:t>
      </w:r>
      <w:proofErr w:type="spellStart"/>
      <w:r w:rsidRPr="00CA4E0C">
        <w:rPr>
          <w:rFonts w:ascii="Times New Roman" w:hAnsi="Times New Roman" w:cs="Times New Roman"/>
          <w:sz w:val="24"/>
          <w:szCs w:val="24"/>
        </w:rPr>
        <w:t>Asean</w:t>
      </w:r>
      <w:proofErr w:type="spellEnd"/>
      <w:r w:rsidRPr="00CA4E0C">
        <w:rPr>
          <w:rFonts w:ascii="Times New Roman" w:hAnsi="Times New Roman" w:cs="Times New Roman"/>
          <w:sz w:val="24"/>
          <w:szCs w:val="24"/>
        </w:rPr>
        <w:t xml:space="preserve"> 5 countries.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"00221082", "author" : [ { "dropping-particle" : "", "family" : "Bekaert", "given" : "Geert", "non-dropping-particle" : "", "parse-names" : false, "suffix" : "" }, { "dropping-particle" : "", "family" : "Hodrick", "given" : "Robert J.", "non-dropping-particle" : "", "parse-names" : false, "suffix" : "" }, { "dropping-particle" : "", "family" : "Zhang", "given" : "Xiaoyan", "non-dropping-particle" : "", "parse-names" : false, "suffix" : "" } ], "container-title" : "The Journal of Finance", "id" : "ITEM-1", "issue" : "6", "issued" : { "date-parts" : [ [ "2009", "12" ] ] }, "page" : "2591-2626", "title" : "International Stock Return Comovements", "type" : "article-journal", "volume" : "64" }, "uris" : [ "http://www.mendeley.com/documents/?uuid=2cb56540-6bf7-4632-8aeb-d339a8733980" ] } ], "mendeley" : { "manualFormatting" : "Bekaert et al. (2009)", "previouslyFormattedCitation" : "(Bekaert et al., 2009)"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Bekaert et al. (2009)</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the increasing relative importance of industry factors appears to have been temporary, while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"In this paper we disentangle, analytically and empirically, the roles of the unit-exposure restriction in Heston and Rouwenhorst (1994). We show that if the purpose is to construct factors, the unit-exposure variance-analysis model can be viewed as just an algorithm that does not really assume a return-generating process; and in practice the effect of relaxing the restriction is immaterial. The restriction is more important if one wants to estimate whether, for a typical stock, the country factor generates more variance than the sector factor: exposure estimation becomes more important (i) the further the average exposures are from unity; or (ii) the higher the dispersion of the exposures. With respect to (i), the more important the corrections for sector (or geographical) structure in country (or sector) factors are, the more the average exposure falls below unity. Thus, the average exposure provides an alternative indicator of the importance of country versus sector effects. We empirically find that the average sector exposure is low (0.3) compared to the average country exposure (0.9). With respect to (ii) we correct the dispersion of exposures for estimation error in the exposures. We find that in our sample these estimation error corrections are more important for sector factors than for country factors, and that country factors are generating far more variance, in a typical stock's return, than do sector factors.", "author" : [ { "dropping-particle" : "", "family" : "Moor", "given" : "Lieven", "non-dropping-particle" : "De", "parse-names" : false, "suffix" : "" }, { "dropping-particle" : "", "family" : "Sercu", "given" : "Piet", "non-dropping-particle" : "", "parse-names" : false, "suffix" : "" } ], "container-title" : "Journal of Empirical Finance", "id" : "ITEM-1", "issue" : "1", "issued" : { "date-parts" : [ [ "2011" ] ] }, "page" : "64-77", "title" : "Country versus sector factors in equity returns: The roles of non-unit exposures", "type" : "article-journal", "volume" : "18" }, "uris" : [ "http://www.mendeley.com/documents/?uuid=47562580-4bac-4094-b247-05873583fa05" ] } ], "mendeley" : { "manualFormatting" : "De Moor &amp; Sercu (2011)", "previouslyFormattedCitation" : "(De Moor &amp; Sercu, 2011)"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De Moor &amp; Sercu (2011)</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conclude that country factors remain influential and find no sign that this is being severely altered.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"Global stock market investment has highlighted the debate about whether country effects are typically more relevant than sector/industry effects in international stock returns. This paper studies the roles of country and industry effect on several major European financial markets. We find clear evidence that diversification over industries yields fundamental relevance for obtaining more efficient portfolios, and that ignoring the industrial mix leads to an important loss of diversification benefits. In addition we examine the behavior of country and industry effects during high (low) volatility periods. Alluring investors to diversify across industries requires a country to industry effect ratio to be substantially lower during high than low volatility periods. The fact that countries tend to move together during volatile periods posits that industry diversification may provide relatively more protection in crisis. For the entire time span we find that industries provide better protection in times of high volatility relative to countries. However, countries do perform better in absolute terms. Finally, we conclude that investors seeking global representation in their investment portfolios should continue to consider diversifying broadly across both countries and industries. Our findings have important implications for international portfolio diversification.", "author" : [ { "dropping-particle" : "", "family" : "Marcelo", "given" : "Jos\u00e9 Luis Miralles", "non-dropping-particle" : "", "parse-names" : false, "suffix" : "" }, { "dropping-particle" : "", "family" : "Quir\u00f3s", "given" : "Jos\u00e9 Luis Miralles", "non-dropping-particle" : "", "parse-names" : false, "suffix" : "" }, { "dropping-particle" : "", "family" : "Martins", "given" : "Jos\u00e9 Lu\u00eds", "non-dropping-particle" : "", "parse-names" : false, "suffix" : "" } ], "container-title" : "Journal of International Financial Markets, Institutions and Money", "id" : "ITEM-1", "issued" : { "date-parts" : [ [ "2013" ] ] }, "page" : "273-290", "title" : "The role of country and industry factors during volatile times", "type" : "article-journal", "volume" : "26" }, "uris" : [ "http://www.mendeley.com/documents/?uuid=de56bce3-cf36-4f2b-b935-1b7e5be629b8" ] } ], "mendeley" : { "manualFormatting" : "Marcelo, Quir\u00f3s, &amp; Martins (2013)", "previouslyFormattedCitation" : "(Marcelo, Quir\u00f3s, &amp; Martins, 2013)"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Marcelo, Quirós, &amp; Martins (2013)</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contend that although country diversification is generally preferable, industry diversification is of relatively more benefit in volatile times.</w:t>
      </w:r>
    </w:p>
    <w:p w14:paraId="77156E45" w14:textId="77777777" w:rsidR="002B6A96" w:rsidRDefault="001F233D" w:rsidP="001F233D">
      <w:pPr>
        <w:spacing w:line="360" w:lineRule="auto"/>
        <w:jc w:val="both"/>
        <w:rPr>
          <w:rFonts w:ascii="Times New Roman" w:hAnsi="Times New Roman"/>
          <w:sz w:val="24"/>
          <w:szCs w:val="24"/>
          <w:lang w:val="en-GB"/>
        </w:rPr>
      </w:pPr>
      <w:r w:rsidRPr="00CA4E0C">
        <w:rPr>
          <w:rFonts w:ascii="Times New Roman" w:hAnsi="Times New Roman" w:cs="Times New Roman"/>
          <w:sz w:val="24"/>
          <w:szCs w:val="24"/>
        </w:rPr>
        <w:t xml:space="preserve">MNCs with substantial foreign operations may provide benefits of international </w:t>
      </w:r>
      <w:r w:rsidR="002B6A96">
        <w:rPr>
          <w:rFonts w:ascii="Times New Roman" w:hAnsi="Times New Roman" w:cs="Times New Roman"/>
          <w:sz w:val="24"/>
          <w:szCs w:val="24"/>
        </w:rPr>
        <w:t xml:space="preserve">diversification domestically.  </w:t>
      </w:r>
      <w:r w:rsidR="002B6A96" w:rsidRPr="000E6048">
        <w:rPr>
          <w:rFonts w:ascii="Times New Roman" w:hAnsi="Times New Roman"/>
          <w:sz w:val="24"/>
          <w:szCs w:val="24"/>
        </w:rPr>
        <w:t>Many studies have considered whether investors can benefit from indirect international diversification via investments in MNCs.  To date there is a la</w:t>
      </w:r>
      <w:r w:rsidR="002B6A96">
        <w:rPr>
          <w:rFonts w:ascii="Times New Roman" w:hAnsi="Times New Roman"/>
          <w:sz w:val="24"/>
          <w:szCs w:val="24"/>
        </w:rPr>
        <w:t xml:space="preserve">ck of agreement on the topic.  </w:t>
      </w:r>
      <w:r w:rsidRPr="00CA4E0C">
        <w:rPr>
          <w:rFonts w:ascii="Times New Roman" w:hAnsi="Times New Roman" w:cs="Times New Roman"/>
          <w:sz w:val="24"/>
          <w:szCs w:val="24"/>
        </w:rPr>
        <w:t xml:space="preserve">Studies by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"author" : [ { "dropping-particle" : "", "family" : "Jacquillat", "given" : "Bertrand", "non-dropping-particle" : "", "parse-names" : false, "suffix" : "" }, { "dropping-particle" : "", "family" : "Solnik", "given" : "Bruno H.", "non-dropping-particle" : "", "parse-names" : false, "suffix" : "" } ], "container-title" : "Journal of Portfolio Management", "id" : "ITEM-1", "issue" : "2", "issued" : { "date-parts" : [ [ "1978" ] ] }, "page" : "8-12", "title" : "Multinationals are poor tools for diversification", "type" : "article-journal", "volume" : "4" }, "uris" : [ "http://www.mendeley.com/documents/?uuid=a3c7ee7f-1f39-4c20-96f2-102f57306657" ] } ], "mendeley" : { "manualFormatting" : "Jacquillat &amp; Solnik (1978)", "previouslyFormattedCitation" : "(Jacquillat &amp; Solnik, 1978)"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Jacquillat &amp; Solnik (1978)</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"author" : [ { "dropping-particle" : "", "family" : "Brewer", "given" : "H. L.", "non-dropping-particle" : "", "parse-names" : false, "suffix" : "" } ], "container-title" : "The Journal of Financial and Quantitative Analysis", "id" : "ITEM-1", "issue" : "1", "issued" : { "date-parts" : [ [ "1981" ] ] }, "page" : "113 - 126", "publisher" : "University of Washington School of Business Administration", "title" : "Investor Benefits from Corporate International Diversification", "type" : "article-journal", "volume" : "16" }, "uris" : [ "http://www.mendeley.com/documents/?uuid=b416d2f6-8a66-46f8-aaea-73e228c6714c" ] } ], "mendeley" : { "manualFormatting" : "Brewer (1981)", "previouslyFormattedCitation" : "(Brewer, 1981)"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Brewer (1981)</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"Abstract. The analysis in this paper is composed of two segments. First, the flnancial performance of a sample of multinational corporations (MNCs) is compared with that derived for a control group of domestic corporations (DMCs) using market-based performance measures. Then, the paper presents a comparison of selected financial characteristics of the firms in the two groups. The results suggest the DMCs appear to have a significantly superior risk-adjusted market-based performance, are significantly less capitalized, and have higher total risk as well as higher systematic risk. The fact that MNCs are substantially larger than DMCs is not found to be a significant factor in explaining the observed difference between the two groups' performance.", "author" : [ { "dropping-particle" : "", "family" : "Michel", "given" : "Allen", "non-dropping-particle" : "", "parse-names" : false, "suffix" : "" }, { "dropping-particle" : "", "family" : "Shaked", "given" : "Israel", "non-dropping-particle" : "", "parse-names" : false, "suffix" : "" } ], "container-title" : "Journal of International Business Studies", "id" : "ITEM-1", "issue" : "3", "issued" : { "date-parts" : [ [ "1986" ] ] }, "note" : "Good paper, well written and good points in it.", "page" : "89 - 100", "publisher" : "Palgrave Macmillan Journals", "title" : "Multinational Corporations vs. Domestic Corporations: Financial Performance and Characteristics", "type" : "article-journal", "volume" : "17" }, "uris" : [ "http://www.mendeley.com/documents/?uuid=2e215f9f-5463-4ea9-a46d-33e6621c58e3" ] } ], "mendeley" : { "manualFormatting" : ", Michel &amp; Shaked (1986)", "previouslyFormattedCitation" : "(Michel &amp; Shaked, 1986)"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 Michel &amp; Shaked (1986)</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and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"10440283", "abstract" : "While international portfolio investment has become much more common among U.S. investors, prior research has shown that they continue to exhibit a home bias in equity holdings. Hence, to gain the potential benefits of international diversification, they must turn to U.S. multinationals (MNCs), among other alternatives. The literature, however, contains mixed evidence on this, leading us to reexamine the issue here through the use of daily data covering the period of January 31, 1995, through May 31, 2001. Various tests applied to dollar returns for major U.S. and international stock market indices show weak correlations and no long-term cointegrating relationships between the U.S. sets and the foreign indices that exclude U.S. and Canadian stocks. The strong results obtained here imply that U.S. investors' portfolios can benefit from international diversification. To see if U.S. MNCs can provide such a benefit, a portfolio based on dollar returns of 47 U.S. multinationals, as well as a base portfolio represented by the broad S&amp;P 500 index, are subjected to correlation tests vis-\u00e0-vis non-U.S. stock indices. Again, the findings provide strong evidence in favor of an internationally diversified portfolio. It appears that U.S. MNCs are not the reason for the continued existence of the home bias puzzle.", "author" : [ { "dropping-particle" : "", "family" : "Salehizadeh", "given" : "Mehdi", "non-dropping-particle" : "", "parse-names" : false, "suffix" : "" } ], "container-title" : "Global Finance Journal", "id" : "ITEM-1", "issue" : "3", "issued" : { "date-parts" : [ [ "2003", "12" ] ] }, "page" : "303-318", "title" : "U.S. multinationals and the home bias puzzle: an empirical analysis", "type" : "article-journal", "volume" : "14" }, "uris" : [ "http://www.mendeley.com/documents/?uuid=e3addb90-eb81-4e55-bef2-1977c51ebf61" ] } ], "mendeley" : { "manualFormatting" : "Salehizadeh (2003)", "previouslyFormattedCitation" : "(Salehizadeh, 2003)"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Salehizadeh (2003)</w:t>
      </w:r>
      <w:r w:rsidRPr="00CA4E0C">
        <w:rPr>
          <w:rFonts w:ascii="Times New Roman" w:hAnsi="Times New Roman" w:cs="Times New Roman"/>
          <w:sz w:val="24"/>
          <w:szCs w:val="24"/>
        </w:rPr>
        <w:fldChar w:fldCharType="end"/>
      </w:r>
      <w:r w:rsidR="002B6A96">
        <w:rPr>
          <w:rFonts w:ascii="Times New Roman" w:hAnsi="Times New Roman" w:cs="Times New Roman"/>
          <w:color w:val="FF0000"/>
          <w:sz w:val="24"/>
          <w:szCs w:val="24"/>
        </w:rPr>
        <w:t xml:space="preserve"> </w:t>
      </w:r>
      <w:r w:rsidRPr="00CA4E0C">
        <w:rPr>
          <w:rFonts w:ascii="Times New Roman" w:hAnsi="Times New Roman" w:cs="Times New Roman"/>
          <w:sz w:val="24"/>
          <w:szCs w:val="24"/>
        </w:rPr>
        <w:t>find that US MNCs do not mi</w:t>
      </w:r>
      <w:r w:rsidR="002B6A96">
        <w:rPr>
          <w:rFonts w:ascii="Times New Roman" w:hAnsi="Times New Roman" w:cs="Times New Roman"/>
          <w:sz w:val="24"/>
          <w:szCs w:val="24"/>
        </w:rPr>
        <w:t>mic international returns.</w:t>
      </w:r>
      <w:r w:rsidRPr="00CA4E0C">
        <w:rPr>
          <w:rFonts w:ascii="Times New Roman" w:hAnsi="Times New Roman" w:cs="Times New Roman"/>
          <w:sz w:val="24"/>
          <w:szCs w:val="24"/>
        </w:rPr>
        <w:t xml:space="preserve">   On the other hand,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"author" : [ { "dropping-particle" : "", "family" : "Agmon", "given" : "Tamir", "non-dropping-particle" : "", "parse-names" : false, "suffix" : "" }, { "dropping-particle" : "", "family" : "Lessard", "given" : "Donald R.", "non-dropping-particle" : "", "parse-names" : false, "suffix" : "" } ], "container-title" : "The Journal of Finance", "id" : "ITEM-1", "issue" : "4", "issued" : { "date-parts" : [ [ "1977" ] ] }, "note" : "Can write notes here about each article", "page" : "1049 - 1055", "publisher" : "Blackwell Publishing for the American Finance Association", "title" : "Investor Recognition of Corporate International Diversification", "type" : "article-journal", "volume" : "32" }, "uris" : [ "http://www.mendeley.com/documents/?uuid=d61e9c92-75e7-4610-8eb7-c9fae1da480d" ] }, { "id" : "ITEM-2", "itemData" : { "ISBN" : "1068-0896(19901015)9:1L.22;1-", "author" : [ { "dropping-particle" : "", "family" : "Logue", "given" : "Dennis E .", "non-dropping-particle" : "", "parse-names" : false, "suffix" : "" } ], "container-title" : "The Journal of Portfolio Management", "id" : "ITEM-2", "issue" : "1", "issued" : { "date-parts" : [ [ "1982", "2" ] ] }, "page" : "22-27", "publisher" : "Institutional Investor Journals", "title" : "An experiment in international diversification", "type" : "article-journal", "volume" : "9" }, "uris" : [ "http://www.mendeley.com/documents/?uuid=a168e717-68f7-42c9-b732-2aae1a61272c" ] }, { "id" : "ITEM-3", "itemData" : { "abstract" : "Abstract. The central question that is examined empirically in this paper is: Do MNC stocks perform better than the average market? Data for thirty U.S.-based multinationals obtained from the CRSP files of the University of PERFORMANCE MULTINATIONAL OF U.S.-BASED CORPORATIONS Chicago are analyzed at the two levels: return and risk-return. Jensen's risk-adjusted measure of performance is the analytical tool employed. Findings at both levels of analysis strongly suggest that the MNC stocks do outperform the average market. This report is part of an ongoing project and hence the findings at best are tentative. An attempt is now being made to differentiate MNCs on the basis of their busi- ness segmentation, scope of international asset mix, and other relevant dimensions that would shed additional light on the question.", "author" : [ { "dropping-particle" : "", "family" : "Mikhail", "given" : "Azmi D", "non-dropping-particle" : "", "parse-names" : false, "suffix" : "" }, { "dropping-particle" : "", "family" : "Shawky", "given" : "Hany A", "non-dropping-particle" : "", "parse-names" : false, "suffix" : "" } ], "container-title" : "Journal of International Business Studies", "id" : "ITEM-3", "issue" : "1", "issued" : { "date-parts" : [ [ "1979" ] ] }, "note" : "they mention authors who don't think you need to diversify internationally", "page" : "53 - 66", "publisher" : "Palgrave Macmillan Journals", "title" : "Investment Performance of U. S.-Based Multinational Corporations", "type" : "article-journal", "volume" : "10" }, "uris" : [ "http://www.mendeley.com/documents/?uuid=8f706d49-3811-46dd-988b-64810eac25e3" ] }, { "id" : "ITEM-4",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"ITEM-4", "issue" : "6", "issued" : { "date-parts" : [ [ "1999", "12" ] ] }, "note" : "cited by 176", "page" : "2075-2107", "title" : "Can the Gains from International Diversification Be Achieved without Trading Abroad?", "type" : "article-journal", "volume" : "54" }, "uris" : [ "http://www.mendeley.com/documents/?uuid=e8f61226-eced-4e8b-8846-e75b86f009cf" ] }, { "id" : "ITEM-5", "itemData" : { "abstract" : "This paper employs mean\u2013variance spanning tests to examine the diversification potential of multinational firms and foreign market indices from the perspective of investors in the G7 countries over the 1984\u20131995 period. We find evidence that multinational corporations may have provided diversification benefits for investors in Germany and the United States. We find that the addition of foreign market indices to a domestic portfolio\u2014inclusive of multinationals\u2014provided substantial diversification benefits in all countries. The economic importance of the shift of the portfolio frontier varied considerably across markets.", "author" : [ { "dropping-particle" : "", "family" : "Rowland", "given" : "Patrick F", "non-dropping-particle" : "", "parse-names" : false, "suffix" : "" }, { "dropping-particle" : "", "family" : "Tesar", "given" : "Linda L", "non-dropping-particle" : "", "parse-names" : false, "suffix" : "" } ], "container-title" : "Review of Economic Dynamics", "id" : "ITEM-5", "issue" : "4", "issued" : { "date-parts" : [ [ "2004" ] ] }, "page" : "789-826", "title" : "Multinationals and the gains from international diversification", "type" : "article-journal", "volume" : "7" }, "uris" : [ "http://www.mendeley.com/documents/?uuid=0b848d46-a7ed-48e4-9292-16ee081a3c05" ] } ], "mendeley" : { "manualFormatting" : "Agmon and Lessard (1977), Mikhail and Shawky (1979), Logue (1982) and Rowland and Tesar (2004)", "previouslyFormattedCitation" : "(Agmon &amp; Lessard, 1977; Errunza et al., 1999; Logue, 1982; Mikhail &amp; Shawky, 1979; Rowland &amp; Tesar, 2004)"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Agmon and Lessard (1977), Mikhail and Shawky (1979), Logue (1982) and Rowland and Tesar (2004)</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w:t>
      </w:r>
      <w:r w:rsidR="002B6A96" w:rsidRPr="002B6A96">
        <w:rPr>
          <w:rFonts w:ascii="Times New Roman" w:hAnsi="Times New Roman" w:cs="Times New Roman"/>
          <w:sz w:val="24"/>
          <w:szCs w:val="24"/>
        </w:rPr>
        <w:t>and</w:t>
      </w:r>
      <w:r w:rsidR="002B6A96">
        <w:rPr>
          <w:rFonts w:ascii="Times New Roman" w:hAnsi="Times New Roman" w:cs="Times New Roman"/>
          <w:color w:val="FF0000"/>
          <w:sz w:val="24"/>
          <w:szCs w:val="24"/>
        </w:rPr>
        <w:t xml:space="preserve"> </w:t>
      </w:r>
      <w:r w:rsidR="002B6A96"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"The extent to which internationalising MNEs create value, and the extent to which investors can reap the benefits of firm-level internationalisation remain controversial issues. Using a multi-country dataset with over 3 million observations, we classify 1143 firms listed on the exchanges of the G7 countries according to the geographical spread of their sales and subsidiaries. We show that more internationalised firms provide greater diversification benefits. By investing in home-based internationalised firms, investors can \u2018free ride\u2019 the costs and risks associated with internationalisation at the level of the firm and exhibit home bias while availing of international diversification benefits.", "author" : [ { "dropping-particle" : "", "family" : "Berrill", "given" : "Jenny", "non-dropping-particle" : "", "parse-names" : false, "suffix" : "" }, { "dropping-particle" : "", "family" : "Kearney", "given" : "Colm", "non-dropping-particle" : "", "parse-names" : false, "suffix" : "" } ], "container-title" : "Journal of Economics and Business", "id" : "ITEM-1", "issue" : "4", "issued" : { "date-parts" : [ [ "2010" ] ] }, "page" : "235-256", "title" : "Firm-level internationalisation and the home bias puzzle", "type" : "article-journal", "volume" : "62" }, "uris" : [ "http://www.mendeley.com/documents/?uuid=be997db4-8cd5-4eac-bc2a-e505bed3a926" ] } ], "mendeley" : { "manualFormatting" : "Berrill and Kearney (2010)", "previouslyFormattedCitation" : "(Berrill &amp; Kearney, 2010)" }, "properties" : { "noteIndex" : 0 }, "schema" : "https://github.com/citation-style-language/schema/raw/master/csl-citation.json" }</w:instrText>
      </w:r>
      <w:r w:rsidR="002B6A96" w:rsidRPr="00CA4E0C">
        <w:rPr>
          <w:rFonts w:ascii="Times New Roman" w:hAnsi="Times New Roman" w:cs="Times New Roman"/>
          <w:sz w:val="24"/>
          <w:szCs w:val="24"/>
        </w:rPr>
        <w:fldChar w:fldCharType="separate"/>
      </w:r>
      <w:r w:rsidR="002B6A96" w:rsidRPr="00CA4E0C">
        <w:rPr>
          <w:rFonts w:ascii="Times New Roman" w:hAnsi="Times New Roman" w:cs="Times New Roman"/>
          <w:noProof/>
          <w:sz w:val="24"/>
          <w:szCs w:val="24"/>
        </w:rPr>
        <w:t>Berrill and Kearney (2010)</w:t>
      </w:r>
      <w:r w:rsidR="002B6A96" w:rsidRPr="00CA4E0C">
        <w:rPr>
          <w:rFonts w:ascii="Times New Roman" w:hAnsi="Times New Roman" w:cs="Times New Roman"/>
          <w:sz w:val="24"/>
          <w:szCs w:val="24"/>
        </w:rPr>
        <w:fldChar w:fldCharType="end"/>
      </w:r>
      <w:r w:rsidR="002B6A96">
        <w:rPr>
          <w:rFonts w:ascii="Times New Roman" w:hAnsi="Times New Roman" w:cs="Times New Roman"/>
          <w:sz w:val="24"/>
          <w:szCs w:val="24"/>
        </w:rPr>
        <w:t xml:space="preserve"> </w:t>
      </w:r>
      <w:r w:rsidRPr="00CA4E0C">
        <w:rPr>
          <w:rFonts w:ascii="Times New Roman" w:hAnsi="Times New Roman" w:cs="Times New Roman"/>
          <w:sz w:val="24"/>
          <w:szCs w:val="24"/>
        </w:rPr>
        <w:t xml:space="preserve">find that MNCs provide significant international diversification benefits. </w:t>
      </w:r>
      <w:r w:rsidR="002B6A96">
        <w:rPr>
          <w:rFonts w:ascii="Times New Roman" w:hAnsi="Times New Roman" w:cs="Times New Roman"/>
          <w:sz w:val="24"/>
          <w:szCs w:val="24"/>
        </w:rPr>
        <w:t xml:space="preserve"> </w:t>
      </w:r>
      <w:r w:rsidR="002B6A96" w:rsidRPr="00CA4E0C">
        <w:rPr>
          <w:rFonts w:ascii="Times New Roman" w:hAnsi="Times New Roman" w:cs="Times New Roman"/>
          <w:sz w:val="24"/>
          <w:szCs w:val="24"/>
        </w:rPr>
        <w:t xml:space="preserve">The results </w:t>
      </w:r>
      <w:r w:rsidR="002B6A96">
        <w:rPr>
          <w:rFonts w:ascii="Times New Roman" w:hAnsi="Times New Roman" w:cs="Times New Roman"/>
          <w:sz w:val="24"/>
          <w:szCs w:val="24"/>
        </w:rPr>
        <w:t xml:space="preserve">of these studies </w:t>
      </w:r>
      <w:r w:rsidR="002B6A96" w:rsidRPr="00CA4E0C">
        <w:rPr>
          <w:rFonts w:ascii="Times New Roman" w:hAnsi="Times New Roman" w:cs="Times New Roman"/>
          <w:sz w:val="24"/>
          <w:szCs w:val="24"/>
        </w:rPr>
        <w:t xml:space="preserve">are difficult to compare as different methods </w:t>
      </w:r>
      <w:r w:rsidR="002B6A96" w:rsidRPr="00CA4E0C">
        <w:rPr>
          <w:rFonts w:ascii="Times New Roman" w:hAnsi="Times New Roman" w:cs="Times New Roman"/>
          <w:sz w:val="24"/>
          <w:szCs w:val="24"/>
        </w:rPr>
        <w:lastRenderedPageBreak/>
        <w:t>are used to select MNCs by their level of internationalisation</w:t>
      </w:r>
      <w:r w:rsidR="002B6A96">
        <w:rPr>
          <w:rFonts w:ascii="Times New Roman" w:hAnsi="Times New Roman" w:cs="Times New Roman"/>
          <w:sz w:val="24"/>
          <w:szCs w:val="24"/>
        </w:rPr>
        <w:t xml:space="preserve">, such as the proportion of foreign sales, foreign subsidiaries, foreign tax revenue or the number of countries in which a firm has foreign subsidiaries.  However, </w:t>
      </w:r>
      <w:r w:rsidR="002B6A96">
        <w:rPr>
          <w:rFonts w:ascii="Times New Roman" w:hAnsi="Times New Roman"/>
          <w:sz w:val="24"/>
          <w:szCs w:val="24"/>
          <w:lang w:val="en-GB"/>
        </w:rPr>
        <w:t xml:space="preserve">in most cases, </w:t>
      </w:r>
      <w:r w:rsidR="002B6A96">
        <w:rPr>
          <w:rFonts w:ascii="Times New Roman" w:hAnsi="Times New Roman" w:cs="Times New Roman"/>
          <w:sz w:val="24"/>
          <w:szCs w:val="24"/>
        </w:rPr>
        <w:t xml:space="preserve">MNCs are selected using percentage foreign sales or the number of foreign subsidiaries to rank firms by their level of internationalisation, which measures the degree of foreign activity but not the scope or location of that activity.  </w:t>
      </w:r>
      <w:r w:rsidR="002B6A96">
        <w:rPr>
          <w:rFonts w:ascii="Times New Roman" w:hAnsi="Times New Roman"/>
          <w:sz w:val="24"/>
          <w:szCs w:val="24"/>
          <w:lang w:val="en-GB"/>
        </w:rPr>
        <w:t>With</w:t>
      </w:r>
      <w:r w:rsidR="002B6A96" w:rsidRPr="000E6048">
        <w:rPr>
          <w:rFonts w:ascii="Times New Roman" w:hAnsi="Times New Roman"/>
          <w:sz w:val="24"/>
          <w:szCs w:val="24"/>
          <w:lang w:val="en-GB"/>
        </w:rPr>
        <w:t xml:space="preserve"> the exception of </w:t>
      </w:r>
      <w:r w:rsidR="002B6A96"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"abstract" : "This paper examines the marginal benefits that accrue to U.S.-based multinational corporations through increased international investment. Specifically, the study seeks to determine if increased degrees of multinationality produce additional benefits for multinational firms in terms of excess returns and/or reduced risk. The results indicate that during the period studied, the degree of multinationality did not have a significant influence on the risk and return performance of the sample firms. Thus, the study supports the findings of Qian (1996) and Siegel et al. (1995, 1995A) who report that the advantages enjoyed by multinational corporations may be going away.", "author" : [ { "dropping-particle" : "", "family" : "Omer", "given" : "Khursheed", "non-dropping-particle" : "", "parse-names" : false, "suffix" : "" }, { "dropping-particle" : "", "family" : "Durr", "given" : "David", "non-dropping-particle" : "", "parse-names" : false, "suffix" : "" }, { "dropping-particle" : "", "family" : "Siegel", "given" : "Philip H", "non-dropping-particle" : "", "parse-names" : false, "suffix" : "" }, { "dropping-particle" : "", "family" : "Khursheed", "given" : "Omer", "non-dropping-particle" : "", "parse-names" : false, "suffix" : "" } ], "container-title" : "Review of Quantitative Finance and Accounting", "id" : "ITEM-1", "issue" : "1", "issued" : { "date-parts" : [ [ "1998" ] ] }, "note" : "This is saying international diversification doesn't work.  Quote in the Omer paper.", "page" : "63-68", "title" : "Degree of Multinationality and Financial Performance: A Study of U.S.-Based Multinational Corporations", "type" : "article-journal", "volume" : "11" }, "uris" : [ "http://www.mendeley.com/documents/?uuid=a22cc6b9-69f5-44dd-8506-8f928a7240cc" ] } ], "mendeley" : { "manualFormatting" : "Omer et al. (1998)", "previouslyFormattedCitation" : "(Omer, Durr, Siegel, &amp; Khursheed, 1998)" }, "properties" : { "noteIndex" : 0 }, "schema" : "https://github.com/citation-style-language/schema/raw/master/csl-citation.json" }</w:instrText>
      </w:r>
      <w:r w:rsidR="002B6A96" w:rsidRPr="000E6048">
        <w:rPr>
          <w:rFonts w:ascii="Times New Roman" w:hAnsi="Times New Roman"/>
          <w:sz w:val="24"/>
          <w:szCs w:val="24"/>
          <w:lang w:val="en-GB"/>
        </w:rPr>
        <w:fldChar w:fldCharType="separate"/>
      </w:r>
      <w:r w:rsidR="002B6A96" w:rsidRPr="000E6048">
        <w:rPr>
          <w:rFonts w:ascii="Times New Roman" w:hAnsi="Times New Roman"/>
          <w:noProof/>
          <w:sz w:val="24"/>
          <w:szCs w:val="24"/>
          <w:lang w:val="en-GB"/>
        </w:rPr>
        <w:t>Omer et al. (1998)</w:t>
      </w:r>
      <w:r w:rsidR="002B6A96" w:rsidRPr="000E6048">
        <w:rPr>
          <w:rFonts w:ascii="Times New Roman" w:hAnsi="Times New Roman"/>
          <w:sz w:val="24"/>
          <w:szCs w:val="24"/>
          <w:lang w:val="en-GB"/>
        </w:rPr>
        <w:fldChar w:fldCharType="end"/>
      </w:r>
      <w:r w:rsidR="002B6A96">
        <w:rPr>
          <w:rFonts w:ascii="Times New Roman" w:hAnsi="Times New Roman"/>
          <w:sz w:val="24"/>
          <w:szCs w:val="24"/>
          <w:lang w:val="en-GB"/>
        </w:rPr>
        <w:t xml:space="preserve">, all previous studies select based on criteria at one point in time.  </w:t>
      </w:r>
    </w:p>
    <w:p w14:paraId="0C3440D6" w14:textId="77777777" w:rsidR="001F233D" w:rsidRPr="00CA4E0C" w:rsidRDefault="001F233D" w:rsidP="001F233D">
      <w:pPr>
        <w:spacing w:line="360" w:lineRule="auto"/>
        <w:jc w:val="both"/>
        <w:rPr>
          <w:rFonts w:ascii="Times New Roman" w:hAnsi="Times New Roman" w:cs="Times New Roman"/>
          <w:color w:val="FF0000"/>
          <w:sz w:val="24"/>
          <w:szCs w:val="24"/>
        </w:rPr>
      </w:pPr>
      <w:r w:rsidRPr="00CA4E0C">
        <w:rPr>
          <w:rFonts w:ascii="Times New Roman" w:hAnsi="Times New Roman" w:cs="Times New Roman"/>
          <w:sz w:val="24"/>
          <w:szCs w:val="24"/>
        </w:rPr>
        <w:t xml:space="preserve">An ADR represents the shares of a non-US company that trades in US financial markets.  Some studies find that they offer excellent diversification opportunities to US investors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"American Depositary Receipts (ADR) are a convenient and efficient way for US investors to achieve international diversification of their equity portfolios using US dollars and without any of the administrative difficulties associated with direct ownership of foreign securities. The investment characteristics of ADRs are examined as an alternative to direct investment in foreign equities. The ADR sample consists of 20 securities that were continuously traded on the New York Stock Exchange (NYSE) or the American Stock Exchange (ASE), as well as 25 issues actively traded in the over-the-counter (OTC) market, over the period 1973-1983. Also used is a random sample of 45 domestic common stocks continuously traded on the NYSE or ASE over the same period. There seems to be only a small degree of comovement in price of ADRs compared to prices in the domestic stock market. In addition, diversification using domestic stocks and ADRs appears to be a superior method of producing well-diversified portfolios.", "author" : [ { "dropping-particle" : "", "family" : "Officer", "given" : "Dennis", "non-dropping-particle" : "", "parse-names" : false, "suffix" : "" }, { "dropping-particle" : "", "family" : "Hoffmeister", "given" : "J. Ronald", "non-dropping-particle" : "", "parse-names" : false, "suffix" : "" } ], "container-title" : "The Journal of Portfolio Management", "id" : "ITEM-1", "issue" : "2", "issued" : { "date-parts" : [ [ "1987" ] ] }, "page" : "61-65", "title" : "ADRs: A Substitute for the Real Thing?", "type" : "article-journal", "volume" : "13" }, "uris" : [ "http://www.mendeley.com/documents/?uuid=37ae4efd-d4da-42e6-ba00-20e744bb3a3a" ] }, { "id" : "ITEM-2", "itemData" : { "author" : [ { "dropping-particle" : "", "family" : "Wahab", "given" : "Mahmoud", "non-dropping-particle" : "", "parse-names" : false, "suffix" : "" }, { "dropping-particle" : "", "family" : "Khandwala", "given" : "Amit", "non-dropping-particle" : "", "parse-names" : false, "suffix" : "" } ], "container-title" : "The Journal of Portfolio Management", "id" : "ITEM-2", "issue" : "2", "issued" : { "date-parts" : [ [ "1993" ] ] }, "page" : "75-82", "title" : "Why Not Diversify Internationally With ADRs?", "type" : "article-journal", "volume" : "19" }, "uris" : [ "http://www.mendeley.com/documents/?uuid=64b47b0f-cbfd-4769-81f9-987c520efa4a" ] }, { "id" : "ITEM-3", "itemData" : { "ISSN" : "10424431", "abstract" : "This paper provides an empirical analysis of 123 American depositary receipts (ADRs) from 16 countries. The paper finds that the returns on ADRs have significant risk exposures to the returns on the world market portfolio and their respective home market portfolios. Further, ADRs do not have significant risk exposures to changes in their home currency\u2019s exchange rates. In explaining variations in ADR returns, a multi-factor model with the world market return and the home market return as the risk factors performs better than models with just the world market return, the home market return or a set of global factors as the risk factors.", "author" : [ { "dropping-particle" : "", "family" : "Patro", "given" : "Kumar", "non-dropping-particle" : "", "parse-names" : false, "suffix" : "" } ], "container-title" : "Journal of International Financial Markets, Institutions and Money", "id" : "ITEM-3", "issue" : "1", "issued" : { "date-parts" : [ [ "2000", "1" ] ] }, "page" : "43-67", "title" : "Return behavior and pricing of American depositary receipts", "type" : "article-journal", "volume" : "10" }, "uris" : [ "http://www.mendeley.com/documents/?uuid=d633efe8-d75d-4449-9557-bcd64b561fea" ] } ], "mendeley" : { "manualFormatting" : "(Officer and Hoffmeister, 1987; Wahab and Khandwala, 1993; Patro, 2000; Fang &amp; Loo, 2002)", "previouslyFormattedCitation" : "(Officer &amp; Hoffmeister, 1987; K. Patro, 2000; Wahab &amp; Khandwala, 1993)"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(Officer and Hoffmeister, 1987; Wahab and Khandwala, 1993</w:t>
      </w:r>
      <w:r w:rsidR="00CE6362">
        <w:rPr>
          <w:rFonts w:ascii="Times New Roman" w:hAnsi="Times New Roman" w:cs="Times New Roman"/>
          <w:noProof/>
          <w:sz w:val="24"/>
          <w:szCs w:val="24"/>
        </w:rPr>
        <w:t xml:space="preserve">; </w:t>
      </w:r>
      <w:r w:rsidR="00CE6362" w:rsidRPr="00CA4E0C">
        <w:rPr>
          <w:rFonts w:ascii="Times New Roman" w:hAnsi="Times New Roman" w:cs="Times New Roman"/>
          <w:noProof/>
          <w:sz w:val="24"/>
          <w:szCs w:val="24"/>
        </w:rPr>
        <w:fldChar w:fldCharType="begin" w:fldLock="1"/>
      </w:r>
      <w:r w:rsidR="00CE6362">
        <w:rPr>
          <w:rFonts w:ascii="Times New Roman" w:hAnsi="Times New Roman" w:cs="Times New Roman"/>
          <w:noProof/>
          <w:sz w:val="24"/>
          <w:szCs w:val="24"/>
        </w:rPr>
        <w:instrText>ADDIN CSL_CITATION { "citationItems" : [ { "id" : "ITEM-1", "itemData" : { "ISSN" : "10424431", "abstract" : "This paper provides an empirical analysis of 123 American depositary receipts (ADRs) from 16 countries. The paper finds that the returns on ADRs have significant risk exposures to the returns on the world market portfolio and their respective home market portfolios. Further, ADRs do not have significant risk exposures to changes in their home currency\u2019s exchange rates. In explaining variations in ADR returns, a multi-factor model with the world market return and the home market return as the risk factors performs better than models with just the world market return, the home market return or a set of global factors as the risk factors.", "author" : [ { "dropping-particle" : "", "family" : "Patro", "given" : "Kumar", "non-dropping-particle" : "", "parse-names" : false, "suffix" : "" } ], "container-title" : "Journal of International Financial Markets, Institutions and Money", "id" : "ITEM-1", "issue" : "1", "issued" : { "date-parts" : [ [ "2000", "1" ] ] }, "page" : "43-67", "title" : "Return behavior and pricing of American depositary receipts", "type" : "article-journal", "volume" : "10" }, "uris" : [ "http://www.mendeley.com/documents/?uuid=d633efe8-d75d-4449-9557-bcd64b561fea" ] } ], "mendeley" : { "manualFormatting" : "Patro, 2000", "previouslyFormattedCitation" : "(K. Patro, 2000)" }, "properties" : { "noteIndex" : 0 }, "schema" : "https://github.com/citation-style-language/schema/raw/master/csl-citation.json" }</w:instrText>
      </w:r>
      <w:r w:rsidR="00CE6362" w:rsidRPr="00CA4E0C">
        <w:rPr>
          <w:rFonts w:ascii="Times New Roman" w:hAnsi="Times New Roman" w:cs="Times New Roman"/>
          <w:noProof/>
          <w:sz w:val="24"/>
          <w:szCs w:val="24"/>
        </w:rPr>
        <w:fldChar w:fldCharType="separate"/>
      </w:r>
      <w:r w:rsidR="00CE6362">
        <w:rPr>
          <w:rFonts w:ascii="Times New Roman" w:hAnsi="Times New Roman" w:cs="Times New Roman"/>
          <w:noProof/>
          <w:sz w:val="24"/>
          <w:szCs w:val="24"/>
        </w:rPr>
        <w:t xml:space="preserve">Patro, </w:t>
      </w:r>
      <w:r w:rsidR="00CE6362" w:rsidRPr="00CA4E0C">
        <w:rPr>
          <w:rFonts w:ascii="Times New Roman" w:hAnsi="Times New Roman" w:cs="Times New Roman"/>
          <w:noProof/>
          <w:sz w:val="24"/>
          <w:szCs w:val="24"/>
        </w:rPr>
        <w:t>2000</w:t>
      </w:r>
      <w:r w:rsidR="00CE6362" w:rsidRPr="00CA4E0C">
        <w:rPr>
          <w:rFonts w:ascii="Times New Roman" w:hAnsi="Times New Roman" w:cs="Times New Roman"/>
          <w:noProof/>
          <w:sz w:val="24"/>
          <w:szCs w:val="24"/>
        </w:rPr>
        <w:fldChar w:fldCharType="end"/>
      </w:r>
      <w:r w:rsidR="00CE6362">
        <w:rPr>
          <w:rFonts w:ascii="Times New Roman" w:hAnsi="Times New Roman" w:cs="Times New Roman"/>
          <w:noProof/>
          <w:sz w:val="24"/>
          <w:szCs w:val="24"/>
        </w:rPr>
        <w:t>;</w:t>
      </w:r>
      <w:r w:rsidR="00CE6362" w:rsidRPr="00CA4E0C">
        <w:rPr>
          <w:rFonts w:ascii="Times New Roman" w:hAnsi="Times New Roman" w:cs="Times New Roman"/>
          <w:noProof/>
          <w:sz w:val="24"/>
          <w:szCs w:val="24"/>
        </w:rPr>
        <w:t xml:space="preserve"> </w:t>
      </w:r>
      <w:r w:rsidR="00CE6362" w:rsidRPr="00CA4E0C">
        <w:rPr>
          <w:rFonts w:ascii="Times New Roman" w:hAnsi="Times New Roman" w:cs="Times New Roman"/>
          <w:noProof/>
          <w:sz w:val="24"/>
          <w:szCs w:val="24"/>
        </w:rPr>
        <w:fldChar w:fldCharType="begin" w:fldLock="1"/>
      </w:r>
      <w:r w:rsidR="00CE6362">
        <w:rPr>
          <w:rFonts w:ascii="Times New Roman" w:hAnsi="Times New Roman" w:cs="Times New Roman"/>
          <w:noProof/>
          <w:sz w:val="24"/>
          <w:szCs w:val="24"/>
        </w:rPr>
        <w:instrText>ADDIN CSL_CITATION { "citationItems" : [ { "id" : "ITEM-1", "itemData" : { "ISSN" : "10440283", "abstract" : "This article examines the pricing of American Depositary Receipts (ADRs) in a three-factor pricing model. A seemingly unrelated regression model is utilized to test the nonlinear parameter restriction implied by the model. It is found that, although ADRs are traded in the U.S. securities market, their returns are significantly affected by their respective home market factors rather than by U.S. market movements. While U.S. investors are exposed to incremental risk from foreign equity market, they do not command a risk premium. The findings suggest that (1) markets are segmented and ADR listing does not integrate world capital market and (2) ADRs behave more like a foreign security and ADR is an effective tool of global risk diversification for U.S. investors.", "author" : [ { "dropping-particle" : "", "family" : "Fang", "given" : "Hsing", "non-dropping-particle" : "", "parse-names" : false, "suffix" : "" }, { "dropping-particle" : "", "family" : "Loo", "given" : "Jean C.H.", "non-dropping-particle" : "", "parse-names" : false, "suffix" : "" } ], "container-title" : "Global Finance Journal", "id" : "ITEM-1", "issue" : "2", "issued" : { "date-parts" : [ [ "2002", "1" ] ] }, "page" : "237-252", "title" : "Pricing of American Depositary Receipts under Market Segmentation", "type" : "article-journal", "volume" : "13" }, "uris" : [ "http://www.mendeley.com/documents/?uuid=5294b3fa-c0b5-421e-a0cb-ca91655cb7db" ] } ], "mendeley" : { "manualFormatting" : "Fang &amp; Loo, 2002)", "previouslyFormattedCitation" : "(Fang &amp; Loo, 2002)" }, "properties" : { "noteIndex" : 0 }, "schema" : "https://github.com/citation-style-language/schema/raw/master/csl-citation.json" }</w:instrText>
      </w:r>
      <w:r w:rsidR="00CE6362" w:rsidRPr="00CA4E0C">
        <w:rPr>
          <w:rFonts w:ascii="Times New Roman" w:hAnsi="Times New Roman" w:cs="Times New Roman"/>
          <w:noProof/>
          <w:sz w:val="24"/>
          <w:szCs w:val="24"/>
        </w:rPr>
        <w:fldChar w:fldCharType="separate"/>
      </w:r>
      <w:r w:rsidR="00CE6362">
        <w:rPr>
          <w:rFonts w:ascii="Times New Roman" w:hAnsi="Times New Roman" w:cs="Times New Roman"/>
          <w:noProof/>
          <w:sz w:val="24"/>
          <w:szCs w:val="24"/>
        </w:rPr>
        <w:t xml:space="preserve">Fang &amp; Loo, </w:t>
      </w:r>
      <w:r w:rsidR="00CE6362" w:rsidRPr="00CA4E0C">
        <w:rPr>
          <w:rFonts w:ascii="Times New Roman" w:hAnsi="Times New Roman" w:cs="Times New Roman"/>
          <w:noProof/>
          <w:sz w:val="24"/>
          <w:szCs w:val="24"/>
        </w:rPr>
        <w:t>2002)</w:t>
      </w:r>
      <w:r w:rsidR="00CE6362" w:rsidRPr="00CA4E0C">
        <w:rPr>
          <w:rFonts w:ascii="Times New Roman" w:hAnsi="Times New Roman" w:cs="Times New Roman"/>
          <w:noProof/>
          <w:sz w:val="24"/>
          <w:szCs w:val="24"/>
        </w:rPr>
        <w:fldChar w:fldCharType="end"/>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while others find that they are significantly correlated with the US market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"0306-686X", "abstract" : "This article estimates the time structure of the relationship between daily U.S. market and American Depositary Receipts (ADR) returns in the later 1980s, and test whether the relationship varies according to the ADR country or region of origin. It also examined the relationships during the period surrounding the market crash in 1987. ADR are dollar denominated receipts for full or partial non-U.S. shares and are traded on U.S. exchanges. In recent years, the number of different stocks and the trading volume of ADR have increased dramatically, providing an important mechanism for investment in international equity markets. The number of foreign companies represented by ADR traded on the U.S. market has risen from 585 in 1983 to over 900 ADR in 1992, reflecting the growing interest of both institutional and small investors in foreign countries. Notable ADR include British Petroleum, Volvo, De Beers Mines, and Honda Motor. An ADR is issued by a U.S. bank when the demand for such a security appears and the foreign company does not object. Issuing banks certify that a specific number of foreign shares are physically deposited with the bank's overseas branch or custodian, and then issue ADR in the U.S. ADR are traded on U.S. exchanges and are fully convertible at any time into the foreign shares on which their value is based. Some ADR are exchangeable on a one-to-one basis, while others are convertible on a multiple share basis. The ADR security must comply with all individual exchange and U.S. Securities and Exchange Commission regulations.", "author" : [ { "dropping-particle" : "", "family" : "Webb", "given" : "Shelly E.", "non-dropping-particle" : "", "parse-names" : false, "suffix" : "" }, { "dropping-particle" : "", "family" : "Officer", "given" : "Dennis T.", "non-dropping-particle" : "", "parse-names" : false, "suffix" : "" }, { "dropping-particle" : "", "family" : "Boyd", "given" : "Bryan E.", "non-dropping-particle" : "", "parse-names" : false, "suffix" : "" } ], "container-title" : "Journal of Business Finance &amp; Accounting", "id" : "ITEM-1", "issue" : "3", "issued" : { "date-parts" : [ [ "1995", "4" ] ] }, "page" : "415-430", "title" : "An examination of international equity markets using American Depository Receipts (ADRs)", "type" : "article-journal", "volume" : "22" }, "uris" : [ "http://www.mendeley.com/documents/?uuid=5bac4873-89ae-43e6-b273-dd9615945fee" ] }, { "id" : "ITEM-2", "itemData" : { "ISSN" : "0306-686X", "abstract" : "This paper studies the role of American Depository Receipts (ADRs) in international diversification by using a sample of 113 ADRs from eight foreign countries over 1980\u20131994. We find that investing in ADRs offers significant improvement in the risk-return trade-off. The effectiveness of ADRs as a vehicle for long-term international diversification is further examined by performing cointegration analysis between ADR and the respective market portfolios. Consistent with Webb, Officer and Boyd (1995), we also find that the movements of ADR and the foreign market are highly correlated. Moreover, the pricing factors of ADRs are further investigated in a GARCH framework.", "author" : [ { "dropping-particle" : "", "family" : "Jiang", "given" : "Christine X.", "non-dropping-particle" : "", "parse-names" : false, "suffix" : "" } ], "container-title" : "Journal of Business Finance &amp; Accounting", "id" : "ITEM-2", "issue" : "5&amp;6", "issued" : { "date-parts" : [ [ "1998", "6" ] ] }, "note" : "this contradicts Russell, he says Webb finds ADRs no good and Jiang says Webb finds ADRs are good.  Need to check Webb!\n        \nGood intro for reasons for cross listing", "page" : "683-699", "title" : "Diversification with American Depository Receipts: The Dynamics and the Pricing Factors", "type" : "article-journal", "volume" : "25" }, "uris" : [ "http://www.mendeley.com/documents/?uuid=a9fdf5f5-d004-41f6-afb1-c92f50d919ee" ] } ], "mendeley" : { "manualFormatting" : "(Jiang, 1998; Webb, Officer, and Boyd, 1995)", "previouslyFormattedCitation" : "(Jiang, 1998; Webb, Officer, &amp; Boyd, 1995)"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(Jiang, 1998; Webb, Officer, and Boyd, 1995)</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"0190-0692", "abstract" : "American depository receipts (ADRs) are dollar-denominated, negotiable instruments issued by a depository bank to represent ownership of a foreign security in the bank's possession. They are the primary method employed by Latin American corporations to raise equity capital in the United States. One flequently overlooked aspect about ADRs is that their investment performance provides a gauge not only on management's performance but also a measure of the foreign government's ability to provide a political, legal, economic and social climate that is conducive to international investment. This paper investigates the returns and risks associated with foreign investment in Mexico and South America. First, we show that the weekly returns to Latin American stocks are weakly correlated with the U.S. stock market which suggests that they can reduce the risk of a portfolio that is fully diversified within the U.S. market. Second, we find that ADRs from this region are more risky than U.S. common stocks. However, we find little evidence that foreign exchange rate risk should be a major factor in the investment decision. Third, we examine the effects of the devaluation of the Mexican peso and show that political factors can significantly increase the risk and reduce the return to foreign investment. Finally, the results show that investors do not pay a significantly larger relative transaction cost premium for investing in Mexican and South American equity vis-\u00e0-vis U.S. common stock. We conclude that ADRs provide the ability for the U.S. investor to realize potentially superior gains from companies located in these emerging economies. However, the willingness by the U.S. investor to disinvest means that politicians and managers have a powerful incentive to continue reforms that lead to improved standards of living for their citizens and employees.", "author" : [ { "dropping-particle" : "", "family" : "Peterson", "given" : "Craig A.", "non-dropping-particle" : "", "parse-names" : false, "suffix" : "" }, { "dropping-particle" : "", "family" : "O'Shaughnessy", "given" : "K. C.", "non-dropping-particle" : "", "parse-names" : false, "suffix" : "" } ], "container-title" : "International Journal of Public Administration", "id" : "ITEM-1", "issue" : "5-8", "issued" : { "date-parts" : [ [ "2000", "1" ] ] }, "page" : "1229-1252", "publisher" : "Routledge", "title" : "Financial investment via ADRs in Mexico and South America", "type" : "article-journal", "volume" : "23" }, "uris" : [ "http://www.mendeley.com/documents/?uuid=cc3f6a42-c807-4f8e-88c3-2f4946d6f0cf" ] } ], "mendeley" : { "manualFormatting" : "Peterson &amp; O\u2019Shaughnessy (2000)", "previouslyFormattedCitation" : "(Peterson &amp; O\u2019Shaughnessy, 2000)"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Peterson &amp; O’Shaughnessy (2000)</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South American ADRs provide good diversification benefits to US investors.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"0304405X", "abstract" : "We measure arbitrage opportunities by comparing the intraday prices and quotes of American Depositary Receipts (ADRs) and other types of cross-listed shares in U.S. markets with synchronous prices of their home-market shares on a currency-adjusted basis for a sample of 506 U.S. cross-listed stocks from 35 different countries. Deviations from price parity average an economically small 4.9 basis points, but they are volatile and can reach large extremes. Price parity deviations and their daily changes are positively related to proxies for holding costs that can impede arbitrage, even after controlling for transactions costs and foreign investment restrictions.", "author" : [ { "dropping-particle" : "", "family" : "Gagnon", "given" : "Louis", "non-dropping-particle" : "", "parse-names" : false, "suffix" : "" }, { "dropping-particle" : "", "family" : "Karolyi", "given" : "Andrew", "non-dropping-particle" : "", "parse-names" : false, "suffix" : "" } ], "container-title" : "Journal of Financial Economics", "id" : "ITEM-1", "issue" : "1", "issued" : { "date-parts" : [ [ "2010", "7" ] ] }, "page" : "53-80", "title" : "Multi-market trading and arbitrage", "type" : "article-journal", "volume" : "97" }, "uris" : [ "http://www.mendeley.com/documents/?uuid=920e12af-e263-4f72-968f-2516f7afcd7e" ] } ], "mendeley" : { "manualFormatting" : "Gagnon &amp; Andrew Karolyi (2010)", "previouslyFormattedCitation" : "(Gagnon &amp; Karolyi, 2010)"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Gagnon &amp; Andrew Karolyi (2010)</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the returns on ADRs, compared with their underlying shares, have higher correlation with US indices than with their corresponding home market indices.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"0927538X", "author" : [ { "dropping-particle" : "", "family" : "Kabir", "given" : "M. Humayun", "non-dropping-particle" : "", "parse-names" : false, "suffix" : "" }, { "dropping-particle" : "", "family" : "Hassan", "given" : "M. Kabir", "non-dropping-particle" : "", "parse-names" : false, "suffix" : "" }, { "dropping-particle" : "", "family" : "Maroney", "given" : "Neal", "non-dropping-particle" : "", "parse-names" : false, "suffix" : "" } ], "container-title" : "Pacific-Basin Finance Journal", "id" : "ITEM-1", "issue" : "1", "issued" : { "date-parts" : [ [ "2011", "1" ] ] }, "page" : "98-114", "publisher" : "Elsevier B.V.", "title" : "International diversification with American Depository Receipts (ADRs)", "type" : "article-journal", "volume" : "19" }, "uris" : [ "http://www.mendeley.com/documents/?uuid=f22c9472-fd4d-4aad-bdaf-436dd19cb092" ] } ], "mendeley" : { "manualFormatting" : "Kabir, Hassan, &amp; Maroney (2011)", "previouslyFormattedCitation" : "(Kabir, Hassan, &amp; Maroney, 2011)"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Kabir, Hassan, &amp; Maroney (2011)</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ADRs are a good substitute for foreign investment for many countries but with some exceptions for Latin America.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"1611-1699", "author" : [ { "dropping-particle" : "", "family" : "Lee", "given" : "Chien-Chiang", "non-dropping-particle" : "", "parse-names" : false, "suffix" : "" }, { "dropping-particle" : "", "family" : "Chen", "given" : "Mei-Ping", "non-dropping-particle" : "", "parse-names" : false, "suffix" : "" }, { "dropping-particle" : "", "family" : "Li", "given" : "Chun-An", "non-dropping-particle" : "", "parse-names" : false, "suffix" : "" }, { "dropping-particle" : "", "family" : "Chang", "given" : "Chi-Hung", "non-dropping-particle" : "", "parse-names" : false, "suffix" : "" } ], "container-title" : "Journal of Business Economics and Management", "id" : "ITEM-1", "issue" : "2", "issued" : { "date-parts" : [ [ "2011", "6" ] ] }, "page" : "248-277", "title" : "Determinants of ADR Returns before and after Domestic Stock Seasoned Equity Offerings: Evidence from Asian and Latin American Emerging Markets", "type" : "article-journal", "volume" : "12" }, "uris" : [ "http://www.mendeley.com/documents/?uuid=49fe37ab-3083-4598-8ffc-2ea60962eb8f" ] } ], "mendeley" : { "manualFormatting" : "Lee, Chen, Li, &amp; Chang (2011)", "previouslyFormattedCitation" : "(C.-C. Lee, Chen, Li, &amp; Chang, 2011)"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Lee, Chen, Li, &amp; Chang (2011)</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compare ADRs in different regions and find that the home market returns have a large impact on Latin American ADRs but that the US market sentiment has the biggest impact on Asian country ADRs.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"author" : [ { "dropping-particle" : "", "family" : "Peterburgsky", "given" : "Stanley", "non-dropping-particle" : "", "parse-names" : false, "suffix" : "" }, { "dropping-particle" : "", "family" : "Yang", "given" : "Yini", "non-dropping-particle" : "", "parse-names" : false, "suffix" : "" } ], "container-title" : "Applied Financial Economics", "id" : "ITEM-1", "issue" : "June", "issued" : { "date-parts" : [ [ "2013" ] ] }, "page" : "37-41", "title" : "Diversification potential of ADRs , country funds and underlying stocks across economic conditions", "type" : "article-journal" }, "uris" : [ "http://www.mendeley.com/documents/?uuid=746f6f5d-b5ec-4c8d-b904-619bd2147101" ] } ], "mendeley" : { "manualFormatting" : "Peterburgsky &amp; Yang (2013)", "previouslyFormattedCitation" : "(Peterburgsky &amp; Yang, 2013)"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Peterburgsky &amp; Yang (2013)</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ADRs are less effective than holding the underlying stocks as they trade during US hours, on US exchanges and their clientele is different from the investors buying the underlying stock.</w:t>
      </w:r>
      <w:r w:rsidRPr="00CE6362">
        <w:rPr>
          <w:rFonts w:ascii="Times New Roman" w:hAnsi="Times New Roman" w:cs="Times New Roman"/>
          <w:sz w:val="24"/>
          <w:szCs w:val="24"/>
        </w:rPr>
        <w:t xml:space="preserve">  </w:t>
      </w:r>
      <w:r w:rsidR="00CE6362" w:rsidRPr="00CE6362">
        <w:rPr>
          <w:rFonts w:ascii="Times New Roman" w:hAnsi="Times New Roman" w:cs="Times New Roman"/>
          <w:sz w:val="24"/>
          <w:szCs w:val="24"/>
        </w:rPr>
        <w:t xml:space="preserve"> In summary, ADRs are found in many cases to be a good diversification tool but their effectiveness may depend on their country of origin.</w:t>
      </w:r>
    </w:p>
    <w:p w14:paraId="4BA7F748" w14:textId="77777777" w:rsidR="00CE6362" w:rsidRPr="00CA4E0C" w:rsidRDefault="001F233D" w:rsidP="00CE6362">
      <w:pPr>
        <w:spacing w:line="360" w:lineRule="auto"/>
        <w:jc w:val="both"/>
        <w:rPr>
          <w:rFonts w:ascii="Times New Roman" w:hAnsi="Times New Roman" w:cs="Times New Roman"/>
          <w:color w:val="FF0000"/>
          <w:sz w:val="24"/>
          <w:szCs w:val="24"/>
          <w:u w:val="single"/>
        </w:rPr>
      </w:pPr>
      <w:r w:rsidRPr="00CA4E0C">
        <w:rPr>
          <w:rFonts w:ascii="Times New Roman" w:hAnsi="Times New Roman" w:cs="Times New Roman"/>
          <w:sz w:val="24"/>
          <w:szCs w:val="24"/>
        </w:rPr>
        <w:t>Two types of exchange traded country funds are prevalent in the US, closed-end country funds</w:t>
      </w:r>
      <w:r w:rsidR="00CE6362">
        <w:rPr>
          <w:rFonts w:ascii="Times New Roman" w:hAnsi="Times New Roman" w:cs="Times New Roman"/>
          <w:sz w:val="24"/>
          <w:szCs w:val="24"/>
        </w:rPr>
        <w:t xml:space="preserve"> and iShares</w:t>
      </w:r>
      <w:r w:rsidRPr="00CA4E0C">
        <w:rPr>
          <w:rFonts w:ascii="Times New Roman" w:hAnsi="Times New Roman" w:cs="Times New Roman"/>
          <w:sz w:val="24"/>
          <w:szCs w:val="24"/>
        </w:rPr>
        <w:t xml:space="preserve">.  </w:t>
      </w:r>
      <w:r w:rsidR="00CE6362" w:rsidRPr="00CA4E0C">
        <w:rPr>
          <w:rFonts w:ascii="Times New Roman" w:hAnsi="Times New Roman" w:cs="Times New Roman"/>
          <w:sz w:val="24"/>
          <w:szCs w:val="24"/>
        </w:rPr>
        <w:t xml:space="preserve">Closed-end country funds (CCFs) are mutual funds that issue a fixed number of shares at inception.  Like other mutual funds, they are actively managed.  A shareholder in a closed-end fund redeems shares with the issuer as with open-end funds, but may trade shares.  As the number is fixed, the value of shares in a closed-end fund is determined by demand and supply as well as the fund's net asset value (NAV).  The values of CCFs have been found to deviate significantly from their NAV.  Studies by </w:t>
      </w:r>
      <w:r w:rsidR="00CE6362"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"14657368", "abstract" : "Closed-end country funds can trade at large premiums and discounts from their foreign asset values (NAVs). Investigating this anomaly, we find that individual fund premiums move together, primarily because of the comovement of their stock prices with the U.S. market. Moreover, an index of country fund premiums differentiates size-ranked U.S. portfolio returns and forecasts country fund stock returns. These findings suggest that international equity prices are affected by local risk. In particular, we show that country fund premium movements reflect a U.S.-specific risk, which may be interpreted as U.S. market sentiment.", "author" : [ { "dropping-particle" : "", "family" : "Bodurtha", "given" : "J. N.", "non-dropping-particle" : "", "parse-names" : false, "suffix" : "" }, { "dropping-particle" : "", "family" : "Kim", "given" : "D.S.", "non-dropping-particle" : "", "parse-names" : false, "suffix" : "" }, { "dropping-particle" : "", "family" : "Lee", "given" : "CMC", "non-dropping-particle" : "", "parse-names" : false, "suffix" : "" } ], "container-title" : "Review of Financial Studies", "id" : "ITEM-1", "issue" : "3", "issued" : { "date-parts" : [ [ "1995", "7" ] ] }, "page" : "879-918", "title" : "Closed-end country funds and U.S. market sentiment", "type" : "article-journal", "volume" : "8" }, "uris" : [ "http://www.mendeley.com/documents/?uuid=04754d50-f50b-4a23-90ee-ac1efdd0b878" ] }, { "id" : "ITEM-2", "itemData" : { "ISSN" : "03784266", "abstract" : "The primary objectives of this paper are to assess the potential of closed-end country funds (CECFs) as vehicles for achieving international diversification at 'home' and to examine the effect of the closed-end status of these funds on their investment characteristics. The main findings are: First, CECFs exhibit significant exposure to the U.S. market factor and act more like U.S. securities than do their underlying assets. Second, despite these characteristics, CECFs retain significant exposure to their local (home) market factors and provide U.S. investors with substantial diversification benefits. Emerging market funds such as Brazil, Mexico, and Taiwan receive large weights in optimal international portfolios comprised of CECFs, implying that these funds can play a unique role in spanning the opportunity set for U.S. investors. Third, performance evaluations indicate that our sample CECFs generally did not offer significant 'overseas alphas'. Fourth, fund value and net asset value are found to be co-integrated for the majority of CECFs from North America and Europe, but not for those representing the Asian emerging markets.", "author" : [ { "dropping-particle" : "", "family" : "Chang", "given" : "E", "non-dropping-particle" : "", "parse-names" : false, "suffix" : "" }, { "dropping-particle" : "", "family" : "Eun", "given" : "C S", "non-dropping-particle" : "", "parse-names" : false, "suffix" : "" }, { "dropping-particle" : "", "family" : "Kolodny", "given" : "R", "non-dropping-particle" : "", "parse-names" : false, "suffix" : "" } ], "container-title" : "Journal of Banking &amp; Finance", "id" : "ITEM-2", "issue" : "7", "issued" : { "date-parts" : [ [ "1995" ] ] }, "page" : "1237-1263", "title" : "International Diversification through Closed-End Country Funds", "type" : "article-journal", "volume" : "19" }, "uris" : [ "http://www.mendeley.com/documents/?uuid=44e34660-07de-4c1c-b01c-299fdb1fc9cf" ] }, { "id" : "ITEM-3", "itemData" : { "ISSN" : "03784266", "abstract" : "This paper provides an empirical analysis of the performance of 45 international closed-end funds and compares alternate measures of performance using the sample of funds and 35 national market indices. The empirical evidence indicates that the risk-adjusted performance of the shares or the net asset values of the funds match the performance of their respective local market indices, as well as the world market index and do not exhibit superior timing ability. These findings are robust to conditioning on information.", "author" : [ { "dropping-particle" : "", "family" : "Patro", "given" : "Dilip Kumar", "non-dropping-particle" : "", "parse-names" : false, "suffix" : "" } ], "container-title" : "Journal of Banking &amp; Finance", "id" : "ITEM-3", "issue" : "9", "issued" : { "date-parts" : [ [ "2001", "9" ] ] }, "page" : "1741-1767", "title" : "Measuring performance of international closed-end funds", "type" : "article-journal", "volume" : "25" }, "uris" : [ "http://www.mendeley.com/documents/?uuid=58f076c3-3b43-47fc-831b-235a0905ab2b" ] } ], "mendeley" : { "manualFormatting" : "Bodurtha, Kim, and Lee (1995), Chang, Eun, and Kolodny (1995) and Patro (2001)", "previouslyFormattedCitation" : "(Bodurtha, Kim, &amp; Lee, 1995; Chang, Eun, &amp; Kolodny, 1995; D. K. Patro, 2001)" }, "properties" : { "noteIndex" : 0 }, "schema" : "https://github.com/citation-style-language/schema/raw/master/csl-citation.json" }</w:instrText>
      </w:r>
      <w:r w:rsidR="00CE6362" w:rsidRPr="00CA4E0C">
        <w:rPr>
          <w:rFonts w:ascii="Times New Roman" w:hAnsi="Times New Roman" w:cs="Times New Roman"/>
          <w:sz w:val="24"/>
          <w:szCs w:val="24"/>
        </w:rPr>
        <w:fldChar w:fldCharType="separate"/>
      </w:r>
      <w:r w:rsidR="00CE6362" w:rsidRPr="00CA4E0C">
        <w:rPr>
          <w:rFonts w:ascii="Times New Roman" w:hAnsi="Times New Roman" w:cs="Times New Roman"/>
          <w:noProof/>
          <w:sz w:val="24"/>
          <w:szCs w:val="24"/>
        </w:rPr>
        <w:t>Bodurtha, Kim, and Lee (1995), Chang, Eun, and Kolodny (1995) and Patro (2001)</w:t>
      </w:r>
      <w:r w:rsidR="00CE6362" w:rsidRPr="00CA4E0C">
        <w:rPr>
          <w:rFonts w:ascii="Times New Roman" w:hAnsi="Times New Roman" w:cs="Times New Roman"/>
          <w:sz w:val="24"/>
          <w:szCs w:val="24"/>
        </w:rPr>
        <w:fldChar w:fldCharType="end"/>
      </w:r>
      <w:r w:rsidR="00CE6362" w:rsidRPr="00CA4E0C">
        <w:rPr>
          <w:rFonts w:ascii="Times New Roman" w:hAnsi="Times New Roman" w:cs="Times New Roman"/>
          <w:sz w:val="24"/>
          <w:szCs w:val="24"/>
        </w:rPr>
        <w:t xml:space="preserve"> find that CCFs perform more like US assets than their </w:t>
      </w:r>
      <w:r w:rsidR="00CE6362" w:rsidRPr="00CA4E0C">
        <w:rPr>
          <w:rFonts w:ascii="Times New Roman" w:hAnsi="Times New Roman" w:cs="Times New Roman"/>
          <w:sz w:val="24"/>
          <w:szCs w:val="24"/>
        </w:rPr>
        <w:lastRenderedPageBreak/>
        <w:t xml:space="preserve">underlying assets but conclude that they still offer some diversification benefits.  </w:t>
      </w:r>
      <w:r w:rsidR="00CE6362" w:rsidRPr="00CA4E0C">
        <w:rPr>
          <w:rFonts w:ascii="Times New Roman" w:hAnsi="Times New Roman" w:cs="Times New Roman"/>
          <w:noProof/>
          <w:sz w:val="24"/>
          <w:szCs w:val="24"/>
        </w:rPr>
        <w:fldChar w:fldCharType="begin" w:fldLock="1"/>
      </w:r>
      <w:r w:rsidR="00CE6362">
        <w:rPr>
          <w:rFonts w:ascii="Times New Roman" w:hAnsi="Times New Roman" w:cs="Times New Roman"/>
          <w:noProof/>
          <w:sz w:val="24"/>
          <w:szCs w:val="24"/>
        </w:rPr>
        <w:instrText>ADDIN CSL_CITATION { "citationItems" : [ { "id" : "ITEM-1", "itemData" : { "abstract" : "Using data from 1993 to 2002 for eight developed and fifteen emerging markets, we find that return correlations, mean-variance spanning, and Sharpe ratio tests support that closed-end country funds (CECF) can mimic their corresponding foreign indices, and that they are more heavily influenced by their corresponding local markets instead of the U.S. market. This implies that U.S. investors, by investing in CECF, can achieve similar international diversification benefits to those achieved by investing directly in the foreign indices. We also document increased correlation between the U.S. market and foreign markets during this period and find no compelling evidence of economically and statistically significant international diversification benefits, as opposed to a pre 1993 period. These findings could be associated with the financial market liberalization that was prevalent during the period (JEL: G15).", "author" : [ { "dropping-particle" : "", "family" : "Charitou", "given" : "Andreas", "non-dropping-particle" : "", "parse-names" : false, "suffix" : "" }, { "dropping-particle" : "", "family" : "Makris", "given" : "Andreas", "non-dropping-particle" : "", "parse-names" : false, "suffix" : "" }, { "dropping-particle" : "", "family" : "Nishiotis", "given" : "George P", "non-dropping-particle" : "", "parse-names" : false, "suffix" : "" } ], "container-title" : "Multinational Finance Journal", "id" : "ITEM-1", "issue" : "3", "issued" : { "date-parts" : [ [ "2006" ] ] }, "page" : "251-276", "title" : "Closed-End Country Funds and International Diversification", "type" : "article-journal", "volume" : "10" }, "uris" : [ "http://www.mendeley.com/documents/?uuid=43da1ddf-f11b-4359-be61-a739a6893240" ] } ], "mendeley" : { "manualFormatting" : "Charitou, Makris, &amp; Nishiotis (2006)", "previouslyFormattedCitation" : "(Charitou, Makris, &amp; Nishiotis, 2006)" }, "properties" : { "noteIndex" : 0 }, "schema" : "https://github.com/citation-style-language/schema/raw/master/csl-citation.json" }</w:instrText>
      </w:r>
      <w:r w:rsidR="00CE6362" w:rsidRPr="00CA4E0C">
        <w:rPr>
          <w:rFonts w:ascii="Times New Roman" w:hAnsi="Times New Roman" w:cs="Times New Roman"/>
          <w:noProof/>
          <w:sz w:val="24"/>
          <w:szCs w:val="24"/>
        </w:rPr>
        <w:fldChar w:fldCharType="separate"/>
      </w:r>
      <w:r w:rsidR="00CE6362" w:rsidRPr="00CA4E0C">
        <w:rPr>
          <w:rFonts w:ascii="Times New Roman" w:hAnsi="Times New Roman" w:cs="Times New Roman"/>
          <w:noProof/>
          <w:sz w:val="24"/>
          <w:szCs w:val="24"/>
        </w:rPr>
        <w:t>Charitou, Makris, &amp; Nishiotis (2006)</w:t>
      </w:r>
      <w:r w:rsidR="00CE6362" w:rsidRPr="00CA4E0C">
        <w:rPr>
          <w:rFonts w:ascii="Times New Roman" w:hAnsi="Times New Roman" w:cs="Times New Roman"/>
          <w:noProof/>
          <w:sz w:val="24"/>
          <w:szCs w:val="24"/>
        </w:rPr>
        <w:fldChar w:fldCharType="end"/>
      </w:r>
      <w:r w:rsidR="00CE6362" w:rsidRPr="00CA4E0C">
        <w:rPr>
          <w:rFonts w:ascii="Times New Roman" w:hAnsi="Times New Roman" w:cs="Times New Roman"/>
          <w:noProof/>
          <w:sz w:val="24"/>
          <w:szCs w:val="24"/>
        </w:rPr>
        <w:t xml:space="preserve">  find that foreign markets have more influence on CCFs than the US market.  </w:t>
      </w:r>
      <w:r w:rsidR="00CE6362" w:rsidRPr="00CA4E0C">
        <w:rPr>
          <w:rFonts w:ascii="Times New Roman" w:hAnsi="Times New Roman" w:cs="Times New Roman"/>
          <w:noProof/>
          <w:sz w:val="24"/>
          <w:szCs w:val="24"/>
        </w:rPr>
        <w:fldChar w:fldCharType="begin" w:fldLock="1"/>
      </w:r>
      <w:r w:rsidR="00CE6362">
        <w:rPr>
          <w:rFonts w:ascii="Times New Roman" w:hAnsi="Times New Roman" w:cs="Times New Roman"/>
          <w:noProof/>
          <w:sz w:val="24"/>
          <w:szCs w:val="24"/>
        </w:rPr>
        <w:instrText>ADDIN CSL_CITATION { "citationItems" : [ { "id" : "ITEM-1", "itemData" : { "ISSN" : "10629769", "abstract" : "In 1996, the first exchange-traded funds (ETFs) designed to track a subset of the Morgan Stanley Capital International country indices were approved under the name World Equity Benchmarks (acronym \u201cWEBS\u201d\u2122). We examine the impact of early WEBS-trading on the liquidity of corresponding closed-end country funds (CECFs), previously one of the main avenues for retail investors to achieve country-specific equity exposure. We document a decline in both the trading volume and the trading frequency for CECFs, suggesting that some investors migrate to WEBS. At the same time, the market depth for CECFs increases and the bid-ask spread for CECFs decreases following the introduction of WEBS. Our results support the hypothesis that despite the decline in volume and trading frequency, the liquidity of CECFs is favorably affected by the advent of WEBS.", "author" : [ { "dropping-particle" : "", "family" : "Chen", "given" : "Honghui", "non-dropping-particle" : "", "parse-names" : false, "suffix" : "" }, { "dropping-particle" : "", "family" : "Morse", "given" : "Joel N.", "non-dropping-particle" : "", "parse-names" : false, "suffix" : "" }, { "dropping-particle" : "", "family" : "Nguyen", "given" : "Hoang Huy", "non-dropping-particle" : "", "parse-names" : false, "suffix" : "" } ], "container-title" : "The Quarterly Review of Economics and Finance", "id" : "ITEM-1", "issue" : "3", "issued" : { "date-parts" : [ [ "2009", "8" ] ] }, "page" : "1081-1094", "title" : "Changes in the liquidity of closed-end country funds after the introduction of World Equity Benchmarks", "type" : "article-journal", "volume" : "49" }, "uris" : [ "http://www.mendeley.com/documents/?uuid=cd0d7da0-2b89-4b14-b9fe-935f1fc7955c" ] } ], "mendeley" : { "manualFormatting" : "Chen, Morse, &amp; Nguyen (2009)", "previouslyFormattedCitation" : "(Chen, Morse, &amp; Nguyen, 2009)" }, "properties" : { "noteIndex" : 0 }, "schema" : "https://github.com/citation-style-language/schema/raw/master/csl-citation.json" }</w:instrText>
      </w:r>
      <w:r w:rsidR="00CE6362" w:rsidRPr="00CA4E0C">
        <w:rPr>
          <w:rFonts w:ascii="Times New Roman" w:hAnsi="Times New Roman" w:cs="Times New Roman"/>
          <w:noProof/>
          <w:sz w:val="24"/>
          <w:szCs w:val="24"/>
        </w:rPr>
        <w:fldChar w:fldCharType="separate"/>
      </w:r>
      <w:r w:rsidR="00CE6362" w:rsidRPr="00CA4E0C">
        <w:rPr>
          <w:rFonts w:ascii="Times New Roman" w:hAnsi="Times New Roman" w:cs="Times New Roman"/>
          <w:noProof/>
          <w:sz w:val="24"/>
          <w:szCs w:val="24"/>
        </w:rPr>
        <w:t>Chen, Morse, &amp; Nguyen (2009)</w:t>
      </w:r>
      <w:r w:rsidR="00CE6362" w:rsidRPr="00CA4E0C">
        <w:rPr>
          <w:rFonts w:ascii="Times New Roman" w:hAnsi="Times New Roman" w:cs="Times New Roman"/>
          <w:noProof/>
          <w:sz w:val="24"/>
          <w:szCs w:val="24"/>
        </w:rPr>
        <w:fldChar w:fldCharType="end"/>
      </w:r>
      <w:r w:rsidR="00CE6362" w:rsidRPr="00CA4E0C">
        <w:rPr>
          <w:rFonts w:ascii="Times New Roman" w:hAnsi="Times New Roman" w:cs="Times New Roman"/>
          <w:noProof/>
          <w:sz w:val="24"/>
          <w:szCs w:val="24"/>
        </w:rPr>
        <w:t xml:space="preserve"> look at the impact of the growth of iShares on CCFs, and find that although the volume of investment in CCFs is significantly reduced, their liquidity has not been affected.</w:t>
      </w:r>
      <w:r w:rsidR="00CE6362" w:rsidRPr="00CA4E0C">
        <w:rPr>
          <w:rFonts w:ascii="Times New Roman" w:hAnsi="Times New Roman" w:cs="Times New Roman"/>
          <w:color w:val="FF0000"/>
          <w:sz w:val="24"/>
          <w:szCs w:val="24"/>
        </w:rPr>
        <w:t xml:space="preserve">  </w:t>
      </w:r>
    </w:p>
    <w:p w14:paraId="05C65F13" w14:textId="77777777" w:rsidR="001F233D" w:rsidRPr="00CA4E0C" w:rsidRDefault="001F233D" w:rsidP="001F233D">
      <w:pPr>
        <w:spacing w:line="360" w:lineRule="auto"/>
        <w:jc w:val="both"/>
        <w:rPr>
          <w:rFonts w:ascii="Times New Roman" w:hAnsi="Times New Roman" w:cs="Times New Roman"/>
          <w:sz w:val="24"/>
          <w:szCs w:val="24"/>
        </w:rPr>
      </w:pPr>
      <w:proofErr w:type="spellStart"/>
      <w:r w:rsidRPr="00CA4E0C">
        <w:rPr>
          <w:rFonts w:ascii="Times New Roman" w:hAnsi="Times New Roman" w:cs="Times New Roman"/>
          <w:sz w:val="24"/>
          <w:szCs w:val="24"/>
        </w:rPr>
        <w:t>IShares</w:t>
      </w:r>
      <w:proofErr w:type="spellEnd"/>
      <w:r w:rsidRPr="00CA4E0C">
        <w:rPr>
          <w:rFonts w:ascii="Times New Roman" w:hAnsi="Times New Roman" w:cs="Times New Roman"/>
          <w:sz w:val="24"/>
          <w:szCs w:val="24"/>
        </w:rPr>
        <w:t xml:space="preserve"> are a family of exchange-traded funds (ETFs) managed by BlackRock.</w:t>
      </w:r>
      <w:r w:rsidRPr="00CA4E0C">
        <w:rPr>
          <w:rStyle w:val="FootnoteReference"/>
          <w:rFonts w:ascii="Times New Roman" w:hAnsi="Times New Roman" w:cs="Times New Roman"/>
          <w:sz w:val="24"/>
          <w:szCs w:val="24"/>
        </w:rPr>
        <w:footnoteReference w:id="5"/>
      </w:r>
      <w:r w:rsidRPr="00CA4E0C">
        <w:rPr>
          <w:rFonts w:ascii="Times New Roman" w:hAnsi="Times New Roman" w:cs="Times New Roman"/>
          <w:sz w:val="24"/>
          <w:szCs w:val="24"/>
        </w:rPr>
        <w:t xml:space="preserve">  Single country iShares are designed to track MSCI country indices.  The index tracking capability of some iShares may be affected by the fact that they only invest in a subset of the MSCI index that they claim to track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"01486195", "abstract" : "This paper examines the performance and diversification gains pro- vided by iShares versus closed-end country funds over the period 1996 through 2006. Findings include: (1) iShares reveal weaker effects from U.S. market exposure than do country funds; (2) U.S. investors react similarly to foreign currency risk associated with iShares and country funds; (3) the average risk-adjusted perfor- mance of passively managed iShares is better than that of their respective actively managed country funds; and (4) iShares provide U.S. investors greater diversification gains than do country funds, that is, U.S. investors should prefer iShares to country funds when diversifying portfolios internationally.", "author" : [ { "dropping-particle" : "", "family" : "Tsai", "given" : "Pei-Jung", "non-dropping-particle" : "", "parse-names" : false, "suffix" : "" }, { "dropping-particle" : "", "family" : "Swanson", "given" : "Peggy E", "non-dropping-particle" : "", "parse-names" : false, "suffix" : "" } ], "container-title" : "Journal of Economics and Business", "id" : "ITEM-1", "issue" : "6", "issued" : { "date-parts" : [ [ "2009" ] ] }, "page" : "472-494", "title" : "The comparative role of iShares and country funds in internationally diversified portfolios", "type" : "article-journal", "volume" : "61" }, "uris" : [ "http://www.mendeley.com/documents/?uuid=d95c270c-17f5-4ae6-be42-9511d379ddbc" ] } ], "mendeley" : { "manualFormatting" : "Tsai and Swanson, 2009)", "previouslyFormattedCitation" : "(Tsai &amp; Swanson, 2009)"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Tsai and Swanson, 2009)</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This is achieved by using a portfolio optimisation approach which seeks to minimise transaction costs.  Demand and supply does not have a significant effect on the value of the fund, as new shares can be created or redeemed at will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"0270-2592", "abstract" : "We study the performance and diversification of iShares and their ri- val closed-end country funds from April 1996 to December 1999. International iShares are country-specific series of securities that track the price and yield of a specific Morgan Stanley Capital Internation (MSCI) country index and, pre- sumably, should provide diversification benefits. Our single-index model demon- strates that iShares replicate the home index, showing some potential for diversi- fication. However, our two-factor model,which isolates the \u201ctrue\u201d diversification virtues, documents that both iShares and closed-end country fund market prices maintain considerable exposure to the U.S. market. Furthermore, the net asset value returns of the closed-end funds demonstrate a strong home country expo- sure, suggesting there is no substitute for direct foreign investment.", "author" : [ { "dropping-particle" : "", "family" : "Pennathur", "given" : "Anita K.", "non-dropping-particle" : "", "parse-names" : false, "suffix" : "" }, { "dropping-particle" : "", "family" : "Delcoure", "given" : "Natalya", "non-dropping-particle" : "", "parse-names" : false, "suffix" : "" }, { "dropping-particle" : "", "family" : "Anderson", "given" : "Dwight", "non-dropping-particle" : "", "parse-names" : false, "suffix" : "" } ], "container-title" : "Journal of Financial Research", "id" : "ITEM-1", "issue" : "4", "issued" : { "date-parts" : [ [ "2002", "12" ] ] }, "page" : "541-557", "title" : "Diversification Benefits of iShares and Closed-End Country Funds", "type" : "article-journal", "volume" : "25" }, "uris" : [ "http://www.mendeley.com/documents/?uuid=d725f474-bef0-4300-bef3-323e17a33411" ] } ], "mendeley" : { "previouslyFormattedCitation" : "(Pennathur, Delcoure, &amp; Anderson, 2002)"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(Pennathur, Delcoure, &amp; Anderson, 2002)</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w:t>
      </w:r>
      <w:proofErr w:type="spellStart"/>
      <w:r w:rsidRPr="00CA4E0C">
        <w:rPr>
          <w:rFonts w:ascii="Times New Roman" w:hAnsi="Times New Roman" w:cs="Times New Roman"/>
          <w:sz w:val="24"/>
          <w:szCs w:val="24"/>
        </w:rPr>
        <w:t>IShares</w:t>
      </w:r>
      <w:proofErr w:type="spellEnd"/>
      <w:r w:rsidRPr="00CA4E0C">
        <w:rPr>
          <w:rFonts w:ascii="Times New Roman" w:hAnsi="Times New Roman" w:cs="Times New Roman"/>
          <w:sz w:val="24"/>
          <w:szCs w:val="24"/>
        </w:rPr>
        <w:t xml:space="preserve"> have been shown to closely resemble the country index they represent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"Previous researchers find that country iShares are directly and strongly exposed to US market risk in addition to home country market risk. This finding contradicts the fact that by design these iShares should behave as their underlying market indices behave.With monthly data and the appropriate orthogonalization choice, we find that direct US market risk exposure is weaker, less significant and less prevalent than previously suggested. Further tests indicate that in fact a strong majority of country iShares do not behave significantly differently from their underlying market indices. Hence, they are not less effective as diversification instruments to US investors than direct investments in the foreign markets as represented by their underlying market indices.", "author" : [ { "dropping-particle" : "", "family" : "Phengpis", "given" : "Chanwit", "non-dropping-particle" : "", "parse-names" : false, "suffix" : "" }, { "dropping-particle" : "", "family" : "Swanson", "given" : "Peggy E", "non-dropping-particle" : "", "parse-names" : false, "suffix" : "" } ], "container-title" : "Journal of Business Finance Accounting", "id" : "ITEM-1", "issue" : "7-8", "issued" : { "date-parts" : [ [ "2009" ] ] }, "page" : "972\u2013986", "publisher" : "Blackwell Publishing Ltd", "title" : "iShares and the US Market Risk Exposure", "type" : "article-journal", "volume" : "36" }, "uris" : [ "http://www.mendeley.com/documents/?uuid=fa6903e7-5756-4e87-90a1-9621af7c1a91" ] } ], "mendeley" : { "manualFormatting" : "(Phengpis and Swanson, 2009)", "previouslyFormattedCitation" : "(Phengpis &amp; Swanson, 2009)"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(Phengpis and Swanson, 2009)</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"1470-8272", "abstract" : "The article shows that country-specific exchange traded funds (hereafter ETFs) enhance global asset allocation strategies. Because ETFs can be sold short even on a downtick, global strategies that diversify risk across country-specific ETFs generate efficiency gains that cannot be achieved by simply investing in a global index open or closed-end fund. Besides, the benefits of international diversification can be achieved with country-specific ETFs at a low cost, with a low tracking error and in a tax-efficient way. For all these reasons, country- specific ETFs may be considered as serious competitors to traditional country open and closed-end funds.", "author" : [ { "dropping-particle" : "", "family" : "Miffre", "given" : "Jo\u00eblle", "non-dropping-particle" : "", "parse-names" : false, "suffix" : "" } ], "container-title" : "Journal of Asset Management", "id" : "ITEM-1", "issue" : "2", "issued" : { "date-parts" : [ [ "2007", "7" ] ] }, "page" : "112-122", "publisher" : "Nature Publishing Group", "title" : "Country-specific ETFs: An efficient approach to global asset allocation", "type" : "article-journal", "volume" : "8" }, "uris" : [ "http://www.mendeley.com/documents/?uuid=f0554ee3-0d4c-4f36-902a-d502d3af2c32" ] } ], "mendeley" : { "manualFormatting" : "Miffre (2007)", "previouslyFormattedCitation" : "(Miffre, 2007)"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Miffre (2007)</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finds them to be a low-cost, low-tracking error and tax-efficient means of gaining international exposure and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"abstract" : "Global investments have been a hot issue for years. Investors can diversify risks and obtain benefits from foreign markets by investing directly in the foreign security market or indirectly in Exchange-Trade Funds (ETFs). Because direct investments are not always feasible, we investigate whether indirect investments can replace direct investments. We create different regional optimal portfolios containing ETFs and ensure optimal asset portfolio allocation. In addition to mean-variance approach, the Sharpe index, we also adopt the Campbell et al. (2001) method to have the efficient frontier under control risks, the Value at Risk. We apply both normal and non-normal distributions for comparisons and find that different assumptions of return distributions affect the results of efficient frontier. The results show that international diversification is a reasonable strategy. In addition, when comparing ETFs and target market index portfolios, ETFs have higher Sharpe measures than target market indices especially in the emerging markets. However, there are no significant performance differences between direct and indirect methods even if we use different performance measures. We also find that the diversification benefits are the same before and after the Subprime crisis. We conclude that it is effective for investors to use indirect methods to create internationally diversified portfolios.", "author" : [ { "dropping-particle" : "", "family" : "Huang", "given" : "Mei-Yueh", "non-dropping-particle" : "", "parse-names" : false, "suffix" : "" }, { "dropping-particle" : "", "family" : "Lin", "given" : "Jun-Biao", "non-dropping-particle" : "", "parse-names" : false, "suffix" : "" } ], "container-title" : "Research in International Business and Finance", "id" : "ITEM-1", "issue" : "3", "issued" : { "date-parts" : [ [ "2011" ] ] }, "page" : "335 - 344", "title" : "Do ETFs provide effective international diversification?", "type" : "article-journal", "volume" : "25" }, "uris" : [ "http://www.mendeley.com/documents/?uuid=d359dbf3-7c16-442b-967c-fe12bcc1ddea" ] } ], "mendeley" : { "manualFormatting" : "Huang and Lin (2011)", "previouslyFormattedCitation" : "(Huang &amp; Lin, 2011)"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Huang and Lin (2011)</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them to be an effective diversification tool when compared to direct foreign investment.  However,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"0306-686X", "abstract" : "We examine the newly developed international diversification instruments\u2013iShares traded on the American Stock Exchange. Given the fact that iShares can be created and redeemed at will, the daily price of an iShare is expected to be equal to the daily portfolio value of the underlying assets in the home-country market. Therefore, theoretically, iShare pricing should be influenced by the risk from the iShare\u2019s home-country market and not the risk from the US market, per se. We evaluate the risk exposure of iShare prices to the US market (non-fundamental effect) as well as the home-country market (the fundamental effect). We find that most iShare returns are sig- nificantly influenced by and sensitive to the US market risk. Moreover, the US market appears to be the key permanent driving factor and the home-country market is a pronounced transitory driving force for iShare prices. These find- ings indicate the presence of limits of international arbitrage for iShares. As a result, the international diversification benefits of iShares become question- able.", "author" : [ { "dropping-particle" : "", "family" : "Zhong", "given" : "Maosen", "non-dropping-particle" : "", "parse-names" : false, "suffix" : "" }, { "dropping-particle" : "", "family" : "Yang", "given" : "Hui", "non-dropping-particle" : "", "parse-names" : false, "suffix" : "" } ], "container-title" : "Journal of Business Finance &amp; Accounting", "id" : "ITEM-1", "issue" : "3-4", "issued" : { "date-parts" : [ [ "2005", "4" ] ] }, "page" : "737-772", "title" : "Risk Exposures and International Diversification: Evidence from iShares", "type" : "article-journal", "volume" : "32" }, "uris" : [ "http://www.mendeley.com/documents/?uuid=41f5ef7f-d753-4baf-920c-40726ab859fb" ] } ], "mendeley" : { "manualFormatting" : "Zhong and Yang (2005)", "previouslyFormattedCitation" : "(Zhong &amp; Yang, 2005)"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Zhong and Yang (2005)</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the returns are significantly influenced by US market risk and question their diversification benefits.  </w:t>
      </w:r>
    </w:p>
    <w:p w14:paraId="263A0E2E" w14:textId="77777777" w:rsidR="001F233D" w:rsidRPr="00CA4E0C" w:rsidRDefault="001F233D" w:rsidP="001F233D">
      <w:pPr>
        <w:spacing w:line="360" w:lineRule="auto"/>
        <w:jc w:val="both"/>
        <w:rPr>
          <w:rFonts w:ascii="Times New Roman" w:hAnsi="Times New Roman" w:cs="Times New Roman"/>
          <w:sz w:val="24"/>
          <w:szCs w:val="24"/>
        </w:rPr>
      </w:pPr>
      <w:r w:rsidRPr="00CA4E0C">
        <w:rPr>
          <w:rFonts w:ascii="Times New Roman" w:hAnsi="Times New Roman" w:cs="Times New Roman"/>
          <w:sz w:val="24"/>
          <w:szCs w:val="24"/>
        </w:rPr>
        <w:t xml:space="preserve">A small number of studies compare the diversification benefits of two equity products. For example,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"0270-2592", "abstract" : "We study the performance and diversification of iShares and their ri- val closed-end country funds from April 1996 to December 1999. International iShares are country-specific series of securities that track the price and yield of a specific Morgan Stanley Capital Internation (MSCI) country index and, pre- sumably, should provide diversification benefits. Our single-index model demon- strates that iShares replicate the home index, showing some potential for diversi- fication. However, our two-factor model,which isolates the \u201ctrue\u201d diversification virtues, documents that both iShares and closed-end country fund market prices maintain considerable exposure to the U.S. market. Furthermore, the net asset value returns of the closed-end funds demonstrate a strong home country expo- sure, suggesting there is no substitute for direct foreign investment.", "author" : [ { "dropping-particle" : "", "family" : "Pennathur", "given" : "Anita K.", "non-dropping-particle" : "", "parse-names" : false, "suffix" : "" }, { "dropping-particle" : "", "family" : "Delcoure", "given" : "Natalya", "non-dropping-particle" : "", "parse-names" : false, "suffix" : "" }, { "dropping-particle" : "", "family" : "Anderson", "given" : "Dwight", "non-dropping-particle" : "", "parse-names" : false, "suffix" : "" } ], "container-title" : "Journal of Financial Research", "id" : "ITEM-1", "issue" : "4", "issued" : { "date-parts" : [ [ "2002", "12" ] ] }, "page" : "541-557", "title" : "Diversification Benefits of iShares and Closed-End Country Funds", "type" : "article-journal", "volume" : "25" }, "uris" : [ "http://www.mendeley.com/documents/?uuid=d725f474-bef0-4300-bef3-323e17a33411" ] } ], "mendeley" : { "manualFormatting" : "Pennathur et al. (2002)", "previouslyFormattedCitation" : "(Pennathur et al., 2002)"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Pennathur et al. (2002)</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assess the exposure of iShares and CCFs to the home market they represent and to the US market and find that iShares more closely replicate the home index but that both products are considerably exposed to the US market returns.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"10424431", "abstract" : "The objective of this study is to compare the risk and return performance of exchange-traded funds (ETFs) available for foreign markets and closed-end country funds. We utilize 29 closed-end country funds (CEFs) for 14 countries over the sample period from April 1996 to December 2001. The performance proxies are mean returns and risk-adjusted returns. Results indicate that ETFs exhibit higher mean returns and higher Sharpe ratios than foreign closed-end funds, while CEFs exhibit negative alphas. This indicates that a passive investment strategy utilizing ETFs may be superior to an active investment strategy using CEFs. The findings reported here offer some insight on the relative advantages of each type of investment. Specifically, there may be some potential for additional types of ETFs that offer higher risk-adjusted returns than closed-end funds. Such ETFs may be able to offer higher risk-adjusted returns as part of an internationally diversified portfolio.", "author" : [ { "dropping-particle" : "", "family" : "Harper", "given" : "Joel T.", "non-dropping-particle" : "", "parse-names" : false, "suffix" : "" }, { "dropping-particle" : "", "family" : "Madura", "given" : "Jeff", "non-dropping-particle" : "", "parse-names" : false, "suffix" : "" }, { "dropping-particle" : "", "family" : "Schnusenberg", "given" : "Oliver", "non-dropping-particle" : "", "parse-names" : false, "suffix" : "" } ], "container-title" : "Journal of International Financial Markets, Institutions and Money", "id" : "ITEM-1", "issue" : "2", "issued" : { "date-parts" : [ [ "2006", "4" ] ] }, "page" : "104-122", "title" : "Performance comparison between exchange-traded funds and closed-end country funds", "type" : "article-journal", "volume" : "16" }, "uris" : [ "http://www.mendeley.com/documents/?uuid=29489118-4790-4cb2-b752-3304ee86e112" ] } ], "mendeley" : { "manualFormatting" : "Harper et al. (2006)", "previouslyFormattedCitation" : "(Harper, Madura, &amp; Schnusenberg, 2006)"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Harper et al. (2006)</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measure the risk-adjusted performance of iShares and CCFs and find that iShares deliver superior risk-adjusted returns.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"01486195", "abstract" : "This paper examines the performance and diversification gains pro- vided by iShares versus closed-end country funds over the period 1996 through 2006. Findings include: (1) iShares reveal weaker effects from U.S. market exposure than do country funds; (2) U.S. investors react similarly to foreign currency risk associated with iShares and country funds; (3) the average risk-adjusted perfor- mance of passively managed iShares is better than that of their respective actively managed country funds; and (4) iShares provide U.S. investors greater diversification gains than do country funds, that is, U.S. investors should prefer iShares to country funds when diversifying portfolios internationally.", "author" : [ { "dropping-particle" : "", "family" : "Tsai", "given" : "Pei-Jung", "non-dropping-particle" : "", "parse-names" : false, "suffix" : "" }, { "dropping-particle" : "", "family" : "Swanson", "given" : "Peggy E", "non-dropping-particle" : "", "parse-names" : false, "suffix" : "" } ], "container-title" : "Journal of Economics and Business", "id" : "ITEM-1", "issue" : "6", "issued" : { "date-parts" : [ [ "2009" ] ] }, "page" : "472-494", "title" : "The comparative role of iShares and country funds in internationally diversified portfolios", "type" : "article-journal", "volume" : "61" }, "uris" : [ "http://www.mendeley.com/documents/?uuid=d95c270c-17f5-4ae6-be42-9511d379ddbc" ] } ], "mendeley" : { "manualFormatting" : "Tsai and Swanson (2009)", "previouslyFormattedCitation" : "(Tsai &amp; Swanson, 2009)"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Tsai and Swanson (2009)</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compare the performance of iShares and CCFs, and find the risk-adjusted performance of iShares to be higher than CCFs and the diversification benefits to be greater.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"ISSN" : "0972-6527", "abstract" : "Individual investors in the United States may globally diversify th eir portfolios through the purchase of shares of individual corporations, by investing in American Depository Receipts (ADRs) or period from January 1990 through December 1999. For the period studied, a in investment companies, particularly closed-end country funds. This article summarises the performance of both of these types of investments over the pooling of funds the greater proportion of naively traded, country-specificADR portfolios show better risk-adjusted returns than do the corresponding professionally man- aged country funds.", "author" : [ { "dropping-particle" : "", "family" : "Coe", "given" : "T. S.", "non-dropping-particle" : "", "parse-names" : false, "suffix" : "" } ], "container-title" : "Journal of Emerging Market Finance", "id" : "ITEM-1", "issue" : "1", "issued" : { "date-parts" : [ [ "2002", "5" ] ] }, "page" : "31-46", "title" : "International Portfolio Diversification: A Comparison of ADRs and Closed-End Country Funds", "type" : "article-journal", "volume" : "1" }, "uris" : [ "http://www.mendeley.com/documents/?uuid=88fd4385-012c-492a-a806-267c41aaf2a5" ] } ], "mendeley" : { "manualFormatting" : "Coe (2002)", "previouslyFormattedCitation" : "(Coe, 2002)"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Pr="00CA4E0C">
        <w:rPr>
          <w:rFonts w:ascii="Times New Roman" w:hAnsi="Times New Roman" w:cs="Times New Roman"/>
          <w:noProof/>
          <w:sz w:val="24"/>
          <w:szCs w:val="24"/>
        </w:rPr>
        <w:t>Coe (2002)</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compares the performance of ADRs and CCFs and finds ADRs to be a superior investment. </w:t>
      </w:r>
      <w:r w:rsidRPr="00CA4E0C">
        <w:rPr>
          <w:rFonts w:ascii="Times New Roman" w:hAnsi="Times New Roman" w:cs="Times New Roman"/>
          <w:sz w:val="24"/>
          <w:szCs w:val="24"/>
        </w:rPr>
        <w:fldChar w:fldCharType="begin" w:fldLock="1"/>
      </w:r>
      <w:r w:rsidR="00CE6362">
        <w:rPr>
          <w:rFonts w:ascii="Times New Roman" w:hAnsi="Times New Roman" w:cs="Times New Roman"/>
          <w:sz w:val="24"/>
          <w:szCs w:val="24"/>
        </w:rPr>
        <w:instrText>ADDIN CSL_CITATION { "citationItems" : [ { "id" : "ITEM-1", "itemData" : { "author" : [ { "dropping-particle" : "", "family" : "Peterburgsky", "given" : "Stanley", "non-dropping-particle" : "", "parse-names" : false, "suffix" : "" }, { "dropping-particle" : "", "family" : "Yang", "given" : "Yini", "non-dropping-particle" : "", "parse-names" : false, "suffix" : "" } ], "container-title" : "Applied Financial Economics", "id" : "ITEM-1", "issue" : "June", "issued" : { "date-parts" : [ [ "2013" ] ] }, "page" : "37-41", "title" : "Diversification potential of ADRs , country funds and underlying stocks across economic conditions", "type" : "article-journal" }, "uris" : [ "http://www.mendeley.com/documents/?uuid=746f6f5d-b5ec-4c8d-b904-619bd2147101" ] } ], "mendeley" : { "manualFormatting" : " Peterburgsky &amp; Yang (2013)", "previouslyFormattedCitation" : "(Peterburgsky &amp; Yang, 2013)" }, "properties" : { "noteIndex" : 0 }, "schema" : "https://github.com/citation-style-language/schema/raw/master/csl-citation.json" }</w:instrText>
      </w:r>
      <w:r w:rsidRPr="00CA4E0C">
        <w:rPr>
          <w:rFonts w:ascii="Times New Roman" w:hAnsi="Times New Roman" w:cs="Times New Roman"/>
          <w:sz w:val="24"/>
          <w:szCs w:val="24"/>
        </w:rPr>
        <w:fldChar w:fldCharType="separate"/>
      </w:r>
      <w:r w:rsidR="00CE6362">
        <w:rPr>
          <w:rFonts w:ascii="Times New Roman" w:hAnsi="Times New Roman" w:cs="Times New Roman"/>
          <w:noProof/>
          <w:sz w:val="24"/>
          <w:szCs w:val="24"/>
        </w:rPr>
        <w:t xml:space="preserve"> Peterburgsky &amp; Yang</w:t>
      </w:r>
      <w:r w:rsidRPr="00CA4E0C">
        <w:rPr>
          <w:rFonts w:ascii="Times New Roman" w:hAnsi="Times New Roman" w:cs="Times New Roman"/>
          <w:noProof/>
          <w:sz w:val="24"/>
          <w:szCs w:val="24"/>
        </w:rPr>
        <w:t xml:space="preserve"> (2013)</w:t>
      </w:r>
      <w:r w:rsidRPr="00CA4E0C">
        <w:rPr>
          <w:rFonts w:ascii="Times New Roman" w:hAnsi="Times New Roman" w:cs="Times New Roman"/>
          <w:sz w:val="24"/>
          <w:szCs w:val="24"/>
        </w:rPr>
        <w:fldChar w:fldCharType="end"/>
      </w:r>
      <w:r w:rsidRPr="00CA4E0C">
        <w:rPr>
          <w:rFonts w:ascii="Times New Roman" w:hAnsi="Times New Roman" w:cs="Times New Roman"/>
          <w:sz w:val="24"/>
          <w:szCs w:val="24"/>
        </w:rPr>
        <w:t xml:space="preserve">  find that ADRs are a better diversification tool than CCFs but only in periods of positive returns.  While ADR returns </w:t>
      </w:r>
      <w:r w:rsidRPr="00CA4E0C">
        <w:rPr>
          <w:rFonts w:ascii="Times New Roman" w:hAnsi="Times New Roman" w:cs="Times New Roman"/>
          <w:sz w:val="24"/>
          <w:szCs w:val="24"/>
        </w:rPr>
        <w:lastRenderedPageBreak/>
        <w:t>are sensitive to the state of the US economy, it seems to have little impact on the diversification benefits of CCFs.</w:t>
      </w:r>
      <w:r w:rsidRPr="00CA4E0C">
        <w:rPr>
          <w:rFonts w:ascii="Times New Roman" w:hAnsi="Times New Roman" w:cs="Times New Roman"/>
          <w:color w:val="FF0000"/>
          <w:sz w:val="24"/>
          <w:szCs w:val="24"/>
        </w:rPr>
        <w:t xml:space="preserve">  </w:t>
      </w:r>
    </w:p>
    <w:p w14:paraId="1C3ECFFB" w14:textId="77777777" w:rsidR="00662849" w:rsidRPr="00CA4E0C" w:rsidRDefault="00F02E1B" w:rsidP="0087397F">
      <w:pPr>
        <w:pStyle w:val="Heading1"/>
        <w:spacing w:line="360" w:lineRule="auto"/>
        <w:rPr>
          <w:rFonts w:ascii="Times New Roman" w:hAnsi="Times New Roman" w:cs="Times New Roman"/>
          <w:sz w:val="24"/>
          <w:szCs w:val="24"/>
        </w:rPr>
      </w:pPr>
      <w:r w:rsidRPr="00CA4E0C">
        <w:rPr>
          <w:rFonts w:ascii="Times New Roman" w:hAnsi="Times New Roman" w:cs="Times New Roman"/>
          <w:sz w:val="24"/>
          <w:szCs w:val="24"/>
        </w:rPr>
        <w:t xml:space="preserve">3. </w:t>
      </w:r>
      <w:r w:rsidR="00662849" w:rsidRPr="00CA4E0C">
        <w:rPr>
          <w:rFonts w:ascii="Times New Roman" w:hAnsi="Times New Roman" w:cs="Times New Roman"/>
          <w:sz w:val="24"/>
          <w:szCs w:val="24"/>
        </w:rPr>
        <w:t xml:space="preserve">Data </w:t>
      </w:r>
    </w:p>
    <w:p w14:paraId="30BD9EC9" w14:textId="77777777" w:rsidR="00662849" w:rsidRPr="00CA4E0C" w:rsidRDefault="00331F3E" w:rsidP="00CD4B7C">
      <w:pPr>
        <w:spacing w:line="360" w:lineRule="auto"/>
        <w:jc w:val="both"/>
        <w:rPr>
          <w:rFonts w:ascii="Times New Roman" w:hAnsi="Times New Roman" w:cs="Times New Roman"/>
          <w:sz w:val="24"/>
          <w:szCs w:val="24"/>
        </w:rPr>
      </w:pPr>
      <w:r>
        <w:rPr>
          <w:rFonts w:ascii="Times New Roman" w:hAnsi="Times New Roman"/>
          <w:sz w:val="24"/>
          <w:szCs w:val="24"/>
        </w:rPr>
        <w:t>We investigate five US-traded equity products</w:t>
      </w:r>
      <w:r w:rsidRPr="007C18A3">
        <w:rPr>
          <w:rFonts w:ascii="Times New Roman" w:hAnsi="Times New Roman"/>
          <w:sz w:val="24"/>
          <w:szCs w:val="24"/>
        </w:rPr>
        <w:t xml:space="preserve"> </w:t>
      </w:r>
      <w:r>
        <w:rPr>
          <w:rFonts w:ascii="Times New Roman" w:hAnsi="Times New Roman"/>
          <w:sz w:val="24"/>
          <w:szCs w:val="24"/>
        </w:rPr>
        <w:t xml:space="preserve">that may provide international diversification benefits in a domestic setting; Industry Indices, MNCs, ADRs, </w:t>
      </w:r>
      <w:r w:rsidR="00CE6362">
        <w:rPr>
          <w:rFonts w:ascii="Times New Roman" w:hAnsi="Times New Roman"/>
          <w:sz w:val="24"/>
          <w:szCs w:val="24"/>
        </w:rPr>
        <w:t xml:space="preserve">CCFs and </w:t>
      </w:r>
      <w:r>
        <w:rPr>
          <w:rFonts w:ascii="Times New Roman" w:hAnsi="Times New Roman"/>
          <w:sz w:val="24"/>
          <w:szCs w:val="24"/>
        </w:rPr>
        <w:t xml:space="preserve">iShares.   The treatment of these five products differs with respect to how they are counted as foreign or domestic portfolio holdings.  Investments by US investors in MNCs and Industry Indices are counted as domestic equity holdings.  Holdings of ADRs, CCFs </w:t>
      </w:r>
      <w:r w:rsidR="00CE6362">
        <w:rPr>
          <w:rFonts w:ascii="Times New Roman" w:hAnsi="Times New Roman"/>
          <w:sz w:val="24"/>
          <w:szCs w:val="24"/>
        </w:rPr>
        <w:t xml:space="preserve">and iShares </w:t>
      </w:r>
      <w:r>
        <w:rPr>
          <w:rFonts w:ascii="Times New Roman" w:hAnsi="Times New Roman"/>
          <w:sz w:val="24"/>
          <w:szCs w:val="24"/>
        </w:rPr>
        <w:t>are counted as foreign equity holdings.</w:t>
      </w:r>
      <w:r>
        <w:rPr>
          <w:rStyle w:val="FootnoteReference"/>
          <w:rFonts w:ascii="Times New Roman" w:hAnsi="Times New Roman"/>
          <w:sz w:val="24"/>
          <w:szCs w:val="24"/>
        </w:rPr>
        <w:footnoteReference w:id="6"/>
      </w:r>
      <w:r>
        <w:rPr>
          <w:rFonts w:ascii="Times New Roman" w:hAnsi="Times New Roman"/>
          <w:sz w:val="24"/>
          <w:szCs w:val="24"/>
        </w:rPr>
        <w:t xml:space="preserve">  </w:t>
      </w:r>
      <w:r w:rsidRPr="00CA4E0C">
        <w:rPr>
          <w:rFonts w:ascii="Times New Roman" w:hAnsi="Times New Roman" w:cs="Times New Roman"/>
          <w:sz w:val="24"/>
          <w:szCs w:val="24"/>
        </w:rPr>
        <w:t xml:space="preserve">We use weekly data for equity returns from March 1996 to June 2011.  </w:t>
      </w:r>
      <w:r w:rsidR="00662849" w:rsidRPr="00CA4E0C">
        <w:rPr>
          <w:rFonts w:ascii="Times New Roman" w:hAnsi="Times New Roman" w:cs="Times New Roman"/>
          <w:sz w:val="24"/>
          <w:szCs w:val="24"/>
        </w:rPr>
        <w:t xml:space="preserve">The start date is determined by single country iShares which began trading in March 1996.  Only products with data for the full time period are selected, and only countries with data for </w:t>
      </w:r>
      <w:r w:rsidR="000400CF" w:rsidRPr="00CA4E0C">
        <w:rPr>
          <w:rFonts w:ascii="Times New Roman" w:hAnsi="Times New Roman" w:cs="Times New Roman"/>
          <w:sz w:val="24"/>
          <w:szCs w:val="24"/>
        </w:rPr>
        <w:t>an</w:t>
      </w:r>
      <w:r w:rsidR="00662849" w:rsidRPr="00CA4E0C">
        <w:rPr>
          <w:rFonts w:ascii="Times New Roman" w:hAnsi="Times New Roman" w:cs="Times New Roman"/>
          <w:sz w:val="24"/>
          <w:szCs w:val="24"/>
        </w:rPr>
        <w:t xml:space="preserve"> </w:t>
      </w:r>
      <w:r w:rsidR="00AC4F12" w:rsidRPr="00CA4E0C">
        <w:rPr>
          <w:rFonts w:ascii="Times New Roman" w:hAnsi="Times New Roman" w:cs="Times New Roman"/>
          <w:sz w:val="24"/>
          <w:szCs w:val="24"/>
        </w:rPr>
        <w:t xml:space="preserve">ADR, </w:t>
      </w:r>
      <w:proofErr w:type="spellStart"/>
      <w:r w:rsidR="00662849" w:rsidRPr="00CA4E0C">
        <w:rPr>
          <w:rFonts w:ascii="Times New Roman" w:hAnsi="Times New Roman" w:cs="Times New Roman"/>
          <w:sz w:val="24"/>
          <w:szCs w:val="24"/>
        </w:rPr>
        <w:t>iShare</w:t>
      </w:r>
      <w:proofErr w:type="spellEnd"/>
      <w:r w:rsidR="00662849" w:rsidRPr="00CA4E0C">
        <w:rPr>
          <w:rFonts w:ascii="Times New Roman" w:hAnsi="Times New Roman" w:cs="Times New Roman"/>
          <w:sz w:val="24"/>
          <w:szCs w:val="24"/>
        </w:rPr>
        <w:t xml:space="preserve"> </w:t>
      </w:r>
      <w:r w:rsidR="00AC4F12" w:rsidRPr="00CA4E0C">
        <w:rPr>
          <w:rFonts w:ascii="Times New Roman" w:hAnsi="Times New Roman" w:cs="Times New Roman"/>
          <w:sz w:val="24"/>
          <w:szCs w:val="24"/>
        </w:rPr>
        <w:t>or CCF</w:t>
      </w:r>
      <w:r w:rsidR="00662849" w:rsidRPr="00CA4E0C">
        <w:rPr>
          <w:rFonts w:ascii="Times New Roman" w:hAnsi="Times New Roman" w:cs="Times New Roman"/>
          <w:sz w:val="24"/>
          <w:szCs w:val="24"/>
        </w:rPr>
        <w:t xml:space="preserve"> are included.   </w:t>
      </w:r>
      <w:r w:rsidR="00AC4F12" w:rsidRPr="00CA4E0C">
        <w:rPr>
          <w:rFonts w:ascii="Times New Roman" w:hAnsi="Times New Roman" w:cs="Times New Roman"/>
          <w:sz w:val="24"/>
          <w:szCs w:val="24"/>
        </w:rPr>
        <w:t xml:space="preserve">This yields a sample of twenty-two developed markets; Argentina, Australia, Austria, Belgium, Canada, Denmark, Finland, </w:t>
      </w:r>
      <w:r w:rsidR="00AC4F12" w:rsidRPr="00CA4E0C">
        <w:rPr>
          <w:rFonts w:ascii="Times New Roman" w:hAnsi="Times New Roman" w:cs="Times New Roman"/>
          <w:bCs/>
          <w:sz w:val="24"/>
          <w:szCs w:val="24"/>
        </w:rPr>
        <w:t>France</w:t>
      </w:r>
      <w:r w:rsidR="00AC4F12" w:rsidRPr="00CA4E0C">
        <w:rPr>
          <w:rFonts w:ascii="Times New Roman" w:hAnsi="Times New Roman" w:cs="Times New Roman"/>
          <w:sz w:val="24"/>
          <w:szCs w:val="24"/>
        </w:rPr>
        <w:t>, Germany, Hong Kong, Ireland, Israel, Italy, Japan, Netherlands, New Zealand, Portugal, Singapore, Spain, Sweden, Switzerland and the UK and fifteen emerging markets; Brazil, Chile, China, Colombia, India, Indonesia, Korea, Malaysia, Mexico, Philippines, Russia, South Africa, Taiwan, Thailand and Turkey.</w:t>
      </w:r>
      <w:r w:rsidR="00AC4F12" w:rsidRPr="00CA4E0C">
        <w:rPr>
          <w:rStyle w:val="FootnoteReference"/>
          <w:rFonts w:ascii="Times New Roman" w:hAnsi="Times New Roman" w:cs="Times New Roman"/>
          <w:sz w:val="24"/>
          <w:szCs w:val="24"/>
        </w:rPr>
        <w:footnoteReference w:id="7"/>
      </w:r>
      <w:r w:rsidR="00AC4F12" w:rsidRPr="00CA4E0C">
        <w:rPr>
          <w:rFonts w:ascii="Times New Roman" w:hAnsi="Times New Roman" w:cs="Times New Roman"/>
          <w:sz w:val="24"/>
          <w:szCs w:val="24"/>
        </w:rPr>
        <w:t xml:space="preserve">  MSCI country indices are used to measure foreign market returns as these are the indices that iShares are designed to track.  </w:t>
      </w:r>
      <w:r w:rsidR="006729A8" w:rsidRPr="00CA4E0C">
        <w:rPr>
          <w:rFonts w:ascii="Times New Roman" w:hAnsi="Times New Roman" w:cs="Times New Roman"/>
          <w:sz w:val="24"/>
          <w:szCs w:val="24"/>
        </w:rPr>
        <w:t>Two proxies are used for US returns, the Russell 1000</w:t>
      </w:r>
      <w:r w:rsidR="00CC1623" w:rsidRPr="00CA4E0C">
        <w:rPr>
          <w:rFonts w:ascii="Times New Roman" w:hAnsi="Times New Roman" w:cs="Times New Roman"/>
          <w:sz w:val="24"/>
          <w:szCs w:val="24"/>
        </w:rPr>
        <w:t xml:space="preserve"> index</w:t>
      </w:r>
      <w:r w:rsidR="006729A8" w:rsidRPr="00CA4E0C">
        <w:rPr>
          <w:rFonts w:ascii="Times New Roman" w:hAnsi="Times New Roman" w:cs="Times New Roman"/>
          <w:sz w:val="24"/>
          <w:szCs w:val="24"/>
        </w:rPr>
        <w:t xml:space="preserve"> and </w:t>
      </w:r>
      <w:r w:rsidR="00FF596F" w:rsidRPr="00CA4E0C">
        <w:rPr>
          <w:rFonts w:ascii="Times New Roman" w:hAnsi="Times New Roman" w:cs="Times New Roman"/>
          <w:sz w:val="24"/>
          <w:szCs w:val="24"/>
        </w:rPr>
        <w:t>a portfolio of</w:t>
      </w:r>
      <w:r w:rsidR="00CC1623" w:rsidRPr="00CA4E0C">
        <w:rPr>
          <w:rFonts w:ascii="Times New Roman" w:hAnsi="Times New Roman" w:cs="Times New Roman"/>
          <w:sz w:val="24"/>
          <w:szCs w:val="24"/>
        </w:rPr>
        <w:t xml:space="preserve"> </w:t>
      </w:r>
      <w:r w:rsidR="006729A8" w:rsidRPr="00CA4E0C">
        <w:rPr>
          <w:rFonts w:ascii="Times New Roman" w:hAnsi="Times New Roman" w:cs="Times New Roman"/>
          <w:sz w:val="24"/>
          <w:szCs w:val="24"/>
        </w:rPr>
        <w:t xml:space="preserve">purely domestic firms.  </w:t>
      </w:r>
      <w:r w:rsidR="00B7511E" w:rsidRPr="00CA4E0C">
        <w:rPr>
          <w:rFonts w:ascii="Times New Roman" w:hAnsi="Times New Roman" w:cs="Times New Roman"/>
          <w:sz w:val="24"/>
          <w:szCs w:val="24"/>
          <w:lang w:val="en-GB"/>
        </w:rPr>
        <w:t xml:space="preserve">The Russell 1000 </w:t>
      </w:r>
      <w:r w:rsidR="00CD4B7C">
        <w:rPr>
          <w:rFonts w:ascii="Times New Roman" w:hAnsi="Times New Roman" w:cs="Times New Roman"/>
          <w:sz w:val="24"/>
          <w:szCs w:val="24"/>
          <w:lang w:val="en-GB"/>
        </w:rPr>
        <w:t>Index</w:t>
      </w:r>
      <w:r w:rsidR="00B7511E" w:rsidRPr="00CA4E0C">
        <w:rPr>
          <w:rFonts w:ascii="Times New Roman" w:hAnsi="Times New Roman" w:cs="Times New Roman"/>
          <w:sz w:val="24"/>
          <w:szCs w:val="24"/>
          <w:lang w:val="en-GB"/>
        </w:rPr>
        <w:t xml:space="preserve"> includes approximately 1,000 of the largest firms in the US based o</w:t>
      </w:r>
      <w:r w:rsidR="00CD4B7C">
        <w:rPr>
          <w:rFonts w:ascii="Times New Roman" w:hAnsi="Times New Roman" w:cs="Times New Roman"/>
          <w:sz w:val="24"/>
          <w:szCs w:val="24"/>
          <w:lang w:val="en-GB"/>
        </w:rPr>
        <w:t xml:space="preserve">n their market capitalisation, </w:t>
      </w:r>
      <w:r w:rsidR="00B7511E" w:rsidRPr="00CA4E0C">
        <w:rPr>
          <w:rFonts w:ascii="Times New Roman" w:hAnsi="Times New Roman" w:cs="Times New Roman"/>
          <w:sz w:val="24"/>
          <w:szCs w:val="24"/>
          <w:lang w:val="en-GB"/>
        </w:rPr>
        <w:t xml:space="preserve">and represents approximately 92 </w:t>
      </w:r>
      <w:r w:rsidR="003B3D51">
        <w:rPr>
          <w:rFonts w:ascii="Times New Roman" w:hAnsi="Times New Roman" w:cs="Times New Roman"/>
          <w:sz w:val="24"/>
          <w:szCs w:val="24"/>
          <w:lang w:val="en-GB"/>
        </w:rPr>
        <w:t>percent</w:t>
      </w:r>
      <w:r w:rsidR="00B7511E" w:rsidRPr="00CA4E0C">
        <w:rPr>
          <w:rFonts w:ascii="Times New Roman" w:hAnsi="Times New Roman" w:cs="Times New Roman"/>
          <w:sz w:val="24"/>
          <w:szCs w:val="24"/>
          <w:lang w:val="en-GB"/>
        </w:rPr>
        <w:t xml:space="preserve"> of the US market.  </w:t>
      </w:r>
      <w:r w:rsidR="00FF596F" w:rsidRPr="00CA4E0C">
        <w:rPr>
          <w:rFonts w:ascii="Times New Roman" w:hAnsi="Times New Roman" w:cs="Times New Roman"/>
          <w:sz w:val="24"/>
          <w:szCs w:val="24"/>
          <w:lang w:val="en-GB"/>
        </w:rPr>
        <w:t>W</w:t>
      </w:r>
      <w:r w:rsidR="00EA2C6C" w:rsidRPr="00CA4E0C">
        <w:rPr>
          <w:rFonts w:ascii="Times New Roman" w:hAnsi="Times New Roman" w:cs="Times New Roman"/>
          <w:sz w:val="24"/>
          <w:szCs w:val="24"/>
          <w:lang w:val="en-GB"/>
        </w:rPr>
        <w:t xml:space="preserve">e create a portfolio of purely </w:t>
      </w:r>
      <w:r w:rsidR="00EA2C6C" w:rsidRPr="00CA4E0C">
        <w:rPr>
          <w:rFonts w:ascii="Times New Roman" w:hAnsi="Times New Roman" w:cs="Times New Roman"/>
          <w:sz w:val="24"/>
          <w:szCs w:val="24"/>
        </w:rPr>
        <w:t>domestic</w:t>
      </w:r>
      <w:r w:rsidR="006729A8" w:rsidRPr="00CA4E0C">
        <w:rPr>
          <w:rFonts w:ascii="Times New Roman" w:hAnsi="Times New Roman" w:cs="Times New Roman"/>
          <w:sz w:val="24"/>
          <w:szCs w:val="24"/>
        </w:rPr>
        <w:t xml:space="preserve"> firms from the constituent list of the Russell 1000</w:t>
      </w:r>
      <w:r w:rsidR="00EA2C6C" w:rsidRPr="00CA4E0C">
        <w:rPr>
          <w:rFonts w:ascii="Times New Roman" w:hAnsi="Times New Roman" w:cs="Times New Roman"/>
          <w:sz w:val="24"/>
          <w:szCs w:val="24"/>
        </w:rPr>
        <w:t xml:space="preserve"> as of June 2011</w:t>
      </w:r>
      <w:r w:rsidR="00CA5DAA" w:rsidRPr="00CA4E0C">
        <w:rPr>
          <w:rFonts w:ascii="Times New Roman" w:hAnsi="Times New Roman" w:cs="Times New Roman"/>
          <w:sz w:val="24"/>
          <w:szCs w:val="24"/>
        </w:rPr>
        <w:t>.  We select firms which have</w:t>
      </w:r>
      <w:r w:rsidR="006729A8" w:rsidRPr="00CA4E0C">
        <w:rPr>
          <w:rFonts w:ascii="Times New Roman" w:hAnsi="Times New Roman" w:cs="Times New Roman"/>
          <w:sz w:val="24"/>
          <w:szCs w:val="24"/>
        </w:rPr>
        <w:t xml:space="preserve"> no foreign sales in any year from 1996 to 2011.  </w:t>
      </w:r>
      <w:r w:rsidR="00CA5DAA" w:rsidRPr="00CA4E0C">
        <w:rPr>
          <w:rFonts w:ascii="Times New Roman" w:hAnsi="Times New Roman" w:cs="Times New Roman"/>
          <w:sz w:val="24"/>
          <w:szCs w:val="24"/>
        </w:rPr>
        <w:t xml:space="preserve">We form an equally weighted portfolio of </w:t>
      </w:r>
      <w:r w:rsidR="006729A8" w:rsidRPr="00CA4E0C">
        <w:rPr>
          <w:rFonts w:ascii="Times New Roman" w:hAnsi="Times New Roman" w:cs="Times New Roman"/>
          <w:sz w:val="24"/>
          <w:szCs w:val="24"/>
        </w:rPr>
        <w:t xml:space="preserve">105 </w:t>
      </w:r>
      <w:r w:rsidR="00CA5DAA" w:rsidRPr="00CA4E0C">
        <w:rPr>
          <w:rFonts w:ascii="Times New Roman" w:hAnsi="Times New Roman" w:cs="Times New Roman"/>
          <w:sz w:val="24"/>
          <w:szCs w:val="24"/>
        </w:rPr>
        <w:t xml:space="preserve">domestic </w:t>
      </w:r>
      <w:r w:rsidR="006729A8" w:rsidRPr="00CA4E0C">
        <w:rPr>
          <w:rFonts w:ascii="Times New Roman" w:hAnsi="Times New Roman" w:cs="Times New Roman"/>
          <w:sz w:val="24"/>
          <w:szCs w:val="24"/>
        </w:rPr>
        <w:t xml:space="preserve">firms </w:t>
      </w:r>
      <w:r w:rsidR="000046F1" w:rsidRPr="00CA4E0C">
        <w:rPr>
          <w:rFonts w:ascii="Times New Roman" w:hAnsi="Times New Roman" w:cs="Times New Roman"/>
          <w:sz w:val="24"/>
          <w:szCs w:val="24"/>
        </w:rPr>
        <w:t>with full</w:t>
      </w:r>
      <w:r w:rsidR="00CA5DAA" w:rsidRPr="00CA4E0C">
        <w:rPr>
          <w:rFonts w:ascii="Times New Roman" w:hAnsi="Times New Roman" w:cs="Times New Roman"/>
          <w:sz w:val="24"/>
          <w:szCs w:val="24"/>
        </w:rPr>
        <w:t xml:space="preserve"> data</w:t>
      </w:r>
      <w:r w:rsidR="006729A8" w:rsidRPr="00CA4E0C">
        <w:rPr>
          <w:rFonts w:ascii="Times New Roman" w:hAnsi="Times New Roman" w:cs="Times New Roman"/>
          <w:sz w:val="24"/>
          <w:szCs w:val="24"/>
        </w:rPr>
        <w:t xml:space="preserve">.  </w:t>
      </w:r>
      <w:r w:rsidR="00AC4F12" w:rsidRPr="00CA4E0C">
        <w:rPr>
          <w:rFonts w:ascii="Times New Roman" w:hAnsi="Times New Roman" w:cs="Times New Roman"/>
          <w:sz w:val="24"/>
          <w:szCs w:val="24"/>
          <w:lang w:val="en-GB"/>
        </w:rPr>
        <w:t xml:space="preserve">For all data we use </w:t>
      </w:r>
      <w:proofErr w:type="spellStart"/>
      <w:r w:rsidR="00EA2C6C" w:rsidRPr="00CA4E0C">
        <w:rPr>
          <w:rFonts w:ascii="Times New Roman" w:hAnsi="Times New Roman" w:cs="Times New Roman"/>
          <w:sz w:val="24"/>
          <w:szCs w:val="24"/>
          <w:lang w:val="en-GB"/>
        </w:rPr>
        <w:t>Datastream’s</w:t>
      </w:r>
      <w:proofErr w:type="spellEnd"/>
      <w:r w:rsidR="00AC4F12" w:rsidRPr="00CA4E0C">
        <w:rPr>
          <w:rFonts w:ascii="Times New Roman" w:hAnsi="Times New Roman" w:cs="Times New Roman"/>
          <w:sz w:val="24"/>
          <w:szCs w:val="24"/>
          <w:lang w:val="en-GB"/>
        </w:rPr>
        <w:t xml:space="preserve"> return index (RI) </w:t>
      </w:r>
      <w:r w:rsidR="00EA2C6C" w:rsidRPr="00CA4E0C">
        <w:rPr>
          <w:rFonts w:ascii="Times New Roman" w:hAnsi="Times New Roman" w:cs="Times New Roman"/>
          <w:sz w:val="24"/>
          <w:szCs w:val="24"/>
          <w:lang w:val="en-GB"/>
        </w:rPr>
        <w:t>which calculates</w:t>
      </w:r>
      <w:r w:rsidR="00AC4F12" w:rsidRPr="00CA4E0C">
        <w:rPr>
          <w:rFonts w:ascii="Times New Roman" w:hAnsi="Times New Roman" w:cs="Times New Roman"/>
          <w:sz w:val="24"/>
          <w:szCs w:val="24"/>
          <w:lang w:val="en-GB"/>
        </w:rPr>
        <w:t xml:space="preserve"> the total return including dividends.  </w:t>
      </w:r>
      <w:r w:rsidR="006729A8" w:rsidRPr="00CA4E0C">
        <w:rPr>
          <w:rFonts w:ascii="Times New Roman" w:hAnsi="Times New Roman" w:cs="Times New Roman"/>
          <w:sz w:val="24"/>
          <w:szCs w:val="24"/>
        </w:rPr>
        <w:t xml:space="preserve">The weekly 3 month T-Bill rate is used as the risk free rate.  </w:t>
      </w:r>
    </w:p>
    <w:p w14:paraId="75814D3F" w14:textId="77777777" w:rsidR="00AC4F12" w:rsidRPr="00CA4E0C" w:rsidRDefault="00AC4F12" w:rsidP="00AC4F12">
      <w:pPr>
        <w:spacing w:line="360" w:lineRule="auto"/>
        <w:rPr>
          <w:rFonts w:ascii="Times New Roman" w:hAnsi="Times New Roman" w:cs="Times New Roman"/>
          <w:sz w:val="24"/>
          <w:szCs w:val="24"/>
          <w:lang w:val="en-GB"/>
        </w:rPr>
      </w:pPr>
      <w:r w:rsidRPr="00CA4E0C">
        <w:rPr>
          <w:rFonts w:ascii="Times New Roman" w:hAnsi="Times New Roman" w:cs="Times New Roman"/>
          <w:sz w:val="24"/>
          <w:szCs w:val="24"/>
        </w:rPr>
        <w:lastRenderedPageBreak/>
        <w:t xml:space="preserve">We use S&amp;P Industry Indices for our </w:t>
      </w:r>
      <w:r w:rsidR="00441874" w:rsidRPr="00CA4E0C">
        <w:rPr>
          <w:rFonts w:ascii="Times New Roman" w:hAnsi="Times New Roman" w:cs="Times New Roman"/>
          <w:sz w:val="24"/>
          <w:szCs w:val="24"/>
        </w:rPr>
        <w:t>analyses which follow</w:t>
      </w:r>
      <w:r w:rsidRPr="00CA4E0C">
        <w:rPr>
          <w:rFonts w:ascii="Times New Roman" w:hAnsi="Times New Roman" w:cs="Times New Roman"/>
          <w:sz w:val="24"/>
          <w:szCs w:val="24"/>
        </w:rPr>
        <w:t xml:space="preserve"> the Global Industry Classification Standard (GICS) classification.</w:t>
      </w:r>
      <w:r w:rsidRPr="00CA4E0C">
        <w:rPr>
          <w:rStyle w:val="FootnoteReference"/>
          <w:rFonts w:ascii="Times New Roman" w:hAnsi="Times New Roman" w:cs="Times New Roman"/>
          <w:sz w:val="24"/>
          <w:szCs w:val="24"/>
        </w:rPr>
        <w:footnoteReference w:id="8"/>
      </w:r>
      <w:r w:rsidRPr="00CA4E0C">
        <w:rPr>
          <w:rFonts w:ascii="Times New Roman" w:hAnsi="Times New Roman" w:cs="Times New Roman"/>
          <w:sz w:val="24"/>
          <w:szCs w:val="24"/>
        </w:rPr>
        <w:t xml:space="preserve">  The ten sectors represented are Consumer Discretionary, Consumer Staples, Energy, Financials, Healthcare, Industrials, Information Technology, Materials, Telecommunications and Utilities.  MNCs are selected from the </w:t>
      </w:r>
      <w:r w:rsidR="00EA2C6C" w:rsidRPr="00CA4E0C">
        <w:rPr>
          <w:rFonts w:ascii="Times New Roman" w:hAnsi="Times New Roman" w:cs="Times New Roman"/>
          <w:sz w:val="24"/>
          <w:szCs w:val="24"/>
        </w:rPr>
        <w:t xml:space="preserve">2011 </w:t>
      </w:r>
      <w:r w:rsidRPr="00CA4E0C">
        <w:rPr>
          <w:rFonts w:ascii="Times New Roman" w:hAnsi="Times New Roman" w:cs="Times New Roman"/>
          <w:sz w:val="24"/>
          <w:szCs w:val="24"/>
        </w:rPr>
        <w:t>constituent l</w:t>
      </w:r>
      <w:r w:rsidR="00EA2C6C" w:rsidRPr="00CA4E0C">
        <w:rPr>
          <w:rFonts w:ascii="Times New Roman" w:hAnsi="Times New Roman" w:cs="Times New Roman"/>
          <w:sz w:val="24"/>
          <w:szCs w:val="24"/>
        </w:rPr>
        <w:t>ist of the Russell 1000</w:t>
      </w:r>
      <w:r w:rsidRPr="00CA4E0C">
        <w:rPr>
          <w:rFonts w:ascii="Times New Roman" w:hAnsi="Times New Roman" w:cs="Times New Roman"/>
          <w:sz w:val="24"/>
          <w:szCs w:val="24"/>
        </w:rPr>
        <w:t xml:space="preserve">.  </w:t>
      </w:r>
      <w:r w:rsidRPr="00CA4E0C">
        <w:rPr>
          <w:rFonts w:ascii="Times New Roman" w:hAnsi="Times New Roman" w:cs="Times New Roman"/>
          <w:sz w:val="24"/>
          <w:szCs w:val="24"/>
          <w:lang w:val="en-GB"/>
        </w:rPr>
        <w:t xml:space="preserve">Most prior studies select MNCs using measures such as percentage foreign sales or number of foreign subsidiaries, making no differentiation between, for example, an American firm with 50 </w:t>
      </w:r>
      <w:r w:rsidR="003B3D51">
        <w:rPr>
          <w:rFonts w:ascii="Times New Roman" w:hAnsi="Times New Roman" w:cs="Times New Roman"/>
          <w:sz w:val="24"/>
          <w:szCs w:val="24"/>
          <w:lang w:val="en-GB"/>
        </w:rPr>
        <w:t>percent</w:t>
      </w:r>
      <w:r w:rsidRPr="00CA4E0C">
        <w:rPr>
          <w:rFonts w:ascii="Times New Roman" w:hAnsi="Times New Roman" w:cs="Times New Roman"/>
          <w:sz w:val="24"/>
          <w:szCs w:val="24"/>
          <w:lang w:val="en-GB"/>
        </w:rPr>
        <w:t xml:space="preserve"> of its sales in Canada, and another with 50 </w:t>
      </w:r>
      <w:r w:rsidR="003B3D51">
        <w:rPr>
          <w:rFonts w:ascii="Times New Roman" w:hAnsi="Times New Roman" w:cs="Times New Roman"/>
          <w:sz w:val="24"/>
          <w:szCs w:val="24"/>
          <w:lang w:val="en-GB"/>
        </w:rPr>
        <w:t>percent</w:t>
      </w:r>
      <w:r w:rsidRPr="00CA4E0C">
        <w:rPr>
          <w:rFonts w:ascii="Times New Roman" w:hAnsi="Times New Roman" w:cs="Times New Roman"/>
          <w:sz w:val="24"/>
          <w:szCs w:val="24"/>
          <w:lang w:val="en-GB"/>
        </w:rPr>
        <w:t xml:space="preserve"> of its sales spread across Asia, Australia and Europe.  We question the usefulness of these approaches, given the findings of </w:t>
      </w:r>
      <w:r w:rsidRPr="00CA4E0C">
        <w:rPr>
          <w:rFonts w:ascii="Times New Roman" w:hAnsi="Times New Roman" w:cs="Times New Roman"/>
          <w:sz w:val="24"/>
          <w:szCs w:val="24"/>
          <w:lang w:val="en-GB"/>
        </w:rPr>
        <w:fldChar w:fldCharType="begin" w:fldLock="1"/>
      </w:r>
      <w:r w:rsidR="00CE6362">
        <w:rPr>
          <w:rFonts w:ascii="Times New Roman" w:hAnsi="Times New Roman" w:cs="Times New Roman"/>
          <w:sz w:val="24"/>
          <w:szCs w:val="24"/>
          <w:lang w:val="en-GB"/>
        </w:rPr>
        <w:instrText>ADDIN CSL_CITATION { "citationItems" : [ { "id" : "ITEM-1", "itemData" : { "ISSN" : "03043932", "abstract" : "This paper investigates the determinants of business cycle comovement between countries. Our dataset includes over 100 countries, both developed and developing. We search for variables that are \u201crobust\u201d in explaining comovement, using the approach of Leamer (Amer. Econom. Rev. 73 (1983) 31). Variables considered are (i) bilateral trade between countries; (ii) total trade in each country; (iii) sectoral structure; (iv) similarity in export and import baskets; (v) factor endowments; and (vi) gravity variables. We find that bilateral trade is robust. However, two variables that the literature has argued are important for business cycles\u2014industrial structure and currency unions\u2014are found not to be robust.", "author" : [ { "dropping-particle" : "", "family" : "Baxter", "given" : "Marianne", "non-dropping-particle" : "", "parse-names" : false, "suffix" : "" }, { "dropping-particle" : "", "family" : "Kouparitsas", "given" : "Michael", "non-dropping-particle" : "", "parse-names" : false, "suffix" : "" } ], "container-title" : "Journal of Monetary Economics", "id" : "ITEM-1", "issue" : "1", "issued" : { "date-parts" : [ [ "2005", "1" ] ] }, "page" : "113-157", "title" : "Determinants of business cycle comovement: a robust analysis", "type" : "article-journal", "volume" : "52" }, "uris" : [ "http://www.mendeley.com/documents/?uuid=5243a4b2-cd64-4110-bddc-bcc451f121ff" ] } ], "mendeley" : { "manualFormatting" : " Baxter &amp; Kouparitsas (2005)", "previouslyFormattedCitation" : "(Baxter &amp; Kouparitsas, 2005)" }, "properties" : { "noteIndex" : 0 }, "schema" : "https://github.com/citation-style-language/schema/raw/master/csl-citation.json" }</w:instrText>
      </w:r>
      <w:r w:rsidRPr="00CA4E0C">
        <w:rPr>
          <w:rFonts w:ascii="Times New Roman" w:hAnsi="Times New Roman" w:cs="Times New Roman"/>
          <w:sz w:val="24"/>
          <w:szCs w:val="24"/>
          <w:lang w:val="en-GB"/>
        </w:rPr>
        <w:fldChar w:fldCharType="separate"/>
      </w:r>
      <w:r w:rsidRPr="00CA4E0C">
        <w:rPr>
          <w:rFonts w:ascii="Times New Roman" w:hAnsi="Times New Roman" w:cs="Times New Roman"/>
          <w:noProof/>
          <w:sz w:val="24"/>
          <w:szCs w:val="24"/>
          <w:lang w:val="en-GB"/>
        </w:rPr>
        <w:t xml:space="preserve"> Baxter &amp; Kouparitsas (2005)</w:t>
      </w:r>
      <w:r w:rsidRPr="00CA4E0C">
        <w:rPr>
          <w:rFonts w:ascii="Times New Roman" w:hAnsi="Times New Roman" w:cs="Times New Roman"/>
          <w:sz w:val="24"/>
          <w:szCs w:val="24"/>
          <w:lang w:val="en-GB"/>
        </w:rPr>
        <w:fldChar w:fldCharType="end"/>
      </w:r>
      <w:r w:rsidRPr="00CA4E0C">
        <w:rPr>
          <w:rFonts w:ascii="Times New Roman" w:hAnsi="Times New Roman" w:cs="Times New Roman"/>
          <w:sz w:val="24"/>
          <w:szCs w:val="24"/>
          <w:lang w:val="en-GB"/>
        </w:rPr>
        <w:t xml:space="preserve"> that correlations of business cycles decrease with distance.  We consider it important to take the location </w:t>
      </w:r>
      <w:r w:rsidR="00EA2C6C" w:rsidRPr="00CA4E0C">
        <w:rPr>
          <w:rFonts w:ascii="Times New Roman" w:hAnsi="Times New Roman" w:cs="Times New Roman"/>
          <w:sz w:val="24"/>
          <w:szCs w:val="24"/>
          <w:lang w:val="en-GB"/>
        </w:rPr>
        <w:t>rather than</w:t>
      </w:r>
      <w:r w:rsidRPr="00CA4E0C">
        <w:rPr>
          <w:rFonts w:ascii="Times New Roman" w:hAnsi="Times New Roman" w:cs="Times New Roman"/>
          <w:sz w:val="24"/>
          <w:szCs w:val="24"/>
          <w:lang w:val="en-GB"/>
        </w:rPr>
        <w:t xml:space="preserve"> the level of foreign activities into account when selecting firms that may provide diversification benefits.  </w:t>
      </w:r>
      <w:r w:rsidR="00E21ABC">
        <w:rPr>
          <w:rFonts w:ascii="Times New Roman" w:hAnsi="Times New Roman"/>
          <w:sz w:val="24"/>
          <w:szCs w:val="24"/>
          <w:lang w:val="en-GB"/>
        </w:rPr>
        <w:t xml:space="preserve">Following </w:t>
      </w:r>
      <w:r w:rsidR="00E21ABC"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"abstract" : "The extent to which internationalising MNEs create value, and the extent to which investors can reap the benefits of firm-level internationalisation remain controversial issues. Using a multi-country dataset with over 3 million observations, we classify 1143 firms listed on the exchanges of the G7 countries according to the geographical spread of their sales and subsidiaries. We show that more internationalised firms provide greater diversification benefits. By investing in home-based internationalised firms, investors can \u2018free ride\u2019 the costs and risks associated with internationalisation at the level of the firm and exhibit home bias while availing of international diversification benefits.", "author" : [ { "dropping-particle" : "", "family" : "Berrill", "given" : "Jenny", "non-dropping-particle" : "", "parse-names" : false, "suffix" : "" }, { "dropping-particle" : "", "family" : "Kearney", "given" : "Colm", "non-dropping-particle" : "", "parse-names" : false, "suffix" : "" } ], "container-title" : "Journal of Economics and Business", "id" : "ITEM-1", "issue" : "4", "issued" : { "date-parts" : [ [ "2010" ] ] }, "page" : "235-256", "title" : "Firm-level internationalisation and the home bias puzzle", "type" : "article-journal", "volume" : "62" }, "uris" : [ "http://www.mendeley.com/documents/?uuid=be997db4-8cd5-4eac-bc2a-e505bed3a926" ] } ], "mendeley" : { "manualFormatting" : "Berrill &amp; Kearney (2010)", "previouslyFormattedCitation" : "(Berrill &amp; Kearney, 2010)" }, "properties" : { "noteIndex" : 0 }, "schema" : "https://github.com/citation-style-language/schema/raw/master/csl-citation.json" }</w:instrText>
      </w:r>
      <w:r w:rsidR="00E21ABC" w:rsidRPr="000E6048">
        <w:rPr>
          <w:rFonts w:ascii="Times New Roman" w:hAnsi="Times New Roman"/>
          <w:sz w:val="24"/>
          <w:szCs w:val="24"/>
          <w:lang w:val="en-GB"/>
        </w:rPr>
        <w:fldChar w:fldCharType="separate"/>
      </w:r>
      <w:r w:rsidR="00E21ABC" w:rsidRPr="000E6048">
        <w:rPr>
          <w:rFonts w:ascii="Times New Roman" w:hAnsi="Times New Roman"/>
          <w:noProof/>
          <w:sz w:val="24"/>
          <w:szCs w:val="24"/>
          <w:lang w:val="en-GB"/>
        </w:rPr>
        <w:t>Berrill &amp; Kearney (2010)</w:t>
      </w:r>
      <w:r w:rsidR="00E21ABC" w:rsidRPr="000E6048">
        <w:rPr>
          <w:rFonts w:ascii="Times New Roman" w:hAnsi="Times New Roman"/>
          <w:sz w:val="24"/>
          <w:szCs w:val="24"/>
          <w:lang w:val="en-GB"/>
        </w:rPr>
        <w:fldChar w:fldCharType="end"/>
      </w:r>
      <w:r w:rsidR="00E21ABC">
        <w:rPr>
          <w:rFonts w:ascii="Times New Roman" w:hAnsi="Times New Roman"/>
          <w:sz w:val="24"/>
          <w:szCs w:val="24"/>
          <w:lang w:val="en-GB"/>
        </w:rPr>
        <w:t xml:space="preserve"> we</w:t>
      </w:r>
      <w:r w:rsidR="00E21ABC" w:rsidRPr="000E6048">
        <w:rPr>
          <w:rFonts w:ascii="Times New Roman" w:hAnsi="Times New Roman"/>
          <w:sz w:val="24"/>
          <w:szCs w:val="24"/>
          <w:lang w:val="en-GB"/>
        </w:rPr>
        <w:t xml:space="preserve"> divide the world into six </w:t>
      </w:r>
      <w:r w:rsidR="00E21ABC">
        <w:rPr>
          <w:rFonts w:ascii="Times New Roman" w:hAnsi="Times New Roman"/>
          <w:sz w:val="24"/>
          <w:szCs w:val="24"/>
          <w:lang w:val="en-GB"/>
        </w:rPr>
        <w:t xml:space="preserve">regions.  </w:t>
      </w:r>
      <w:r w:rsidRPr="00CA4E0C">
        <w:rPr>
          <w:rFonts w:ascii="Times New Roman" w:hAnsi="Times New Roman" w:cs="Times New Roman"/>
          <w:sz w:val="24"/>
          <w:szCs w:val="24"/>
        </w:rPr>
        <w:t>We obtain the geographical breakdown of each firm’s sales for ev</w:t>
      </w:r>
      <w:r w:rsidR="00E21ABC">
        <w:rPr>
          <w:rFonts w:ascii="Times New Roman" w:hAnsi="Times New Roman" w:cs="Times New Roman"/>
          <w:sz w:val="24"/>
          <w:szCs w:val="24"/>
        </w:rPr>
        <w:t xml:space="preserve">ery year from 1996 to 2010 and </w:t>
      </w:r>
      <w:r w:rsidRPr="00CA4E0C">
        <w:rPr>
          <w:rFonts w:ascii="Times New Roman" w:hAnsi="Times New Roman" w:cs="Times New Roman"/>
          <w:sz w:val="24"/>
          <w:szCs w:val="24"/>
        </w:rPr>
        <w:t xml:space="preserve">categorise each firm in each year by the number of </w:t>
      </w:r>
      <w:r w:rsidR="00CE6362">
        <w:rPr>
          <w:rFonts w:ascii="Times New Roman" w:hAnsi="Times New Roman" w:cs="Times New Roman"/>
          <w:sz w:val="24"/>
          <w:szCs w:val="24"/>
        </w:rPr>
        <w:t>regions</w:t>
      </w:r>
      <w:r w:rsidR="00E21ABC">
        <w:rPr>
          <w:rFonts w:ascii="Times New Roman" w:hAnsi="Times New Roman" w:cs="Times New Roman"/>
          <w:sz w:val="24"/>
          <w:szCs w:val="24"/>
        </w:rPr>
        <w:t xml:space="preserve"> in which its sales occur.  We</w:t>
      </w:r>
      <w:r w:rsidRPr="00CA4E0C">
        <w:rPr>
          <w:rFonts w:ascii="Times New Roman" w:hAnsi="Times New Roman" w:cs="Times New Roman"/>
          <w:sz w:val="24"/>
          <w:szCs w:val="24"/>
        </w:rPr>
        <w:t xml:space="preserve"> select firms which have sales in at least four </w:t>
      </w:r>
      <w:r w:rsidR="00CE6362">
        <w:rPr>
          <w:rFonts w:ascii="Times New Roman" w:hAnsi="Times New Roman" w:cs="Times New Roman"/>
          <w:sz w:val="24"/>
          <w:szCs w:val="24"/>
        </w:rPr>
        <w:t>regions</w:t>
      </w:r>
      <w:r w:rsidRPr="00CA4E0C">
        <w:rPr>
          <w:rFonts w:ascii="Times New Roman" w:hAnsi="Times New Roman" w:cs="Times New Roman"/>
          <w:sz w:val="24"/>
          <w:szCs w:val="24"/>
        </w:rPr>
        <w:t xml:space="preserve"> in every year</w:t>
      </w:r>
      <w:r w:rsidR="00E21ABC">
        <w:rPr>
          <w:rFonts w:ascii="Times New Roman" w:hAnsi="Times New Roman" w:cs="Times New Roman"/>
          <w:sz w:val="24"/>
          <w:szCs w:val="24"/>
        </w:rPr>
        <w:t xml:space="preserve">, of which there are </w:t>
      </w:r>
      <w:r w:rsidRPr="00CA4E0C">
        <w:rPr>
          <w:rFonts w:ascii="Times New Roman" w:hAnsi="Times New Roman" w:cs="Times New Roman"/>
          <w:sz w:val="24"/>
          <w:szCs w:val="24"/>
        </w:rPr>
        <w:t>29.</w:t>
      </w:r>
      <w:r w:rsidRPr="00CA4E0C">
        <w:rPr>
          <w:rFonts w:ascii="Times New Roman" w:hAnsi="Times New Roman" w:cs="Times New Roman"/>
          <w:sz w:val="24"/>
          <w:szCs w:val="24"/>
          <w:lang w:val="en-GB"/>
        </w:rPr>
        <w:t xml:space="preserve">    </w:t>
      </w:r>
    </w:p>
    <w:p w14:paraId="7C7D6DFB" w14:textId="77777777" w:rsidR="00441874" w:rsidRDefault="00FA671B" w:rsidP="00CD4B7C">
      <w:pPr>
        <w:spacing w:line="360" w:lineRule="auto"/>
        <w:jc w:val="both"/>
        <w:rPr>
          <w:rFonts w:ascii="Times New Roman" w:hAnsi="Times New Roman" w:cs="Times New Roman"/>
          <w:sz w:val="24"/>
          <w:szCs w:val="24"/>
        </w:rPr>
      </w:pPr>
      <w:r w:rsidRPr="00CA4E0C">
        <w:rPr>
          <w:rFonts w:ascii="Times New Roman" w:hAnsi="Times New Roman" w:cs="Times New Roman"/>
          <w:sz w:val="24"/>
          <w:szCs w:val="24"/>
        </w:rPr>
        <w:t>An ADR represents the shares of a non-US company that trades in US financial markets.  It must meet the listing requirements of the US exchange, comply with Securities and Exchange Commission regulations and follow US accounting standards.  ADRs are denominated, and pay dividends, in US dollars, and may be traded like shares of US companies and enable domestic </w:t>
      </w:r>
      <w:hyperlink r:id="rId8" w:tooltip="Investor" w:history="1">
        <w:r w:rsidRPr="00CA4E0C">
          <w:rPr>
            <w:rFonts w:ascii="Times New Roman" w:hAnsi="Times New Roman" w:cs="Times New Roman"/>
            <w:sz w:val="24"/>
            <w:szCs w:val="24"/>
          </w:rPr>
          <w:t>investors</w:t>
        </w:r>
      </w:hyperlink>
      <w:r w:rsidRPr="00CA4E0C">
        <w:rPr>
          <w:rFonts w:ascii="Times New Roman" w:hAnsi="Times New Roman" w:cs="Times New Roman"/>
          <w:sz w:val="24"/>
          <w:szCs w:val="24"/>
        </w:rPr>
        <w:t xml:space="preserve"> to buy the securities of a foreign company without the accompanying inconveniences of cross-border and cross-currency transactions.  </w:t>
      </w:r>
      <w:r w:rsidR="00837EF2" w:rsidRPr="00312F74">
        <w:rPr>
          <w:rFonts w:ascii="Times New Roman" w:hAnsi="Times New Roman" w:cs="Times New Roman"/>
          <w:sz w:val="24"/>
          <w:szCs w:val="24"/>
        </w:rPr>
        <w:t xml:space="preserve">Four banks issue ADRs; J.P. Morgan, Citibank, Deutsche Bank and BNY Mellon.  </w:t>
      </w:r>
      <w:r>
        <w:rPr>
          <w:rFonts w:ascii="Times New Roman" w:hAnsi="Times New Roman" w:cs="Times New Roman"/>
          <w:sz w:val="24"/>
          <w:szCs w:val="24"/>
        </w:rPr>
        <w:t>Level 1 ADRs are traded over the counter, level 2 ADRs are traded on exchanges.  Price</w:t>
      </w:r>
      <w:r w:rsidR="00837EF2" w:rsidRPr="00312F74">
        <w:rPr>
          <w:rFonts w:ascii="Times New Roman" w:hAnsi="Times New Roman" w:cs="Times New Roman"/>
          <w:sz w:val="24"/>
          <w:szCs w:val="24"/>
        </w:rPr>
        <w:t xml:space="preserve"> data is not readily available</w:t>
      </w:r>
      <w:r>
        <w:rPr>
          <w:rFonts w:ascii="Times New Roman" w:hAnsi="Times New Roman" w:cs="Times New Roman"/>
          <w:sz w:val="24"/>
          <w:szCs w:val="24"/>
        </w:rPr>
        <w:t xml:space="preserve"> for level 1 ADRs</w:t>
      </w:r>
      <w:r w:rsidR="00837EF2" w:rsidRPr="00312F74">
        <w:rPr>
          <w:rFonts w:ascii="Times New Roman" w:hAnsi="Times New Roman" w:cs="Times New Roman"/>
          <w:sz w:val="24"/>
          <w:szCs w:val="24"/>
        </w:rPr>
        <w:t xml:space="preserve">.  </w:t>
      </w:r>
      <w:r>
        <w:rPr>
          <w:rFonts w:ascii="Times New Roman" w:hAnsi="Times New Roman" w:cs="Times New Roman"/>
          <w:sz w:val="24"/>
          <w:szCs w:val="24"/>
        </w:rPr>
        <w:t>T</w:t>
      </w:r>
      <w:r w:rsidR="00837EF2">
        <w:rPr>
          <w:rFonts w:ascii="Times New Roman" w:hAnsi="Times New Roman" w:cs="Times New Roman"/>
          <w:sz w:val="24"/>
          <w:szCs w:val="24"/>
        </w:rPr>
        <w:t xml:space="preserve">here were approximately </w:t>
      </w:r>
      <w:r w:rsidR="00837EF2" w:rsidRPr="00312F74">
        <w:rPr>
          <w:rFonts w:ascii="Times New Roman" w:hAnsi="Times New Roman" w:cs="Times New Roman"/>
          <w:sz w:val="24"/>
          <w:szCs w:val="24"/>
        </w:rPr>
        <w:t xml:space="preserve">400 </w:t>
      </w:r>
      <w:r w:rsidR="00837EF2">
        <w:rPr>
          <w:rFonts w:ascii="Times New Roman" w:hAnsi="Times New Roman" w:cs="Times New Roman"/>
          <w:sz w:val="24"/>
          <w:szCs w:val="24"/>
        </w:rPr>
        <w:t xml:space="preserve">Level 2 and Level 3 </w:t>
      </w:r>
      <w:r w:rsidR="00837EF2" w:rsidRPr="00312F74">
        <w:rPr>
          <w:rFonts w:ascii="Times New Roman" w:hAnsi="Times New Roman" w:cs="Times New Roman"/>
          <w:sz w:val="24"/>
          <w:szCs w:val="24"/>
        </w:rPr>
        <w:t>ADRs listed on the New York Stock Exchange, American Stock Exchange and Nasdaq</w:t>
      </w:r>
      <w:r>
        <w:rPr>
          <w:rFonts w:ascii="Times New Roman" w:hAnsi="Times New Roman" w:cs="Times New Roman"/>
          <w:sz w:val="24"/>
          <w:szCs w:val="24"/>
        </w:rPr>
        <w:t xml:space="preserve"> as of June 2011.</w:t>
      </w:r>
      <w:r w:rsidR="00837EF2" w:rsidRPr="00312F74">
        <w:rPr>
          <w:rFonts w:ascii="Times New Roman" w:hAnsi="Times New Roman" w:cs="Times New Roman"/>
          <w:sz w:val="24"/>
          <w:szCs w:val="24"/>
        </w:rPr>
        <w:t xml:space="preserve">  </w:t>
      </w:r>
      <w:r>
        <w:rPr>
          <w:rFonts w:ascii="Times New Roman" w:hAnsi="Times New Roman" w:cs="Times New Roman"/>
          <w:sz w:val="24"/>
          <w:szCs w:val="24"/>
        </w:rPr>
        <w:t xml:space="preserve">Price data was available for </w:t>
      </w:r>
      <w:r w:rsidR="00837EF2" w:rsidRPr="00312F74">
        <w:rPr>
          <w:rFonts w:ascii="Times New Roman" w:hAnsi="Times New Roman" w:cs="Times New Roman"/>
          <w:sz w:val="24"/>
          <w:szCs w:val="24"/>
        </w:rPr>
        <w:t xml:space="preserve">95 </w:t>
      </w:r>
      <w:r w:rsidR="00837EF2">
        <w:rPr>
          <w:rFonts w:ascii="Times New Roman" w:hAnsi="Times New Roman" w:cs="Times New Roman"/>
          <w:sz w:val="24"/>
          <w:szCs w:val="24"/>
        </w:rPr>
        <w:t xml:space="preserve">ADRs from 26 countries for the full period from 1996 to 2011.  </w:t>
      </w:r>
    </w:p>
    <w:p w14:paraId="72F13F60" w14:textId="77777777" w:rsidR="00AC4F12" w:rsidRPr="00CA4E0C" w:rsidRDefault="00441874" w:rsidP="00CD4B7C">
      <w:pPr>
        <w:spacing w:line="360" w:lineRule="auto"/>
        <w:jc w:val="both"/>
        <w:rPr>
          <w:rFonts w:ascii="Times New Roman" w:hAnsi="Times New Roman" w:cs="Times New Roman"/>
          <w:sz w:val="24"/>
          <w:szCs w:val="24"/>
        </w:rPr>
      </w:pPr>
      <w:r w:rsidRPr="00CA4E0C">
        <w:rPr>
          <w:rFonts w:ascii="Times New Roman" w:hAnsi="Times New Roman" w:cs="Times New Roman"/>
          <w:sz w:val="24"/>
          <w:szCs w:val="24"/>
        </w:rPr>
        <w:t xml:space="preserve">Closed-end country funds (CCFs) are mutual funds that issue a fixed number of shares at inception.  Like other mutual funds, they are actively managed.  A shareholder in a closed-end </w:t>
      </w:r>
      <w:r w:rsidRPr="00CA4E0C">
        <w:rPr>
          <w:rFonts w:ascii="Times New Roman" w:hAnsi="Times New Roman" w:cs="Times New Roman"/>
          <w:sz w:val="24"/>
          <w:szCs w:val="24"/>
        </w:rPr>
        <w:lastRenderedPageBreak/>
        <w:t xml:space="preserve">fund redeems shares with the issuer as with open-end funds, but may trade shares.  As the number is fixed, the value of shares in a closed-end fund is determined by demand and supply as well as the fund's net asset value (NAV).  </w:t>
      </w:r>
      <w:r>
        <w:rPr>
          <w:rFonts w:ascii="Times New Roman" w:hAnsi="Times New Roman" w:cs="Times New Roman"/>
          <w:sz w:val="24"/>
          <w:szCs w:val="24"/>
        </w:rPr>
        <w:t>Many CCFs</w:t>
      </w:r>
      <w:r w:rsidRPr="00CA4E0C">
        <w:rPr>
          <w:rFonts w:ascii="Times New Roman" w:hAnsi="Times New Roman" w:cs="Times New Roman"/>
          <w:sz w:val="24"/>
          <w:szCs w:val="24"/>
        </w:rPr>
        <w:t xml:space="preserve"> have </w:t>
      </w:r>
      <w:r>
        <w:rPr>
          <w:rFonts w:ascii="Times New Roman" w:hAnsi="Times New Roman" w:cs="Times New Roman"/>
          <w:sz w:val="24"/>
          <w:szCs w:val="24"/>
        </w:rPr>
        <w:t xml:space="preserve">been liquidated since 2002/03, but data was available </w:t>
      </w:r>
      <w:r w:rsidRPr="00CA4E0C">
        <w:rPr>
          <w:rFonts w:ascii="Times New Roman" w:hAnsi="Times New Roman" w:cs="Times New Roman"/>
          <w:sz w:val="24"/>
          <w:szCs w:val="24"/>
        </w:rPr>
        <w:t xml:space="preserve">for the full period for 19 countries.  </w:t>
      </w:r>
      <w:r w:rsidR="003B3D51">
        <w:rPr>
          <w:rFonts w:ascii="Times New Roman" w:hAnsi="Times New Roman" w:cs="Times New Roman"/>
          <w:sz w:val="24"/>
          <w:szCs w:val="24"/>
        </w:rPr>
        <w:t>i</w:t>
      </w:r>
      <w:r w:rsidRPr="00CA4E0C">
        <w:rPr>
          <w:rFonts w:ascii="Times New Roman" w:hAnsi="Times New Roman" w:cs="Times New Roman"/>
          <w:sz w:val="24"/>
          <w:szCs w:val="24"/>
        </w:rPr>
        <w:t xml:space="preserve">Shares are a family of exchange-traded funds (ETFs) </w:t>
      </w:r>
      <w:r w:rsidR="003B3D51">
        <w:rPr>
          <w:rFonts w:ascii="Times New Roman" w:hAnsi="Times New Roman"/>
          <w:sz w:val="24"/>
          <w:szCs w:val="24"/>
        </w:rPr>
        <w:t>that</w:t>
      </w:r>
      <w:r w:rsidR="003B3D51" w:rsidRPr="000E6048">
        <w:rPr>
          <w:rFonts w:ascii="Times New Roman" w:hAnsi="Times New Roman"/>
          <w:sz w:val="24"/>
          <w:szCs w:val="24"/>
        </w:rPr>
        <w:t xml:space="preserve"> are designed to track a bond or stock market index</w:t>
      </w:r>
      <w:r w:rsidR="003B3D51">
        <w:rPr>
          <w:rFonts w:ascii="Times New Roman" w:hAnsi="Times New Roman" w:cs="Times New Roman"/>
          <w:sz w:val="24"/>
          <w:szCs w:val="24"/>
        </w:rPr>
        <w:t>.  They represent around 45 percent of the US ETF market</w:t>
      </w:r>
      <w:r w:rsidR="00CE6362">
        <w:rPr>
          <w:rFonts w:ascii="Times New Roman" w:hAnsi="Times New Roman" w:cs="Times New Roman"/>
          <w:sz w:val="24"/>
          <w:szCs w:val="24"/>
        </w:rPr>
        <w:t xml:space="preserve">.  </w:t>
      </w:r>
      <w:r w:rsidR="00AC4F12" w:rsidRPr="00CA4E0C">
        <w:rPr>
          <w:rFonts w:ascii="Times New Roman" w:hAnsi="Times New Roman" w:cs="Times New Roman"/>
          <w:sz w:val="24"/>
          <w:szCs w:val="24"/>
        </w:rPr>
        <w:t xml:space="preserve">There are currently 28 single country iShares that trade on the New York Stock Exchange but only 17 exist since 1996.  </w:t>
      </w:r>
    </w:p>
    <w:p w14:paraId="2C193632" w14:textId="77777777" w:rsidR="0095426A" w:rsidRPr="00CA4E0C" w:rsidRDefault="00A0607E" w:rsidP="00CD4B7C">
      <w:pPr>
        <w:spacing w:line="360" w:lineRule="auto"/>
        <w:jc w:val="both"/>
        <w:rPr>
          <w:rFonts w:ascii="Times New Roman" w:hAnsi="Times New Roman" w:cs="Times New Roman"/>
          <w:sz w:val="24"/>
          <w:szCs w:val="24"/>
        </w:rPr>
      </w:pPr>
      <w:r w:rsidRPr="00A0607E">
        <w:rPr>
          <w:rFonts w:ascii="Times New Roman" w:hAnsi="Times New Roman"/>
          <w:sz w:val="24"/>
          <w:szCs w:val="24"/>
        </w:rPr>
        <w:fldChar w:fldCharType="begin"/>
      </w:r>
      <w:r w:rsidRPr="00A0607E">
        <w:rPr>
          <w:rFonts w:ascii="Times New Roman" w:hAnsi="Times New Roman"/>
          <w:sz w:val="24"/>
          <w:szCs w:val="24"/>
        </w:rPr>
        <w:instrText xml:space="preserve"> REF _Ref384910769 \h </w:instrText>
      </w:r>
      <w:r>
        <w:rPr>
          <w:rFonts w:ascii="Times New Roman" w:hAnsi="Times New Roman"/>
          <w:sz w:val="24"/>
          <w:szCs w:val="24"/>
        </w:rPr>
        <w:instrText xml:space="preserve"> \* MERGEFORMAT </w:instrText>
      </w:r>
      <w:r w:rsidRPr="00A0607E">
        <w:rPr>
          <w:rFonts w:ascii="Times New Roman" w:hAnsi="Times New Roman"/>
          <w:sz w:val="24"/>
          <w:szCs w:val="24"/>
        </w:rPr>
      </w:r>
      <w:r w:rsidRPr="00A0607E">
        <w:rPr>
          <w:rFonts w:ascii="Times New Roman" w:hAnsi="Times New Roman"/>
          <w:sz w:val="24"/>
          <w:szCs w:val="24"/>
        </w:rPr>
        <w:fldChar w:fldCharType="separate"/>
      </w:r>
      <w:r w:rsidR="00CE6362" w:rsidRPr="00CE6362">
        <w:rPr>
          <w:rFonts w:ascii="Times New Roman" w:hAnsi="Times New Roman"/>
          <w:sz w:val="24"/>
          <w:szCs w:val="24"/>
        </w:rPr>
        <w:t>Table 2</w:t>
      </w:r>
      <w:r w:rsidRPr="00A0607E">
        <w:rPr>
          <w:rFonts w:ascii="Times New Roman" w:hAnsi="Times New Roman"/>
          <w:sz w:val="24"/>
          <w:szCs w:val="24"/>
        </w:rPr>
        <w:fldChar w:fldCharType="end"/>
      </w:r>
      <w:r w:rsidR="00451447" w:rsidRPr="00A0607E">
        <w:rPr>
          <w:rFonts w:ascii="Times New Roman" w:hAnsi="Times New Roman"/>
          <w:sz w:val="24"/>
          <w:szCs w:val="24"/>
        </w:rPr>
        <w:fldChar w:fldCharType="begin"/>
      </w:r>
      <w:r w:rsidR="00451447" w:rsidRPr="00A0607E">
        <w:rPr>
          <w:rFonts w:ascii="Times New Roman" w:hAnsi="Times New Roman"/>
          <w:sz w:val="24"/>
          <w:szCs w:val="24"/>
        </w:rPr>
        <w:instrText xml:space="preserve"> REF _Ref384638304 \h  \* MERGEFORMAT </w:instrText>
      </w:r>
      <w:r w:rsidR="00451447" w:rsidRPr="00A0607E">
        <w:rPr>
          <w:rFonts w:ascii="Times New Roman" w:hAnsi="Times New Roman"/>
          <w:sz w:val="24"/>
          <w:szCs w:val="24"/>
        </w:rPr>
      </w:r>
      <w:r w:rsidR="00451447" w:rsidRPr="00A0607E">
        <w:rPr>
          <w:rFonts w:ascii="Times New Roman" w:hAnsi="Times New Roman"/>
          <w:sz w:val="24"/>
          <w:szCs w:val="24"/>
        </w:rPr>
        <w:fldChar w:fldCharType="end"/>
      </w:r>
      <w:r w:rsidR="00451447" w:rsidRPr="00A0607E">
        <w:rPr>
          <w:rFonts w:ascii="Times New Roman" w:hAnsi="Times New Roman"/>
          <w:sz w:val="24"/>
          <w:szCs w:val="24"/>
        </w:rPr>
        <w:t xml:space="preserve"> </w:t>
      </w:r>
      <w:r w:rsidR="00451447" w:rsidRPr="000E6048">
        <w:rPr>
          <w:rFonts w:ascii="Times New Roman" w:hAnsi="Times New Roman"/>
          <w:sz w:val="24"/>
          <w:szCs w:val="24"/>
        </w:rPr>
        <w:t>lists the iShares, CCFs and ADRs available fo</w:t>
      </w:r>
      <w:r w:rsidR="000400CF">
        <w:rPr>
          <w:rFonts w:ascii="Times New Roman" w:hAnsi="Times New Roman"/>
          <w:sz w:val="24"/>
          <w:szCs w:val="24"/>
        </w:rPr>
        <w:t>r each of the 37 countries in our</w:t>
      </w:r>
      <w:r w:rsidR="00451447" w:rsidRPr="000E6048">
        <w:rPr>
          <w:rFonts w:ascii="Times New Roman" w:hAnsi="Times New Roman"/>
          <w:sz w:val="24"/>
          <w:szCs w:val="24"/>
        </w:rPr>
        <w:t xml:space="preserve"> sample.  </w:t>
      </w:r>
      <w:proofErr w:type="spellStart"/>
      <w:r w:rsidR="00451447" w:rsidRPr="000E6048">
        <w:rPr>
          <w:rFonts w:ascii="Times New Roman" w:hAnsi="Times New Roman"/>
          <w:sz w:val="24"/>
          <w:szCs w:val="24"/>
        </w:rPr>
        <w:t>IShares</w:t>
      </w:r>
      <w:proofErr w:type="spellEnd"/>
      <w:r w:rsidR="00451447" w:rsidRPr="000E6048">
        <w:rPr>
          <w:rFonts w:ascii="Times New Roman" w:hAnsi="Times New Roman"/>
          <w:sz w:val="24"/>
          <w:szCs w:val="24"/>
        </w:rPr>
        <w:t xml:space="preserve"> are available for 17 countries, CCFs for 19 and ADRs for 26.  F</w:t>
      </w:r>
      <w:r w:rsidR="000400CF">
        <w:rPr>
          <w:rFonts w:ascii="Times New Roman" w:hAnsi="Times New Roman"/>
          <w:sz w:val="24"/>
          <w:szCs w:val="24"/>
        </w:rPr>
        <w:t>or the 15 emerging markets in our</w:t>
      </w:r>
      <w:r w:rsidR="00451447" w:rsidRPr="000E6048">
        <w:rPr>
          <w:rFonts w:ascii="Times New Roman" w:hAnsi="Times New Roman"/>
          <w:sz w:val="24"/>
          <w:szCs w:val="24"/>
        </w:rPr>
        <w:t xml:space="preserve"> sample, iShares exist for 2 countries, CCFs for 11 and ADRs for 9.  Fo</w:t>
      </w:r>
      <w:r w:rsidR="000400CF">
        <w:rPr>
          <w:rFonts w:ascii="Times New Roman" w:hAnsi="Times New Roman"/>
          <w:sz w:val="24"/>
          <w:szCs w:val="24"/>
        </w:rPr>
        <w:t>r the 22 developed markets in our</w:t>
      </w:r>
      <w:r w:rsidR="00451447" w:rsidRPr="000E6048">
        <w:rPr>
          <w:rFonts w:ascii="Times New Roman" w:hAnsi="Times New Roman"/>
          <w:sz w:val="24"/>
          <w:szCs w:val="24"/>
        </w:rPr>
        <w:t xml:space="preserve"> sample, iShares exist for 15 countries, CCFs for 8 and ADRs for 17.  </w:t>
      </w:r>
      <w:r w:rsidR="00EA2C6C" w:rsidRPr="00CA4E0C">
        <w:rPr>
          <w:rFonts w:ascii="Times New Roman" w:hAnsi="Times New Roman" w:cs="Times New Roman"/>
          <w:sz w:val="24"/>
          <w:szCs w:val="24"/>
        </w:rPr>
        <w:t xml:space="preserve"> </w:t>
      </w:r>
      <w:r w:rsidR="000046F1" w:rsidRPr="00CA4E0C">
        <w:rPr>
          <w:rFonts w:ascii="Times New Roman" w:hAnsi="Times New Roman" w:cs="Times New Roman"/>
          <w:sz w:val="24"/>
          <w:szCs w:val="24"/>
        </w:rPr>
        <w:t xml:space="preserve">Given that the analysis is from the perspective of a US investor, we convert MSCI foreign country indices into USD using weekly bilateral exchange rates.  </w:t>
      </w:r>
    </w:p>
    <w:p w14:paraId="5E40DA6E" w14:textId="77777777" w:rsidR="004716A8" w:rsidRPr="00CA4E0C" w:rsidRDefault="00F02E1B" w:rsidP="0087397F">
      <w:pPr>
        <w:pStyle w:val="Heading1"/>
        <w:spacing w:line="360" w:lineRule="auto"/>
        <w:rPr>
          <w:rFonts w:ascii="Times New Roman" w:hAnsi="Times New Roman" w:cs="Times New Roman"/>
          <w:sz w:val="24"/>
          <w:szCs w:val="24"/>
        </w:rPr>
      </w:pPr>
      <w:r w:rsidRPr="00CA4E0C">
        <w:rPr>
          <w:rFonts w:ascii="Times New Roman" w:hAnsi="Times New Roman" w:cs="Times New Roman"/>
          <w:sz w:val="24"/>
          <w:szCs w:val="24"/>
        </w:rPr>
        <w:t xml:space="preserve">4. </w:t>
      </w:r>
      <w:r w:rsidR="009470A8" w:rsidRPr="00CA4E0C">
        <w:rPr>
          <w:rFonts w:ascii="Times New Roman" w:hAnsi="Times New Roman" w:cs="Times New Roman"/>
          <w:sz w:val="24"/>
          <w:szCs w:val="24"/>
        </w:rPr>
        <w:t>Methodology</w:t>
      </w:r>
    </w:p>
    <w:p w14:paraId="790885A0" w14:textId="77777777" w:rsidR="009E0B56" w:rsidRPr="00B45F9D" w:rsidRDefault="009E0B56" w:rsidP="00B45F9D">
      <w:pPr>
        <w:pStyle w:val="Heading2"/>
      </w:pPr>
      <w:r w:rsidRPr="00B45F9D">
        <w:t>4.1 Stepwise regression</w:t>
      </w:r>
    </w:p>
    <w:p w14:paraId="56FB38E5" w14:textId="77777777" w:rsidR="00A5798B" w:rsidRPr="000E6048" w:rsidRDefault="00451447" w:rsidP="009E0B56">
      <w:pPr>
        <w:spacing w:line="360" w:lineRule="auto"/>
        <w:jc w:val="both"/>
        <w:rPr>
          <w:rFonts w:ascii="Times New Roman" w:hAnsi="Times New Roman"/>
          <w:sz w:val="24"/>
          <w:szCs w:val="24"/>
        </w:rPr>
      </w:pPr>
      <w:r>
        <w:rPr>
          <w:rFonts w:ascii="Times New Roman" w:hAnsi="Times New Roman"/>
          <w:sz w:val="24"/>
          <w:szCs w:val="24"/>
        </w:rPr>
        <w:t xml:space="preserve">We </w:t>
      </w:r>
      <w:r w:rsidRPr="000E6048">
        <w:rPr>
          <w:rFonts w:ascii="Times New Roman" w:hAnsi="Times New Roman"/>
          <w:sz w:val="24"/>
          <w:szCs w:val="24"/>
        </w:rPr>
        <w:t xml:space="preserve">create a pool of assets for each country, which contains the relevant </w:t>
      </w:r>
      <w:proofErr w:type="spellStart"/>
      <w:r w:rsidRPr="000E6048">
        <w:rPr>
          <w:rFonts w:ascii="Times New Roman" w:hAnsi="Times New Roman"/>
          <w:sz w:val="24"/>
          <w:szCs w:val="24"/>
        </w:rPr>
        <w:t>iShar</w:t>
      </w:r>
      <w:r w:rsidR="000400CF">
        <w:rPr>
          <w:rFonts w:ascii="Times New Roman" w:hAnsi="Times New Roman"/>
          <w:sz w:val="24"/>
          <w:szCs w:val="24"/>
        </w:rPr>
        <w:t>e</w:t>
      </w:r>
      <w:proofErr w:type="spellEnd"/>
      <w:r w:rsidR="000400CF">
        <w:rPr>
          <w:rFonts w:ascii="Times New Roman" w:hAnsi="Times New Roman"/>
          <w:sz w:val="24"/>
          <w:szCs w:val="24"/>
        </w:rPr>
        <w:t xml:space="preserve">, CCF and </w:t>
      </w:r>
      <w:r>
        <w:rPr>
          <w:rFonts w:ascii="Times New Roman" w:hAnsi="Times New Roman"/>
          <w:sz w:val="24"/>
          <w:szCs w:val="24"/>
        </w:rPr>
        <w:t xml:space="preserve">ADRs, </w:t>
      </w:r>
      <w:r w:rsidR="000400CF">
        <w:rPr>
          <w:rFonts w:ascii="Times New Roman" w:hAnsi="Times New Roman"/>
          <w:sz w:val="24"/>
          <w:szCs w:val="24"/>
        </w:rPr>
        <w:t xml:space="preserve">29 MNCs, </w:t>
      </w:r>
      <w:r w:rsidRPr="000E6048">
        <w:rPr>
          <w:rFonts w:ascii="Times New Roman" w:hAnsi="Times New Roman"/>
          <w:sz w:val="24"/>
          <w:szCs w:val="24"/>
        </w:rPr>
        <w:t>10 US Industry Indices and the Russell 1000.   The UK has the largest pool containing 56 assets, while 14 countries have the lowest number of 41</w:t>
      </w:r>
      <w:r w:rsidR="00ED77C3">
        <w:rPr>
          <w:rFonts w:ascii="Times New Roman" w:hAnsi="Times New Roman"/>
          <w:sz w:val="24"/>
          <w:szCs w:val="24"/>
        </w:rPr>
        <w:t xml:space="preserve"> assets.   From these assets we c</w:t>
      </w:r>
      <w:r w:rsidRPr="000E6048">
        <w:rPr>
          <w:rFonts w:ascii="Times New Roman" w:hAnsi="Times New Roman"/>
          <w:sz w:val="24"/>
          <w:szCs w:val="24"/>
        </w:rPr>
        <w:t>reate portfolios for each co</w:t>
      </w:r>
      <w:r>
        <w:rPr>
          <w:rFonts w:ascii="Times New Roman" w:hAnsi="Times New Roman"/>
          <w:sz w:val="24"/>
          <w:szCs w:val="24"/>
        </w:rPr>
        <w:t>untry which aim to replicate its</w:t>
      </w:r>
      <w:r w:rsidRPr="000E6048">
        <w:rPr>
          <w:rFonts w:ascii="Times New Roman" w:hAnsi="Times New Roman"/>
          <w:sz w:val="24"/>
          <w:szCs w:val="24"/>
        </w:rPr>
        <w:t xml:space="preserve"> foreign country index.  </w:t>
      </w:r>
      <w:r w:rsidR="00A5798B" w:rsidRPr="000E6048">
        <w:rPr>
          <w:rFonts w:ascii="Times New Roman" w:hAnsi="Times New Roman"/>
          <w:sz w:val="24"/>
          <w:szCs w:val="24"/>
        </w:rPr>
        <w:t xml:space="preserve">In order to reduce the number </w:t>
      </w:r>
      <w:r w:rsidR="00A5798B">
        <w:rPr>
          <w:rFonts w:ascii="Times New Roman" w:hAnsi="Times New Roman"/>
          <w:sz w:val="24"/>
          <w:szCs w:val="24"/>
        </w:rPr>
        <w:t>of explanatory variables, we</w:t>
      </w:r>
      <w:r w:rsidR="00A5798B" w:rsidRPr="000E6048">
        <w:rPr>
          <w:rFonts w:ascii="Times New Roman" w:hAnsi="Times New Roman"/>
          <w:sz w:val="24"/>
          <w:szCs w:val="24"/>
        </w:rPr>
        <w:t xml:space="preserve"> aim to remove those variables which have no explanatory power.  This common problem of selecting a subset of independent variables in regression analysis has led to various subset selection procedures.  Stepwise least squares regression allows some or all of the variables in a standard linear multivariate regression to be chosen automatically, using various statistical criteria.  It uses </w:t>
      </w:r>
      <w:r w:rsidR="00776D9D" w:rsidRPr="000E6048">
        <w:rPr>
          <w:rFonts w:ascii="Times New Roman" w:hAnsi="Times New Roman"/>
          <w:sz w:val="24"/>
          <w:szCs w:val="24"/>
        </w:rPr>
        <w:t>a stopping criterion</w:t>
      </w:r>
      <w:r w:rsidR="00A5798B" w:rsidRPr="000E6048">
        <w:rPr>
          <w:rFonts w:ascii="Times New Roman" w:hAnsi="Times New Roman"/>
          <w:sz w:val="24"/>
          <w:szCs w:val="24"/>
        </w:rPr>
        <w:t xml:space="preserve"> usi</w:t>
      </w:r>
      <w:r w:rsidR="00A5798B">
        <w:rPr>
          <w:rFonts w:ascii="Times New Roman" w:hAnsi="Times New Roman"/>
          <w:sz w:val="24"/>
          <w:szCs w:val="24"/>
        </w:rPr>
        <w:t xml:space="preserve">ng a </w:t>
      </w:r>
      <w:r w:rsidR="00044AD7">
        <w:rPr>
          <w:rFonts w:ascii="Times New Roman" w:hAnsi="Times New Roman"/>
          <w:sz w:val="24"/>
          <w:szCs w:val="24"/>
        </w:rPr>
        <w:t>p</w:t>
      </w:r>
      <w:r w:rsidR="00E21ABC">
        <w:rPr>
          <w:rFonts w:ascii="Times New Roman" w:hAnsi="Times New Roman"/>
          <w:sz w:val="24"/>
          <w:szCs w:val="24"/>
        </w:rPr>
        <w:t>-value</w:t>
      </w:r>
      <w:r w:rsidR="00A5798B" w:rsidRPr="000E6048">
        <w:rPr>
          <w:rFonts w:ascii="Times New Roman" w:hAnsi="Times New Roman"/>
          <w:sz w:val="24"/>
          <w:szCs w:val="24"/>
        </w:rPr>
        <w:t xml:space="preserve"> statistic for adding or removing </w:t>
      </w:r>
      <w:r w:rsidR="009E0B56">
        <w:rPr>
          <w:rFonts w:ascii="Times New Roman" w:hAnsi="Times New Roman"/>
          <w:sz w:val="24"/>
          <w:szCs w:val="24"/>
        </w:rPr>
        <w:t xml:space="preserve">independent </w:t>
      </w:r>
      <w:r w:rsidR="00A5798B" w:rsidRPr="000E6048">
        <w:rPr>
          <w:rFonts w:ascii="Times New Roman" w:hAnsi="Times New Roman"/>
          <w:sz w:val="24"/>
          <w:szCs w:val="24"/>
        </w:rPr>
        <w:t>variables</w:t>
      </w:r>
      <w:r w:rsidR="009E0B56">
        <w:rPr>
          <w:rFonts w:ascii="Times New Roman" w:hAnsi="Times New Roman"/>
          <w:sz w:val="24"/>
          <w:szCs w:val="24"/>
        </w:rPr>
        <w:t xml:space="preserve"> that maximise</w:t>
      </w:r>
      <w:r w:rsidR="00A5798B" w:rsidRPr="000E6048">
        <w:rPr>
          <w:rFonts w:ascii="Times New Roman" w:hAnsi="Times New Roman"/>
          <w:sz w:val="24"/>
          <w:szCs w:val="24"/>
        </w:rPr>
        <w:t xml:space="preserve"> the squared partial-correlation coefficient with the dependent variable, given the variables already selected.  The process ‘stops’ whenever the sample partial correlation is ‘non-significant’ as shown by the standard F test </w:t>
      </w:r>
      <w:r w:rsidR="00A5798B"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"0162-1459", "abstract" : "Abstract This paper uses the unconditional mean square error of prediction as a criterion for comparing stopping rules used with the forward \u201cstepwise\u201d selection procedure in multivariate normal samples, based on simulations of 48 population correlation matrices. The CP statistic, \u201cF to enter\u201d (.15 &lt; \u03b1 &lt; .25), a rule which minimizes the sample criterion, and one which sequentially tests the equality of the population criterion (.25 &lt; \u03b1 &lt; .35) are superior. For these rules, the criterion seldom differs by more than three percent, although there are considerable differences between these and some of the other rules.", "author" : [ { "dropping-particle" : "", "family" : "Bendel", "given" : "Robert B.", "non-dropping-particle" : "", "parse-names" : false, "suffix" : "" }, { "dropping-particle" : "", "family" : "Afifi", "given" : "A. A.", "non-dropping-particle" : "", "parse-names" : false, "suffix" : "" } ], "container-title" : "Journal of the American Statistical Association", "id" : "ITEM-1", "issue" : "357", "issued" : { "date-parts" : [ [ "1977", "3", "6" ] ] }, "page" : "46-53", "publisher" : "Taylor &amp; Francis Group", "title" : "Comparison of Stopping Rules in Forward \u201cStepwise\u201d Regression", "type" : "article-journal", "volume" : "72" }, "uris" : [ "http://www.mendeley.com/documents/?uuid=cb566361-4d73-4208-9113-7fd2ebba93d4" ] } ], "mendeley" : { "previouslyFormattedCitation" : "(Bendel &amp; Afifi, 1977)" }, "properties" : { "noteIndex" : 0 }, "schema" : "https://github.com/citation-style-language/schema/raw/master/csl-citation.json" }</w:instrText>
      </w:r>
      <w:r w:rsidR="00A5798B" w:rsidRPr="000E6048">
        <w:rPr>
          <w:rFonts w:ascii="Times New Roman" w:hAnsi="Times New Roman"/>
          <w:sz w:val="24"/>
          <w:szCs w:val="24"/>
        </w:rPr>
        <w:fldChar w:fldCharType="separate"/>
      </w:r>
      <w:r w:rsidR="00A5798B" w:rsidRPr="000E6048">
        <w:rPr>
          <w:rFonts w:ascii="Times New Roman" w:hAnsi="Times New Roman"/>
          <w:noProof/>
          <w:sz w:val="24"/>
          <w:szCs w:val="24"/>
        </w:rPr>
        <w:t>(Bendel &amp; Afifi, 1977)</w:t>
      </w:r>
      <w:r w:rsidR="00A5798B" w:rsidRPr="000E6048">
        <w:rPr>
          <w:rFonts w:ascii="Times New Roman" w:hAnsi="Times New Roman"/>
          <w:sz w:val="24"/>
          <w:szCs w:val="24"/>
        </w:rPr>
        <w:fldChar w:fldCharType="end"/>
      </w:r>
      <w:r w:rsidR="00A5798B" w:rsidRPr="000E6048">
        <w:rPr>
          <w:rFonts w:ascii="Times New Roman" w:hAnsi="Times New Roman"/>
          <w:sz w:val="24"/>
          <w:szCs w:val="24"/>
        </w:rPr>
        <w:t xml:space="preserve">.  </w:t>
      </w:r>
      <w:r w:rsidR="009E0B56">
        <w:rPr>
          <w:rFonts w:ascii="Times New Roman" w:hAnsi="Times New Roman"/>
          <w:sz w:val="24"/>
          <w:szCs w:val="24"/>
        </w:rPr>
        <w:t>We</w:t>
      </w:r>
      <w:r w:rsidR="00A5798B" w:rsidRPr="000E6048">
        <w:rPr>
          <w:rFonts w:ascii="Times New Roman" w:hAnsi="Times New Roman"/>
          <w:sz w:val="24"/>
          <w:szCs w:val="24"/>
        </w:rPr>
        <w:t xml:space="preserve"> use stepwise least squares regression with a forward </w:t>
      </w:r>
      <w:r w:rsidR="00E21ABC">
        <w:rPr>
          <w:rFonts w:ascii="Times New Roman" w:hAnsi="Times New Roman"/>
          <w:sz w:val="24"/>
          <w:szCs w:val="24"/>
        </w:rPr>
        <w:lastRenderedPageBreak/>
        <w:t>p-value</w:t>
      </w:r>
      <w:r w:rsidR="00A5798B" w:rsidRPr="000E6048">
        <w:rPr>
          <w:rFonts w:ascii="Times New Roman" w:hAnsi="Times New Roman"/>
          <w:sz w:val="24"/>
          <w:szCs w:val="24"/>
        </w:rPr>
        <w:t xml:space="preserve"> threshold of 0.05</w:t>
      </w:r>
      <w:r w:rsidR="009E0B56">
        <w:rPr>
          <w:rFonts w:ascii="Times New Roman" w:hAnsi="Times New Roman"/>
          <w:sz w:val="24"/>
          <w:szCs w:val="24"/>
        </w:rPr>
        <w:t xml:space="preserve"> to create replicating portfolios for each country</w:t>
      </w:r>
      <w:r w:rsidR="00A5798B" w:rsidRPr="000E6048">
        <w:rPr>
          <w:rFonts w:ascii="Times New Roman" w:hAnsi="Times New Roman"/>
          <w:sz w:val="24"/>
          <w:szCs w:val="24"/>
        </w:rPr>
        <w:t>.</w:t>
      </w:r>
      <w:r w:rsidR="00A5798B">
        <w:rPr>
          <w:rStyle w:val="FootnoteReference"/>
          <w:rFonts w:ascii="Times New Roman" w:hAnsi="Times New Roman"/>
          <w:sz w:val="24"/>
          <w:szCs w:val="24"/>
        </w:rPr>
        <w:footnoteReference w:id="9"/>
      </w:r>
      <w:r w:rsidR="00A5798B" w:rsidRPr="000E6048">
        <w:rPr>
          <w:rFonts w:ascii="Times New Roman" w:hAnsi="Times New Roman"/>
          <w:sz w:val="24"/>
          <w:szCs w:val="24"/>
        </w:rPr>
        <w:t xml:space="preserve">  This effectively optimises the weighting in each asset so as to maximise the correlation of the replicating portfolio with the foreign country index, which results in the equation</w:t>
      </w:r>
    </w:p>
    <w:p w14:paraId="7EC28713" w14:textId="77777777" w:rsidR="00A5798B" w:rsidRPr="000E6048" w:rsidRDefault="00B56587" w:rsidP="00A5798B">
      <w:pPr>
        <w:spacing w:line="360" w:lineRule="auto"/>
        <w:ind w:left="2160" w:firstLine="72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j1,t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j2,t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j3,t</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ji,t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A5798B" w:rsidRPr="000E6048">
        <w:rPr>
          <w:rFonts w:ascii="Times New Roman" w:hAnsi="Times New Roman"/>
          <w:sz w:val="24"/>
          <w:szCs w:val="24"/>
        </w:rPr>
        <w:tab/>
      </w:r>
      <w:r w:rsidR="00A5798B" w:rsidRPr="000E6048">
        <w:rPr>
          <w:rFonts w:ascii="Times New Roman" w:hAnsi="Times New Roman"/>
          <w:sz w:val="24"/>
          <w:szCs w:val="24"/>
        </w:rPr>
        <w:tab/>
      </w:r>
      <w:r w:rsidR="00A5798B">
        <w:rPr>
          <w:rFonts w:ascii="Times New Roman" w:hAnsi="Times New Roman"/>
          <w:sz w:val="24"/>
          <w:szCs w:val="24"/>
        </w:rPr>
        <w:t>(1</w:t>
      </w:r>
      <w:r w:rsidR="00A5798B" w:rsidRPr="000E6048">
        <w:rPr>
          <w:rFonts w:ascii="Times New Roman" w:hAnsi="Times New Roman"/>
          <w:sz w:val="24"/>
          <w:szCs w:val="24"/>
        </w:rPr>
        <w:t>)</w:t>
      </w:r>
    </w:p>
    <w:p w14:paraId="07C4D499" w14:textId="77777777" w:rsidR="00A5798B" w:rsidRPr="000E6048" w:rsidRDefault="00A5798B" w:rsidP="00A5798B">
      <w:pPr>
        <w:rPr>
          <w:rFonts w:ascii="Times New Roman" w:hAnsi="Times New Roman"/>
          <w:sz w:val="24"/>
          <w:szCs w:val="24"/>
        </w:rPr>
      </w:pPr>
      <w:r w:rsidRPr="000E6048">
        <w:rPr>
          <w:rFonts w:ascii="Times New Roman" w:hAnsi="Times New Roman"/>
          <w:sz w:val="24"/>
          <w:szCs w:val="24"/>
        </w:rPr>
        <w:t xml:space="preserve">Where </w:t>
      </w:r>
      <w:proofErr w:type="spellStart"/>
      <w:r w:rsidRPr="000E6048">
        <w:rPr>
          <w:rFonts w:ascii="Times New Roman" w:hAnsi="Times New Roman"/>
          <w:sz w:val="24"/>
          <w:szCs w:val="24"/>
        </w:rPr>
        <w:t>R</w:t>
      </w:r>
      <w:r w:rsidRPr="000E6048">
        <w:rPr>
          <w:rFonts w:ascii="Times New Roman" w:hAnsi="Times New Roman"/>
          <w:sz w:val="24"/>
          <w:szCs w:val="24"/>
          <w:vertAlign w:val="subscript"/>
        </w:rPr>
        <w:t>i,t</w:t>
      </w:r>
      <w:proofErr w:type="spellEnd"/>
      <w:r w:rsidRPr="000E6048">
        <w:rPr>
          <w:rFonts w:ascii="Times New Roman" w:hAnsi="Times New Roman"/>
          <w:sz w:val="24"/>
          <w:szCs w:val="24"/>
          <w:vertAlign w:val="subscript"/>
        </w:rPr>
        <w:t xml:space="preserve">  </w:t>
      </w:r>
      <w:r w:rsidRPr="000E6048">
        <w:rPr>
          <w:rFonts w:ascii="Times New Roman" w:hAnsi="Times New Roman"/>
          <w:sz w:val="24"/>
          <w:szCs w:val="24"/>
        </w:rPr>
        <w:t xml:space="preserve">is the return of country i at time t and </w:t>
      </w:r>
      <w:proofErr w:type="spellStart"/>
      <w:r w:rsidRPr="000E6048">
        <w:rPr>
          <w:rFonts w:ascii="Times New Roman" w:hAnsi="Times New Roman"/>
          <w:sz w:val="24"/>
          <w:szCs w:val="24"/>
        </w:rPr>
        <w:t>R</w:t>
      </w:r>
      <w:r w:rsidRPr="000E6048">
        <w:rPr>
          <w:rFonts w:ascii="Times New Roman" w:hAnsi="Times New Roman"/>
          <w:sz w:val="24"/>
          <w:szCs w:val="24"/>
          <w:vertAlign w:val="subscript"/>
        </w:rPr>
        <w:t>j</w:t>
      </w:r>
      <w:proofErr w:type="spellEnd"/>
      <w:r w:rsidRPr="000E6048">
        <w:rPr>
          <w:rFonts w:ascii="Times New Roman" w:hAnsi="Times New Roman"/>
          <w:sz w:val="24"/>
          <w:szCs w:val="24"/>
          <w:vertAlign w:val="subscript"/>
        </w:rPr>
        <w:t xml:space="preserve"> </w:t>
      </w:r>
      <w:r w:rsidRPr="000E6048">
        <w:rPr>
          <w:rFonts w:ascii="Times New Roman" w:hAnsi="Times New Roman"/>
          <w:sz w:val="24"/>
          <w:szCs w:val="24"/>
        </w:rPr>
        <w:t xml:space="preserve">are the returns of the US-traded assets.  </w:t>
      </w:r>
    </w:p>
    <w:p w14:paraId="251CAC41" w14:textId="77777777" w:rsidR="00A5798B" w:rsidRPr="000E6048" w:rsidRDefault="00A5798B" w:rsidP="009E0B56">
      <w:pPr>
        <w:spacing w:line="360" w:lineRule="auto"/>
        <w:jc w:val="both"/>
        <w:rPr>
          <w:rFonts w:ascii="Times New Roman" w:hAnsi="Times New Roman"/>
          <w:sz w:val="24"/>
          <w:szCs w:val="24"/>
        </w:rPr>
      </w:pP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"id" : "ITEM-2", "itemData" : { "ISSN" : "13547798", "abstract" : "Abstract In spite of the popularity of international portfolio diversification theory, extant empirical literature shows that investors prefer domestic assets and as a result, many studies argue that investors\u2019 portfolios are largely suboptimal. This paper examines whether British investors need to diversify their portfolios internation- ally to gain performance benefits from international markets or can they obtain these benefits by mimicking the portfolios with domestically traded assets. The results confirm that it is possible to mimic the performance of foreign equity with domestic equity. Indeed, the pay-offs from homemade portfolios outperform those from international portfolios regardless of the periodic variation in the overall performance of the UK market vis-` a-vis foreign markets. The superiority of homemade portfolio is more prominent in recent years and is enhanced by the increased internationalisation of developed capital markets. Therefore, investors\u2019 home bias is not suboptimal.", "author" : [ { "dropping-particle" : "", "family" : "Antoniou", "given" : "Antonios", "non-dropping-particle" : "", "parse-names" : false, "suffix" : "" }, { "dropping-particle" : "", "family" : "Olusi", "given" : "Olasupo", "non-dropping-particle" : "", "parse-names" : false, "suffix" : "" }, { "dropping-particle" : "", "family" : "Paudyal", "given" : "Krishna", "non-dropping-particle" : "", "parse-names" : false, "suffix" : "" } ], "container-title" : "European Financial Management", "id" : "ITEM-2", "issue" : "3", "issued" : { "date-parts" : [ [ "2010", "4", "27" ] ] }, "page" : "449-479", "title" : "Equity Home-Bias: A Suboptimal Choice for UK investors?", "type" : "article-journal", "volume" : "16" }, "uris" : [ "http://www.mendeley.com/documents/?uuid=6b85cd01-4e75-4bf0-ac1a-8dbda29fd984" ] } ], "mendeley" : { "manualFormatting" : "Errunza et al. (1999) and Antoniou et al. (2010)", "previouslyFormattedCitation" : "(Antoniou et al., 2010; Errunza et al., 1999)"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Errunza et al. (1999) and Antoniou et al. (2010)</w:t>
      </w:r>
      <w:r w:rsidRPr="000E6048">
        <w:rPr>
          <w:rFonts w:ascii="Times New Roman" w:hAnsi="Times New Roman"/>
          <w:sz w:val="24"/>
          <w:szCs w:val="24"/>
        </w:rPr>
        <w:fldChar w:fldCharType="end"/>
      </w:r>
      <w:r w:rsidRPr="000E6048">
        <w:rPr>
          <w:rFonts w:ascii="Times New Roman" w:hAnsi="Times New Roman"/>
          <w:sz w:val="24"/>
          <w:szCs w:val="24"/>
        </w:rPr>
        <w:t xml:space="preserve"> employ a threshol</w:t>
      </w:r>
      <w:r>
        <w:rPr>
          <w:rFonts w:ascii="Times New Roman" w:hAnsi="Times New Roman"/>
          <w:sz w:val="24"/>
          <w:szCs w:val="24"/>
        </w:rPr>
        <w:t xml:space="preserve">d </w:t>
      </w:r>
      <w:r w:rsidR="00E21ABC">
        <w:rPr>
          <w:rFonts w:ascii="Times New Roman" w:hAnsi="Times New Roman"/>
          <w:sz w:val="24"/>
          <w:szCs w:val="24"/>
        </w:rPr>
        <w:t>p</w:t>
      </w:r>
      <w:r w:rsidR="000400CF">
        <w:rPr>
          <w:rFonts w:ascii="Times New Roman" w:hAnsi="Times New Roman"/>
          <w:sz w:val="24"/>
          <w:szCs w:val="24"/>
        </w:rPr>
        <w:t>-value of 0.20</w:t>
      </w:r>
      <w:r w:rsidR="009E0B56">
        <w:rPr>
          <w:rFonts w:ascii="Times New Roman" w:hAnsi="Times New Roman"/>
          <w:sz w:val="24"/>
          <w:szCs w:val="24"/>
        </w:rPr>
        <w:t xml:space="preserve"> when using stepwise regression</w:t>
      </w:r>
      <w:r w:rsidRPr="000E6048">
        <w:rPr>
          <w:rFonts w:ascii="Times New Roman" w:hAnsi="Times New Roman"/>
          <w:sz w:val="24"/>
          <w:szCs w:val="24"/>
        </w:rPr>
        <w:t xml:space="preserve">.  </w:t>
      </w:r>
      <w:r>
        <w:rPr>
          <w:rFonts w:ascii="Times New Roman" w:hAnsi="Times New Roman"/>
          <w:sz w:val="24"/>
          <w:szCs w:val="24"/>
        </w:rPr>
        <w:t xml:space="preserve">We </w:t>
      </w:r>
      <w:r w:rsidRPr="000E6048">
        <w:rPr>
          <w:rFonts w:ascii="Times New Roman" w:hAnsi="Times New Roman"/>
          <w:sz w:val="24"/>
          <w:szCs w:val="24"/>
        </w:rPr>
        <w:t xml:space="preserve">elect to be more stringent </w:t>
      </w:r>
      <w:r>
        <w:rPr>
          <w:rFonts w:ascii="Times New Roman" w:hAnsi="Times New Roman"/>
          <w:sz w:val="24"/>
          <w:szCs w:val="24"/>
        </w:rPr>
        <w:t xml:space="preserve">in our </w:t>
      </w:r>
      <w:r w:rsidRPr="000E6048">
        <w:rPr>
          <w:rFonts w:ascii="Times New Roman" w:hAnsi="Times New Roman"/>
          <w:sz w:val="24"/>
          <w:szCs w:val="24"/>
        </w:rPr>
        <w:t xml:space="preserve">portfolio selection and to use a threshold of 0.05 which results in a smaller number of independent variables.  Portfolios with a smaller number of assets will have lower transaction costs.  If a smaller portfolio can achieve the same diversification benefits as a larger portfolio, the smaller will always be preferable due to these not insignificant costs.  </w:t>
      </w:r>
      <w:r>
        <w:rPr>
          <w:rFonts w:ascii="Times New Roman" w:hAnsi="Times New Roman"/>
          <w:sz w:val="24"/>
          <w:szCs w:val="24"/>
        </w:rPr>
        <w:t xml:space="preserve">We </w:t>
      </w:r>
      <w:r w:rsidRPr="000E6048">
        <w:rPr>
          <w:rFonts w:ascii="Times New Roman" w:hAnsi="Times New Roman"/>
          <w:sz w:val="24"/>
          <w:szCs w:val="24"/>
        </w:rPr>
        <w:t>subsequently test the diversification benefits of each portfolio using Mean-Variance Spanning</w:t>
      </w:r>
      <w:r>
        <w:rPr>
          <w:rFonts w:ascii="Times New Roman" w:hAnsi="Times New Roman"/>
          <w:sz w:val="24"/>
          <w:szCs w:val="24"/>
        </w:rPr>
        <w:t xml:space="preserve">.  </w:t>
      </w:r>
      <w:r w:rsidRPr="000E6048">
        <w:rPr>
          <w:rFonts w:ascii="Times New Roman" w:hAnsi="Times New Roman"/>
          <w:sz w:val="24"/>
          <w:szCs w:val="24"/>
        </w:rPr>
        <w:t xml:space="preserve">For any portfolios which do not span the relevant </w:t>
      </w:r>
      <w:r>
        <w:rPr>
          <w:rFonts w:ascii="Times New Roman" w:hAnsi="Times New Roman"/>
          <w:sz w:val="24"/>
          <w:szCs w:val="24"/>
        </w:rPr>
        <w:t>foreign country index, we</w:t>
      </w:r>
      <w:r w:rsidRPr="000E6048">
        <w:rPr>
          <w:rFonts w:ascii="Times New Roman" w:hAnsi="Times New Roman"/>
          <w:sz w:val="24"/>
          <w:szCs w:val="24"/>
        </w:rPr>
        <w:t xml:space="preserve"> test whether by allow</w:t>
      </w:r>
      <w:r w:rsidR="00E21ABC">
        <w:rPr>
          <w:rFonts w:ascii="Times New Roman" w:hAnsi="Times New Roman"/>
          <w:sz w:val="24"/>
          <w:szCs w:val="24"/>
        </w:rPr>
        <w:t>ing a higher threshold for the p</w:t>
      </w:r>
      <w:r w:rsidRPr="000E6048">
        <w:rPr>
          <w:rFonts w:ascii="Times New Roman" w:hAnsi="Times New Roman"/>
          <w:sz w:val="24"/>
          <w:szCs w:val="24"/>
        </w:rPr>
        <w:t xml:space="preserve">-value or by using a standard regression including all possible predictor variables </w:t>
      </w:r>
      <w:r>
        <w:rPr>
          <w:rFonts w:ascii="Times New Roman" w:hAnsi="Times New Roman"/>
          <w:sz w:val="24"/>
          <w:szCs w:val="24"/>
        </w:rPr>
        <w:t xml:space="preserve">alters the results.  We </w:t>
      </w:r>
      <w:r w:rsidRPr="000E6048">
        <w:rPr>
          <w:rFonts w:ascii="Times New Roman" w:hAnsi="Times New Roman"/>
          <w:sz w:val="24"/>
          <w:szCs w:val="24"/>
        </w:rPr>
        <w:t>reconstruct those portfolios using a stepwise threshold of 0.20 and using all variables in a</w:t>
      </w:r>
      <w:r>
        <w:rPr>
          <w:rFonts w:ascii="Times New Roman" w:hAnsi="Times New Roman"/>
          <w:sz w:val="24"/>
          <w:szCs w:val="24"/>
        </w:rPr>
        <w:t>n</w:t>
      </w:r>
      <w:r w:rsidRPr="000E6048">
        <w:rPr>
          <w:rFonts w:ascii="Times New Roman" w:hAnsi="Times New Roman"/>
          <w:sz w:val="24"/>
          <w:szCs w:val="24"/>
        </w:rPr>
        <w:t xml:space="preserve"> OLS regression for comparative purposes.  </w:t>
      </w:r>
    </w:p>
    <w:p w14:paraId="5808F5B4" w14:textId="77777777" w:rsidR="00A5798B" w:rsidRDefault="00A5798B" w:rsidP="009E0B56">
      <w:pPr>
        <w:spacing w:line="360" w:lineRule="auto"/>
        <w:jc w:val="both"/>
        <w:rPr>
          <w:rFonts w:ascii="Times New Roman" w:hAnsi="Times New Roman"/>
          <w:sz w:val="24"/>
          <w:szCs w:val="24"/>
        </w:rPr>
      </w:pPr>
      <w:r>
        <w:rPr>
          <w:rFonts w:ascii="Times New Roman" w:hAnsi="Times New Roman"/>
          <w:sz w:val="24"/>
          <w:szCs w:val="24"/>
        </w:rPr>
        <w:t xml:space="preserve">We </w:t>
      </w:r>
      <w:r w:rsidRPr="000E6048">
        <w:rPr>
          <w:rFonts w:ascii="Times New Roman" w:hAnsi="Times New Roman"/>
          <w:sz w:val="24"/>
          <w:szCs w:val="24"/>
        </w:rPr>
        <w:t xml:space="preserve">create three types of replicating portfolios.  Firstly, an industry portfolio (D1) is created to investigate if a foreign country index can be replicated by US Industry Indices.  Secondly, a portfolio is created from Industry Indices, the Russell 1000 and MNCs (D2) to investigate if portfolios of US companies only can replicate foreign market indices.   Thirdly, a portfolio of all US-traded equity products is formed from Industry Indices, Russell 1000, MNCS, ADRs, </w:t>
      </w:r>
      <w:r>
        <w:rPr>
          <w:rFonts w:ascii="Times New Roman" w:hAnsi="Times New Roman"/>
          <w:sz w:val="24"/>
          <w:szCs w:val="24"/>
        </w:rPr>
        <w:t xml:space="preserve">iShares and </w:t>
      </w:r>
      <w:r w:rsidRPr="000E6048">
        <w:rPr>
          <w:rFonts w:ascii="Times New Roman" w:hAnsi="Times New Roman"/>
          <w:sz w:val="24"/>
          <w:szCs w:val="24"/>
        </w:rPr>
        <w:t xml:space="preserve">CCFs available for that country (D3) to investigate if US-traded products can replicate the foreign country index.  </w:t>
      </w:r>
      <w:r w:rsidRPr="00A43317">
        <w:rPr>
          <w:rFonts w:ascii="Times New Roman" w:hAnsi="Times New Roman"/>
          <w:sz w:val="24"/>
          <w:szCs w:val="24"/>
        </w:rPr>
        <w:t xml:space="preserve">D1 and D2 contain only firms that are headquartered in the US and are counted as domestic equity.  An increase in the holding of these products and a decrease in foreign holdings </w:t>
      </w:r>
      <w:r>
        <w:rPr>
          <w:rFonts w:ascii="Times New Roman" w:hAnsi="Times New Roman"/>
          <w:sz w:val="24"/>
          <w:szCs w:val="24"/>
        </w:rPr>
        <w:t>would cause</w:t>
      </w:r>
      <w:r w:rsidRPr="00A43317">
        <w:rPr>
          <w:rFonts w:ascii="Times New Roman" w:hAnsi="Times New Roman"/>
          <w:sz w:val="24"/>
          <w:szCs w:val="24"/>
        </w:rPr>
        <w:t xml:space="preserve"> an increase in the recorded home bias.  D3 portfolios include ADRs, CCFs and iShares, </w:t>
      </w:r>
      <w:r>
        <w:rPr>
          <w:rFonts w:ascii="Times New Roman" w:hAnsi="Times New Roman"/>
          <w:sz w:val="24"/>
          <w:szCs w:val="24"/>
        </w:rPr>
        <w:t>which</w:t>
      </w:r>
      <w:r w:rsidRPr="00A43317">
        <w:rPr>
          <w:rFonts w:ascii="Times New Roman" w:hAnsi="Times New Roman"/>
          <w:sz w:val="24"/>
          <w:szCs w:val="24"/>
        </w:rPr>
        <w:t xml:space="preserve"> are counted as foreign h</w:t>
      </w:r>
      <w:r w:rsidR="00B45F9D">
        <w:rPr>
          <w:rFonts w:ascii="Times New Roman" w:hAnsi="Times New Roman"/>
          <w:sz w:val="24"/>
          <w:szCs w:val="24"/>
        </w:rPr>
        <w:t>oldings.  Although domestically-</w:t>
      </w:r>
      <w:r w:rsidRPr="00A43317">
        <w:rPr>
          <w:rFonts w:ascii="Times New Roman" w:hAnsi="Times New Roman"/>
          <w:sz w:val="24"/>
          <w:szCs w:val="24"/>
        </w:rPr>
        <w:t>traded products, an increase in their holdings and a decrease in domestic holdings would cause a decrease in home bias.  D1 and D2 portfolios attempt to replicate foreign markets using US-</w:t>
      </w:r>
      <w:r w:rsidRPr="00A43317">
        <w:rPr>
          <w:rFonts w:ascii="Times New Roman" w:hAnsi="Times New Roman"/>
          <w:sz w:val="24"/>
          <w:szCs w:val="24"/>
        </w:rPr>
        <w:lastRenderedPageBreak/>
        <w:t xml:space="preserve">traded domestic equity only.  D3 portfolios attempt to replicate foreign markets using a combination of US-traded domestic and foreign equity holdings.  </w:t>
      </w:r>
    </w:p>
    <w:p w14:paraId="6AC6EE27" w14:textId="77777777" w:rsidR="000046F1" w:rsidRPr="00CA4E0C" w:rsidRDefault="002607CF" w:rsidP="009E0B56">
      <w:pPr>
        <w:spacing w:line="360" w:lineRule="auto"/>
        <w:jc w:val="both"/>
        <w:rPr>
          <w:rFonts w:ascii="Times New Roman" w:hAnsi="Times New Roman" w:cs="Times New Roman"/>
          <w:sz w:val="24"/>
          <w:szCs w:val="24"/>
        </w:rPr>
      </w:pPr>
      <w:r w:rsidRPr="00CA4E0C">
        <w:rPr>
          <w:rFonts w:ascii="Times New Roman" w:hAnsi="Times New Roman" w:cs="Times New Roman"/>
          <w:sz w:val="24"/>
          <w:szCs w:val="24"/>
        </w:rPr>
        <w:t xml:space="preserve">We calculate the correlation of each </w:t>
      </w:r>
      <w:r w:rsidR="001524B8" w:rsidRPr="00CA4E0C">
        <w:rPr>
          <w:rFonts w:ascii="Times New Roman" w:hAnsi="Times New Roman" w:cs="Times New Roman"/>
          <w:sz w:val="24"/>
          <w:szCs w:val="24"/>
        </w:rPr>
        <w:t xml:space="preserve">replicating </w:t>
      </w:r>
      <w:r w:rsidRPr="00CA4E0C">
        <w:rPr>
          <w:rFonts w:ascii="Times New Roman" w:hAnsi="Times New Roman" w:cs="Times New Roman"/>
          <w:sz w:val="24"/>
          <w:szCs w:val="24"/>
        </w:rPr>
        <w:t>portfolio with the foreign countr</w:t>
      </w:r>
      <w:r w:rsidR="00F05422" w:rsidRPr="00CA4E0C">
        <w:rPr>
          <w:rFonts w:ascii="Times New Roman" w:hAnsi="Times New Roman" w:cs="Times New Roman"/>
          <w:sz w:val="24"/>
          <w:szCs w:val="24"/>
        </w:rPr>
        <w:t xml:space="preserve">y index and </w:t>
      </w:r>
      <w:r w:rsidR="001762A5" w:rsidRPr="00CA4E0C">
        <w:rPr>
          <w:rFonts w:ascii="Times New Roman" w:hAnsi="Times New Roman" w:cs="Times New Roman"/>
          <w:sz w:val="24"/>
          <w:szCs w:val="24"/>
        </w:rPr>
        <w:t>its</w:t>
      </w:r>
      <w:r w:rsidRPr="00CA4E0C">
        <w:rPr>
          <w:rFonts w:ascii="Times New Roman" w:hAnsi="Times New Roman" w:cs="Times New Roman"/>
          <w:sz w:val="24"/>
          <w:szCs w:val="24"/>
        </w:rPr>
        <w:t xml:space="preserve"> risk per unit of return.  We investigate whether the benefits of international diversification </w:t>
      </w:r>
      <w:r w:rsidR="001762A5" w:rsidRPr="00CA4E0C">
        <w:rPr>
          <w:rFonts w:ascii="Times New Roman" w:hAnsi="Times New Roman" w:cs="Times New Roman"/>
          <w:sz w:val="24"/>
          <w:szCs w:val="24"/>
        </w:rPr>
        <w:t>can be</w:t>
      </w:r>
      <w:r w:rsidRPr="00CA4E0C">
        <w:rPr>
          <w:rFonts w:ascii="Times New Roman" w:hAnsi="Times New Roman" w:cs="Times New Roman"/>
          <w:sz w:val="24"/>
          <w:szCs w:val="24"/>
        </w:rPr>
        <w:t xml:space="preserve"> exhausted using domestic</w:t>
      </w:r>
      <w:r w:rsidR="001762A5" w:rsidRPr="00CA4E0C">
        <w:rPr>
          <w:rFonts w:ascii="Times New Roman" w:hAnsi="Times New Roman" w:cs="Times New Roman"/>
          <w:sz w:val="24"/>
          <w:szCs w:val="24"/>
        </w:rPr>
        <w:t>ally traded</w:t>
      </w:r>
      <w:r w:rsidRPr="00CA4E0C">
        <w:rPr>
          <w:rFonts w:ascii="Times New Roman" w:hAnsi="Times New Roman" w:cs="Times New Roman"/>
          <w:sz w:val="24"/>
          <w:szCs w:val="24"/>
        </w:rPr>
        <w:t xml:space="preserve"> products by adding the foreign country index to the replicating portfolio and </w:t>
      </w:r>
      <w:r w:rsidR="001762A5" w:rsidRPr="00CA4E0C">
        <w:rPr>
          <w:rFonts w:ascii="Times New Roman" w:hAnsi="Times New Roman" w:cs="Times New Roman"/>
          <w:sz w:val="24"/>
          <w:szCs w:val="24"/>
        </w:rPr>
        <w:t>testing</w:t>
      </w:r>
      <w:r w:rsidRPr="00CA4E0C">
        <w:rPr>
          <w:rFonts w:ascii="Times New Roman" w:hAnsi="Times New Roman" w:cs="Times New Roman"/>
          <w:sz w:val="24"/>
          <w:szCs w:val="24"/>
        </w:rPr>
        <w:t xml:space="preserve"> whether the foreign country index is spanned by the replicating portfolio.  That is, does the addition of the foreign country index shift the mean variance frontier of the replicating portfolio</w:t>
      </w:r>
      <w:r w:rsidR="00EC5EEB" w:rsidRPr="00CA4E0C">
        <w:rPr>
          <w:rFonts w:ascii="Times New Roman" w:hAnsi="Times New Roman" w:cs="Times New Roman"/>
          <w:sz w:val="24"/>
          <w:szCs w:val="24"/>
        </w:rPr>
        <w:t xml:space="preserve"> and are </w:t>
      </w:r>
      <w:r w:rsidRPr="00CA4E0C">
        <w:rPr>
          <w:rFonts w:ascii="Times New Roman" w:hAnsi="Times New Roman" w:cs="Times New Roman"/>
          <w:sz w:val="24"/>
          <w:szCs w:val="24"/>
        </w:rPr>
        <w:t>there addition diversification benefits to be gained by investing in the foreign country index beyond those available via investmen</w:t>
      </w:r>
      <w:r w:rsidR="001762A5" w:rsidRPr="00CA4E0C">
        <w:rPr>
          <w:rFonts w:ascii="Times New Roman" w:hAnsi="Times New Roman" w:cs="Times New Roman"/>
          <w:sz w:val="24"/>
          <w:szCs w:val="24"/>
        </w:rPr>
        <w:t>t in US traded equity products?</w:t>
      </w:r>
      <w:r w:rsidRPr="00CA4E0C">
        <w:rPr>
          <w:rFonts w:ascii="Times New Roman" w:hAnsi="Times New Roman" w:cs="Times New Roman"/>
          <w:sz w:val="24"/>
          <w:szCs w:val="24"/>
        </w:rPr>
        <w:t xml:space="preserve">  We </w:t>
      </w:r>
      <w:r w:rsidR="001762A5" w:rsidRPr="00CA4E0C">
        <w:rPr>
          <w:rFonts w:ascii="Times New Roman" w:hAnsi="Times New Roman" w:cs="Times New Roman"/>
          <w:sz w:val="24"/>
          <w:szCs w:val="24"/>
        </w:rPr>
        <w:t>test this using</w:t>
      </w:r>
      <w:r w:rsidRPr="00CA4E0C">
        <w:rPr>
          <w:rFonts w:ascii="Times New Roman" w:hAnsi="Times New Roman" w:cs="Times New Roman"/>
          <w:sz w:val="24"/>
          <w:szCs w:val="24"/>
        </w:rPr>
        <w:t xml:space="preserve"> mean variance spanning</w:t>
      </w:r>
      <w:r w:rsidR="001762A5" w:rsidRPr="00CA4E0C">
        <w:rPr>
          <w:rFonts w:ascii="Times New Roman" w:hAnsi="Times New Roman" w:cs="Times New Roman"/>
          <w:sz w:val="24"/>
          <w:szCs w:val="24"/>
        </w:rPr>
        <w:t xml:space="preserve"> tests</w:t>
      </w:r>
      <w:r w:rsidRPr="00CA4E0C">
        <w:rPr>
          <w:rFonts w:ascii="Times New Roman" w:hAnsi="Times New Roman" w:cs="Times New Roman"/>
          <w:sz w:val="24"/>
          <w:szCs w:val="24"/>
        </w:rPr>
        <w:t xml:space="preserve">.  </w:t>
      </w:r>
    </w:p>
    <w:p w14:paraId="6CAB405B" w14:textId="77777777" w:rsidR="001F4DDE" w:rsidRDefault="001F4DDE" w:rsidP="00B45F9D">
      <w:pPr>
        <w:pStyle w:val="Heading2"/>
        <w:rPr>
          <w:lang w:val="en-GB"/>
        </w:rPr>
      </w:pPr>
      <w:r>
        <w:rPr>
          <w:lang w:val="en-GB"/>
        </w:rPr>
        <w:t>4.2 Mean Variance Spanning Tests</w:t>
      </w:r>
    </w:p>
    <w:p w14:paraId="00D0DC5F" w14:textId="77777777" w:rsidR="00E16FB9" w:rsidRDefault="00E16FB9" w:rsidP="009E0B56">
      <w:pPr>
        <w:spacing w:line="360" w:lineRule="auto"/>
        <w:jc w:val="both"/>
        <w:rPr>
          <w:rFonts w:ascii="Times New Roman" w:hAnsi="Times New Roman"/>
          <w:sz w:val="24"/>
          <w:szCs w:val="24"/>
          <w:lang w:val="en-GB"/>
        </w:rPr>
      </w:pPr>
      <w:r w:rsidRPr="000E6048">
        <w:rPr>
          <w:rFonts w:ascii="Times New Roman" w:hAnsi="Times New Roman"/>
          <w:sz w:val="24"/>
          <w:szCs w:val="24"/>
          <w:lang w:val="en-GB"/>
        </w:rPr>
        <w:t>To tes</w:t>
      </w:r>
      <w:r w:rsidR="00383BF1">
        <w:rPr>
          <w:rFonts w:ascii="Times New Roman" w:hAnsi="Times New Roman"/>
          <w:sz w:val="24"/>
          <w:szCs w:val="24"/>
          <w:lang w:val="en-GB"/>
        </w:rPr>
        <w:t>t for diversification benefits we</w:t>
      </w:r>
      <w:r w:rsidRPr="000E6048">
        <w:rPr>
          <w:rFonts w:ascii="Times New Roman" w:hAnsi="Times New Roman"/>
          <w:sz w:val="24"/>
          <w:szCs w:val="24"/>
          <w:lang w:val="en-GB"/>
        </w:rPr>
        <w:t xml:space="preserve"> use Mean-Variance Spanning </w:t>
      </w:r>
      <w:r w:rsidR="00B45F9D">
        <w:rPr>
          <w:rFonts w:ascii="Times New Roman" w:hAnsi="Times New Roman"/>
          <w:sz w:val="24"/>
          <w:szCs w:val="24"/>
          <w:lang w:val="en-GB"/>
        </w:rPr>
        <w:t>tests</w:t>
      </w:r>
      <w:r w:rsidRPr="000E6048">
        <w:rPr>
          <w:rFonts w:ascii="Times New Roman" w:hAnsi="Times New Roman"/>
          <w:sz w:val="24"/>
          <w:szCs w:val="24"/>
          <w:lang w:val="en-GB"/>
        </w:rPr>
        <w:t xml:space="preserve">.  </w:t>
      </w:r>
      <w:r w:rsidR="00B45F9D">
        <w:rPr>
          <w:rFonts w:ascii="Times New Roman" w:hAnsi="Times New Roman"/>
          <w:sz w:val="24"/>
          <w:szCs w:val="24"/>
        </w:rPr>
        <w:t xml:space="preserve">The </w:t>
      </w:r>
      <w:r w:rsidRPr="000E6048">
        <w:rPr>
          <w:rFonts w:ascii="Times New Roman" w:hAnsi="Times New Roman"/>
          <w:sz w:val="24"/>
          <w:szCs w:val="24"/>
          <w:lang w:val="en-GB"/>
        </w:rPr>
        <w:t xml:space="preserve">methodology of Mean-Variance Spanning is documented by </w:t>
      </w:r>
      <w:r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"author" : [ { "dropping-particle" : "", "family" : "Huberman", "given" : "Gur", "non-dropping-particle" : "", "parse-names" : false, "suffix" : "" }, { "dropping-particle" : "", "family" : "Kandel", "given" : "Shmuel", "non-dropping-particle" : "", "parse-names" : false, "suffix" : "" } ], "container-title" : "The Journal of Finance", "id" : "ITEM-1", "issue" : "4", "issued" : { "date-parts" : [ [ "1987" ] ] }, "page" : "873 - 888", "publisher" : "Blackwell Publishing for the American Finance Association", "title" : "Mean-Variance Spanning", "type" : "article-journal", "volume" : "42" }, "uris" : [ "http://www.mendeley.com/documents/?uuid=665db5c8-97b6-4a0f-b2d1-b6b6dffdfa5c" ] } ], "mendeley" : { "manualFormatting" : "Huberman and Kandel (1987)", "previouslyFormattedCitation" : "(Huberman &amp; Kandel, 1987)" }, "properties" : { "noteIndex" : 0 }, "schema" : "https://github.com/citation-style-language/schema/raw/master/csl-citation.json" }</w:instrText>
      </w:r>
      <w:r w:rsidRPr="000E6048">
        <w:rPr>
          <w:rFonts w:ascii="Times New Roman" w:hAnsi="Times New Roman"/>
          <w:sz w:val="24"/>
          <w:szCs w:val="24"/>
          <w:lang w:val="en-GB"/>
        </w:rPr>
        <w:fldChar w:fldCharType="separate"/>
      </w:r>
      <w:r w:rsidRPr="000E6048">
        <w:rPr>
          <w:rFonts w:ascii="Times New Roman" w:hAnsi="Times New Roman"/>
          <w:noProof/>
          <w:sz w:val="24"/>
          <w:szCs w:val="24"/>
          <w:lang w:val="en-GB"/>
        </w:rPr>
        <w:t>Huberman and Kandel (1987)</w:t>
      </w:r>
      <w:r w:rsidRPr="000E6048">
        <w:rPr>
          <w:rFonts w:ascii="Times New Roman" w:hAnsi="Times New Roman"/>
          <w:sz w:val="24"/>
          <w:szCs w:val="24"/>
          <w:lang w:val="en-GB"/>
        </w:rPr>
        <w:fldChar w:fldCharType="end"/>
      </w:r>
      <w:r w:rsidRPr="000E6048">
        <w:rPr>
          <w:rFonts w:ascii="Times New Roman" w:hAnsi="Times New Roman"/>
          <w:sz w:val="24"/>
          <w:szCs w:val="24"/>
          <w:lang w:val="en-GB"/>
        </w:rPr>
        <w:t xml:space="preserve">, and its geometric interpretation by </w:t>
      </w:r>
      <w:r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"15297373", "abstract" : "In this paper, we conduct a comprehensive study of tests for mean-variance spanning. Under the regression framework of Huberman and Kandel (1987), we provide geometric interpretations not only for the popular likelihood ratio test, but also for two new spanning tests based on the Wald and Lagrange multiplier principles. Under normality assumption, we present the exact distributions of the three tests, analyze their power comprehensively. We find that the power is most driven by the difference of the global minimum-variance portfolios of the two minimum-variance frontiers, and it does not always align well with the economic significance. As an alternative, we provide a step-down test to allow better assessment of the power. Under general distributional assumptions, we provide a new spanning test based on the generalized method of moments (GMM), and evaluate its performance along with other GMM tests by simulation.", "author" : [ { "dropping-particle" : "", "family" : "Kan", "given" : "Raymond", "non-dropping-particle" : "", "parse-names" : false, "suffix" : "" }, { "dropping-particle" : "", "family" : "Zhou", "given" : "Guofu", "non-dropping-particle" : "", "parse-names" : false, "suffix" : "" } ], "container-title" : "Annals of Economics and Finance", "id" : "ITEM-1", "issue" : "1", "issued" : { "date-parts" : [ [ "2012" ] ] }, "page" : "139-187", "title" : "Tests of Mean-Variance Spanning", "type" : "article-journal", "volume" : "13" }, "uris" : [ "http://www.mendeley.com/documents/?uuid=d8edd4b3-ed0b-4f54-88d4-1c608dae84ed" ] } ], "mendeley" : { "manualFormatting" : "Kan &amp; Zhou (2012)", "previouslyFormattedCitation" : "(Kan &amp; Zhou, 2012)" }, "properties" : { "noteIndex" : 0 }, "schema" : "https://github.com/citation-style-language/schema/raw/master/csl-citation.json" }</w:instrText>
      </w:r>
      <w:r w:rsidRPr="000E6048">
        <w:rPr>
          <w:rFonts w:ascii="Times New Roman" w:hAnsi="Times New Roman"/>
          <w:sz w:val="24"/>
          <w:szCs w:val="24"/>
          <w:lang w:val="en-GB"/>
        </w:rPr>
        <w:fldChar w:fldCharType="separate"/>
      </w:r>
      <w:r w:rsidRPr="000E6048">
        <w:rPr>
          <w:rFonts w:ascii="Times New Roman" w:hAnsi="Times New Roman"/>
          <w:noProof/>
          <w:sz w:val="24"/>
          <w:szCs w:val="24"/>
          <w:lang w:val="en-GB"/>
        </w:rPr>
        <w:t>Kan &amp; Zhou (2012)</w:t>
      </w:r>
      <w:r w:rsidRPr="000E6048">
        <w:rPr>
          <w:rFonts w:ascii="Times New Roman" w:hAnsi="Times New Roman"/>
          <w:sz w:val="24"/>
          <w:szCs w:val="24"/>
          <w:lang w:val="en-GB"/>
        </w:rPr>
        <w:fldChar w:fldCharType="end"/>
      </w:r>
      <w:r w:rsidRPr="000E6048">
        <w:rPr>
          <w:rFonts w:ascii="Times New Roman" w:hAnsi="Times New Roman"/>
          <w:sz w:val="24"/>
          <w:szCs w:val="24"/>
          <w:lang w:val="en-GB"/>
        </w:rPr>
        <w:t xml:space="preserve">.  It is used by </w:t>
      </w:r>
      <w:r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"03784266", "abstract" : "We investigate how the benefits of international portfolio diversification differ across countries from the perspective of a local investor. We find that the benefits of investing abroad are largest for investors in developing countries, including when controlling for currency effects. Most of the benefits are obtained from investing outside the region of the home country. These global diversification benefits remain large when controlling for short-sales constraints in developing stock markets. The gains from international portfolio diversification appear to be largest for countries with high country risk. In addition to this cross-sectional evidence, we also provide evidence that diversification benefits vary over time as country risk changes. We find that diversification benefits have decreased for most countries in our sample over the past two decades.", "author" : [ { "dropping-particle" : "", "family" : "Driessen", "given" : "Joost", "non-dropping-particle" : "", "parse-names" : false, "suffix" : "" }, { "dropping-particle" : "", "family" : "Laeven", "given" : "Luc", "non-dropping-particle" : "", "parse-names" : false, "suffix" : "" } ], "container-title" : "Journal of Banking &amp; Finance", "id" : "ITEM-1", "issue" : "6", "issued" : { "date-parts" : [ [ "2007", "6" ] ] }, "page" : "1693-1712", "title" : "International portfolio diversification benefits: Cross-country evidence from a local perspective", "type" : "article-journal", "volume" : "31" }, "uris" : [ "http://www.mendeley.com/documents/?uuid=3244cf4f-bcf8-470f-8a02-dbf00e57ab80" ] } ], "mendeley" : { "manualFormatting" : "Driessen and Laeven (2007)", "previouslyFormattedCitation" : "(Driessen &amp; Laeven, 2007)" }, "properties" : { "noteIndex" : 0 }, "schema" : "https://github.com/citation-style-language/schema/raw/master/csl-citation.json" }</w:instrText>
      </w:r>
      <w:r w:rsidRPr="000E6048">
        <w:rPr>
          <w:rFonts w:ascii="Times New Roman" w:hAnsi="Times New Roman"/>
          <w:sz w:val="24"/>
          <w:szCs w:val="24"/>
          <w:lang w:val="en-GB"/>
        </w:rPr>
        <w:fldChar w:fldCharType="separate"/>
      </w:r>
      <w:r w:rsidRPr="000E6048">
        <w:rPr>
          <w:rFonts w:ascii="Times New Roman" w:hAnsi="Times New Roman"/>
          <w:noProof/>
          <w:sz w:val="24"/>
          <w:szCs w:val="24"/>
          <w:lang w:val="en-GB"/>
        </w:rPr>
        <w:t>Driessen and Laeven (2007)</w:t>
      </w:r>
      <w:r w:rsidRPr="000E6048">
        <w:rPr>
          <w:rFonts w:ascii="Times New Roman" w:hAnsi="Times New Roman"/>
          <w:sz w:val="24"/>
          <w:szCs w:val="24"/>
          <w:lang w:val="en-GB"/>
        </w:rPr>
        <w:fldChar w:fldCharType="end"/>
      </w:r>
      <w:r w:rsidRPr="000E6048">
        <w:rPr>
          <w:rFonts w:ascii="Times New Roman" w:hAnsi="Times New Roman"/>
          <w:sz w:val="24"/>
          <w:szCs w:val="24"/>
          <w:lang w:val="en-GB"/>
        </w:rPr>
        <w:t xml:space="preserve"> to investigate how the benefits of international diversification differ across countries from the perspective of a local investor.  It is also used by </w:t>
      </w:r>
      <w:r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"abstract" : "We study a new class of unconditional and conditional mean-variance spanning tests that exploits the duality between Hansen-Jagannathan bounds (1991) and mean- standard deviation frontiers. The tests are shown to be equivalent to standard spanning tests in population, but we document substantial differences in the small sample performance of alternative tests. Our empirical application examines the diversification benefits from emerging equity markets using an extensive new data set on U.S. and U.K.-traded closed-end funds. We find significant diversification benefits for the U.K. country funds, but not for the U.S. funds. The difference appears to relate to differences in portfolio holdings rather than to the behavior of premiums in the United States versus the United Kingdom", "author" : [ { "dropping-particle" : "", "family" : "Bekaert", "given" : "Geert", "non-dropping-particle" : "", "parse-names" : false, "suffix" : "" }, { "dropping-particle" : "", "family" : "Urias", "given" : "Michael S", "non-dropping-particle" : "", "parse-names" : false, "suffix" : "" } ], "container-title" : "The Journal of Finance", "id" : "ITEM-1", "issue" : "3", "issued" : { "date-parts" : [ [ "1996" ] ] }, "page" : "835-869", "title" : "Diversification , Integration and Emerging Market Closed-End Funds", "type" : "article-journal", "volume" : "51" }, "uris" : [ "http://www.mendeley.com/documents/?uuid=48c2bd5a-9f9e-4c87-9349-c75226e6fd10" ] }, { "id" : "ITEM-2",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"ITEM-2", "issue" : "6", "issued" : { "date-parts" : [ [ "1999", "12" ] ] }, "note" : "cited by 176", "page" : "2075-2107", "title" : "Can the Gains from International Diversification Be Achieved without Trading Abroad?", "type" : "article-journal", "volume" : "54" }, "uris" : [ "http://www.mendeley.com/documents/?uuid=e8f61226-eced-4e8b-8846-e75b86f009cf" ] }, { "id" : "ITEM-3", "itemData" : { "abstract" : "This paper employs mean\u2013variance spanning tests to examine the diversification potential of multinational firms and foreign market indices from the perspective of investors in the G7 countries over the 1984\u20131995 period. We find evidence that multinational corporations may have provided diversification benefits for investors in Germany and the United States. We find that the addition of foreign market indices to a domestic portfolio\u2014inclusive of multinationals\u2014provided substantial diversification benefits in all countries. The economic importance of the shift of the portfolio frontier varied considerably across markets.", "author" : [ { "dropping-particle" : "", "family" : "Rowland", "given" : "Patrick F", "non-dropping-particle" : "", "parse-names" : false, "suffix" : "" }, { "dropping-particle" : "", "family" : "Tesar", "given" : "Linda L", "non-dropping-particle" : "", "parse-names" : false, "suffix" : "" } ], "container-title" : "Review of Economic Dynamics", "id" : "ITEM-3", "issue" : "4", "issued" : { "date-parts" : [ [ "2004" ] ] }, "page" : "789-826", "title" : "Multinationals and the gains from international diversification", "type" : "article-journal", "volume" : "7" }, "uris" : [ "http://www.mendeley.com/documents/?uuid=0b848d46-a7ed-48e4-9292-16ee081a3c05" ] }, { "id" : "ITEM-4", "itemData" : { "abstract" : "The extent to which internationalising MNEs create value, and the extent to which investors can reap the benefits of firm-level internationalisation remain controversial issues. Using a multi-country dataset with over 3 million observations, we classify 1143 firms listed on the exchanges of the G7 countries according to the geographical spread of their sales and subsidiaries. We show that more internationalised firms provide greater diversification benefits. By investing in home-based internationalised firms, investors can \u2018free ride\u2019 the costs and risks associated with internationalisation at the level of the firm and exhibit home bias while availing of international diversification benefits.", "author" : [ { "dropping-particle" : "", "family" : "Berrill", "given" : "Jenny", "non-dropping-particle" : "", "parse-names" : false, "suffix" : "" }, { "dropping-particle" : "", "family" : "Kearney", "given" : "Colm", "non-dropping-particle" : "", "parse-names" : false, "suffix" : "" } ], "container-title" : "Journal of Economics and Business", "id" : "ITEM-4", "issue" : "4", "issued" : { "date-parts" : [ [ "2010" ] ] }, "page" : "235-256", "title" : "Firm-level internationalisation and the home bias puzzle", "type" : "article-journal", "volume" : "62" }, "uris" : [ "http://www.mendeley.com/documents/?uuid=be997db4-8cd5-4eac-bc2a-e505bed3a926" ] } ], "mendeley" : { "manualFormatting" : "Bekaert, Urias, and Francisco (1996), Errunza et al. (1999), Bekaert &amp; Urias (1999), Rowland and Tesar (2004)", "previouslyFormattedCitation" : "(Bekaert &amp; Urias, 1996; Berrill &amp; Kearney, 2010; Errunza et al., 1999; Rowland &amp; Tesar, 2004)" }, "properties" : { "noteIndex" : 0 }, "schema" : "https://github.com/citation-style-language/schema/raw/master/csl-citation.json" }</w:instrText>
      </w:r>
      <w:r w:rsidRPr="000E6048">
        <w:rPr>
          <w:rFonts w:ascii="Times New Roman" w:hAnsi="Times New Roman"/>
          <w:sz w:val="24"/>
          <w:szCs w:val="24"/>
          <w:lang w:val="en-GB"/>
        </w:rPr>
        <w:fldChar w:fldCharType="separate"/>
      </w:r>
      <w:r w:rsidRPr="000E6048">
        <w:rPr>
          <w:rFonts w:ascii="Times New Roman" w:hAnsi="Times New Roman"/>
          <w:noProof/>
          <w:sz w:val="24"/>
          <w:szCs w:val="24"/>
          <w:lang w:val="en-GB"/>
        </w:rPr>
        <w:t xml:space="preserve">Bekaert, Urias, and Francisco (1996), Errunza et al. (1999), </w:t>
      </w:r>
      <w:r w:rsidRPr="000E6048">
        <w:rPr>
          <w:rFonts w:ascii="Times New Roman" w:hAnsi="Times New Roman"/>
          <w:noProof/>
          <w:sz w:val="24"/>
          <w:szCs w:val="24"/>
        </w:rPr>
        <w:fldChar w:fldCharType="begin" w:fldLock="1"/>
      </w:r>
      <w:r w:rsidR="00CE6362">
        <w:rPr>
          <w:rFonts w:ascii="Times New Roman" w:hAnsi="Times New Roman"/>
          <w:noProof/>
          <w:sz w:val="24"/>
          <w:szCs w:val="24"/>
        </w:rPr>
        <w:instrText>ADDIN CSL_CITATION { "citationItems" : [ { "id" : "ITEM-1", "itemData" : { "author" : [ { "dropping-particle" : "", "family" : "Bekaert", "given" : "Geert", "non-dropping-particle" : "", "parse-names" : false, "suffix" : "" }, { "dropping-particle" : "", "family" : "Urias", "given" : "Michael S.", "non-dropping-particle" : "", "parse-names" : false, "suffix" : "" } ], "container-title" : "The Journal of Portfolio Management", "id" : "ITEM-1", "issue" : "3", "issued" : { "date-parts" : [ [ "1999" ] ] }, "page" : "83-95", "title" : "Is There a Free Lunch in Emerging Market Equities?", "type" : "article-journal", "volume" : "25" }, "uris" : [ "http://www.mendeley.com/documents/?uuid=cee71d8e-8fa6-4b63-a0c7-713b1e969d1d" ] } ], "mendeley" : { "manualFormatting" : "Bekaert &amp; Urias (1999)", "previouslyFormattedCitation" : "(Bekaert &amp; Urias, 1999)" }, "properties" : { "noteIndex" : 0 }, "schema" : "https://github.com/citation-style-language/schema/raw/master/csl-citation.json" }</w:instrText>
      </w:r>
      <w:r w:rsidRPr="000E6048">
        <w:rPr>
          <w:rFonts w:ascii="Times New Roman" w:hAnsi="Times New Roman"/>
          <w:noProof/>
          <w:sz w:val="24"/>
          <w:szCs w:val="24"/>
        </w:rPr>
        <w:fldChar w:fldCharType="separate"/>
      </w:r>
      <w:r w:rsidRPr="000E6048">
        <w:rPr>
          <w:rFonts w:ascii="Times New Roman" w:hAnsi="Times New Roman"/>
          <w:noProof/>
          <w:sz w:val="24"/>
          <w:szCs w:val="24"/>
        </w:rPr>
        <w:t>Bekaert &amp; Urias (1999)</w:t>
      </w:r>
      <w:r w:rsidRPr="000E6048">
        <w:rPr>
          <w:rFonts w:ascii="Times New Roman" w:hAnsi="Times New Roman"/>
          <w:noProof/>
          <w:sz w:val="24"/>
          <w:szCs w:val="24"/>
        </w:rPr>
        <w:fldChar w:fldCharType="end"/>
      </w:r>
      <w:r>
        <w:rPr>
          <w:rFonts w:ascii="Times New Roman" w:hAnsi="Times New Roman"/>
          <w:noProof/>
          <w:sz w:val="24"/>
          <w:szCs w:val="24"/>
        </w:rPr>
        <w:t xml:space="preserve">, </w:t>
      </w:r>
      <w:r w:rsidRPr="000E6048">
        <w:rPr>
          <w:rFonts w:ascii="Times New Roman" w:hAnsi="Times New Roman"/>
          <w:noProof/>
          <w:sz w:val="24"/>
          <w:szCs w:val="24"/>
          <w:lang w:val="en-GB"/>
        </w:rPr>
        <w:t>Rowland and Tesar (2004)</w:t>
      </w:r>
      <w:r w:rsidRPr="000E6048">
        <w:rPr>
          <w:rFonts w:ascii="Times New Roman" w:hAnsi="Times New Roman"/>
          <w:sz w:val="24"/>
          <w:szCs w:val="24"/>
          <w:lang w:val="en-GB"/>
        </w:rPr>
        <w:fldChar w:fldCharType="end"/>
      </w:r>
      <w:r>
        <w:rPr>
          <w:rFonts w:ascii="Times New Roman" w:hAnsi="Times New Roman"/>
          <w:sz w:val="24"/>
          <w:szCs w:val="24"/>
          <w:lang w:val="en-GB"/>
        </w:rPr>
        <w:t xml:space="preserve">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"abstract" : "Using data from 1993 to 2002 for eight developed and fifteen emerging markets, we find that return correlations, mean-variance spanning, and Sharpe ratio tests support that closed-end country funds (CECF) can mimic their corresponding foreign indices, and that they are more heavily influenced by their corresponding local markets instead of the U.S. market. This implies that U.S. investors, by investing in CECF, can achieve similar international diversification benefits to those achieved by investing directly in the foreign indices. We also document increased correlation between the U.S. market and foreign markets during this period and find no compelling evidence of economically and statistically significant international diversification benefits, as opposed to a pre 1993 period. These findings could be associated with the financial market liberalization that was prevalent during the period (JEL: G15).", "author" : [ { "dropping-particle" : "", "family" : "Charitou", "given" : "Andreas", "non-dropping-particle" : "", "parse-names" : false, "suffix" : "" }, { "dropping-particle" : "", "family" : "Makris", "given" : "Andreas", "non-dropping-particle" : "", "parse-names" : false, "suffix" : "" }, { "dropping-particle" : "", "family" : "Nishiotis", "given" : "George P", "non-dropping-particle" : "", "parse-names" : false, "suffix" : "" } ], "container-title" : "Multinational Finance Journal", "id" : "ITEM-1", "issue" : "3", "issued" : { "date-parts" : [ [ "2006" ] ] }, "page" : "251-276", "title" : "Closed-End Country Funds and International Diversification", "type" : "article-journal", "volume" : "10" }, "uris" : [ "http://www.mendeley.com/documents/?uuid=43da1ddf-f11b-4359-be61-a739a6893240" ] } ], "mendeley" : { "manualFormatting" : "Charitou, Makris, &amp; Nishiotis (2006)", "previouslyFormattedCitation" : "(Charitou et al., 2006)"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Charitou, Makris, &amp; Nishiotis (2006)</w:t>
      </w:r>
      <w:r w:rsidRPr="000E6048">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noProof/>
          <w:sz w:val="24"/>
          <w:szCs w:val="24"/>
          <w:lang w:val="en-GB"/>
        </w:rPr>
        <w:t xml:space="preserve">Berrill and Kearney (2010),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"13547798", "abstract" : "Abstract In spite of the popularity of international portfolio diversification theory, extant empirical literature shows that investors prefer domestic assets and as a result, many studies argue that investors\u2019 portfolios are largely suboptimal. This paper examines whether British investors need to diversify their portfolios internation- ally to gain performance benefits from international markets or can they obtain these benefits by mimicking the portfolios with domestically traded assets. The results confirm that it is possible to mimic the performance of foreign equity with domestic equity. Indeed, the pay-offs from homemade portfolios outperform those from international portfolios regardless of the periodic variation in the overall performance of the UK market vis-` a-vis foreign markets. The superiority of homemade portfolio is more prominent in recent years and is enhanced by the increased internationalisation of developed capital markets. Therefore, investors\u2019 home bias is not suboptimal.", "author" : [ { "dropping-particle" : "", "family" : "Antoniou", "given" : "Antonios", "non-dropping-particle" : "", "parse-names" : false, "suffix" : "" }, { "dropping-particle" : "", "family" : "Olusi", "given" : "Olasupo", "non-dropping-particle" : "", "parse-names" : false, "suffix" : "" }, { "dropping-particle" : "", "family" : "Paudyal", "given" : "Krishna", "non-dropping-particle" : "", "parse-names" : false, "suffix" : "" } ], "container-title" : "European Financial Management", "id" : "ITEM-1", "issue" : "3", "issued" : { "date-parts" : [ [ "2010", "4", "27" ] ] }, "page" : "449-479", "title" : "Equity Home-Bias: A Suboptimal Choice for UK investors?", "type" : "article-journal", "volume" : "16" }, "uris" : [ "http://www.mendeley.com/documents/?uuid=6b85cd01-4e75-4bf0-ac1a-8dbda29fd984" ] } ], "mendeley" : { "manualFormatting" : "Antoniou et al. (2010)", "previouslyFormattedCitation" : "(Antoniou et al., 2010)"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Antoniou et al. (2010)</w:t>
      </w:r>
      <w:r w:rsidRPr="000E6048">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noProof/>
          <w:sz w:val="24"/>
          <w:szCs w:val="24"/>
          <w:lang w:val="en-GB"/>
        </w:rPr>
        <w:t xml:space="preserve">and </w:t>
      </w:r>
      <w:r w:rsidRPr="000E6048">
        <w:rPr>
          <w:rFonts w:ascii="Times New Roman" w:hAnsi="Times New Roman"/>
          <w:noProof/>
          <w:sz w:val="24"/>
          <w:szCs w:val="24"/>
        </w:rPr>
        <w:t>Kabir, Hassan, &amp; Maroney (2011</w:t>
      </w:r>
      <w:r>
        <w:rPr>
          <w:rFonts w:ascii="Times New Roman" w:hAnsi="Times New Roman"/>
          <w:noProof/>
          <w:sz w:val="24"/>
          <w:szCs w:val="24"/>
        </w:rPr>
        <w:t xml:space="preserve">) </w:t>
      </w:r>
      <w:r w:rsidR="009E0B56">
        <w:rPr>
          <w:rFonts w:ascii="Times New Roman" w:hAnsi="Times New Roman"/>
          <w:sz w:val="24"/>
          <w:szCs w:val="24"/>
          <w:lang w:val="en-GB"/>
        </w:rPr>
        <w:t>in studies of home-</w:t>
      </w:r>
      <w:r w:rsidRPr="000E6048">
        <w:rPr>
          <w:rFonts w:ascii="Times New Roman" w:hAnsi="Times New Roman"/>
          <w:sz w:val="24"/>
          <w:szCs w:val="24"/>
          <w:lang w:val="en-GB"/>
        </w:rPr>
        <w:t xml:space="preserve">based international diversification.   </w:t>
      </w:r>
    </w:p>
    <w:p w14:paraId="67A2DEFC" w14:textId="77777777" w:rsidR="00E16FB9" w:rsidRPr="000E6048" w:rsidRDefault="00E16FB9" w:rsidP="009E0B56">
      <w:pPr>
        <w:spacing w:line="360" w:lineRule="auto"/>
        <w:jc w:val="both"/>
        <w:rPr>
          <w:rFonts w:ascii="Times New Roman" w:hAnsi="Times New Roman"/>
          <w:sz w:val="24"/>
          <w:szCs w:val="24"/>
          <w:lang w:val="en-GB"/>
        </w:rPr>
      </w:pPr>
      <w:r w:rsidRPr="000E6048">
        <w:rPr>
          <w:rFonts w:ascii="Times New Roman" w:hAnsi="Times New Roman"/>
          <w:sz w:val="24"/>
          <w:szCs w:val="24"/>
          <w:lang w:val="en-GB"/>
        </w:rPr>
        <w:t xml:space="preserve">Mean-Variance Spanning tests consider a set of K benchmark assets and N test assets and investigate whether, conditional on the K benchmark assets, the addition of the N test assets can shift the mean-variance efficient frontier.  Alternatively, conditional on the K+N benchmark and test assets, can the subset of K benchmark assets yield the same diversification benefits?  </w:t>
      </w:r>
      <w:r w:rsidR="00383BF1">
        <w:rPr>
          <w:rFonts w:ascii="Times New Roman" w:hAnsi="Times New Roman"/>
          <w:sz w:val="24"/>
          <w:szCs w:val="24"/>
          <w:lang w:val="en-GB"/>
        </w:rPr>
        <w:t>We</w:t>
      </w:r>
      <w:r w:rsidRPr="000E6048">
        <w:rPr>
          <w:rFonts w:ascii="Times New Roman" w:hAnsi="Times New Roman"/>
          <w:sz w:val="24"/>
          <w:szCs w:val="24"/>
          <w:lang w:val="en-GB"/>
        </w:rPr>
        <w:t xml:space="preserve"> </w:t>
      </w:r>
      <w:r>
        <w:rPr>
          <w:rFonts w:ascii="Times New Roman" w:hAnsi="Times New Roman"/>
          <w:sz w:val="24"/>
          <w:szCs w:val="24"/>
          <w:lang w:val="en-GB"/>
        </w:rPr>
        <w:t>define</w:t>
      </w:r>
      <w:r w:rsidRPr="000E6048">
        <w:rPr>
          <w:rFonts w:ascii="Times New Roman" w:hAnsi="Times New Roman"/>
          <w:sz w:val="24"/>
          <w:szCs w:val="24"/>
          <w:lang w:val="en-GB"/>
        </w:rPr>
        <w:t xml:space="preserve"> R</w:t>
      </w:r>
      <w:r w:rsidRPr="000E6048">
        <w:rPr>
          <w:rFonts w:ascii="Times New Roman" w:hAnsi="Times New Roman"/>
          <w:sz w:val="24"/>
          <w:szCs w:val="24"/>
          <w:vertAlign w:val="subscript"/>
          <w:lang w:val="en-GB"/>
        </w:rPr>
        <w:t>1,t</w:t>
      </w:r>
      <w:r w:rsidRPr="000E6048">
        <w:rPr>
          <w:rFonts w:ascii="Times New Roman" w:hAnsi="Times New Roman"/>
          <w:sz w:val="24"/>
          <w:szCs w:val="24"/>
          <w:lang w:val="en-GB"/>
        </w:rPr>
        <w:t xml:space="preserve"> as the K×1 vector of returns on the</w:t>
      </w:r>
      <w:r w:rsidR="00383BF1">
        <w:rPr>
          <w:rFonts w:ascii="Times New Roman" w:hAnsi="Times New Roman"/>
          <w:sz w:val="24"/>
          <w:szCs w:val="24"/>
          <w:lang w:val="en-GB"/>
        </w:rPr>
        <w:t xml:space="preserve"> K benchmark assets at time t, we</w:t>
      </w:r>
      <w:r w:rsidRPr="000E6048">
        <w:rPr>
          <w:rFonts w:ascii="Times New Roman" w:hAnsi="Times New Roman"/>
          <w:sz w:val="24"/>
          <w:szCs w:val="24"/>
          <w:lang w:val="en-GB"/>
        </w:rPr>
        <w:t xml:space="preserve"> define R</w:t>
      </w:r>
      <w:r w:rsidRPr="000E6048">
        <w:rPr>
          <w:rFonts w:ascii="Times New Roman" w:hAnsi="Times New Roman"/>
          <w:sz w:val="24"/>
          <w:szCs w:val="24"/>
          <w:vertAlign w:val="subscript"/>
          <w:lang w:val="en-GB"/>
        </w:rPr>
        <w:t>2,t</w:t>
      </w:r>
      <w:r w:rsidRPr="000E6048">
        <w:rPr>
          <w:rFonts w:ascii="Times New Roman" w:hAnsi="Times New Roman"/>
          <w:sz w:val="24"/>
          <w:szCs w:val="24"/>
          <w:lang w:val="en-GB"/>
        </w:rPr>
        <w:t xml:space="preserve"> as the N×1 returns on th</w:t>
      </w:r>
      <w:r w:rsidR="00383BF1">
        <w:rPr>
          <w:rFonts w:ascii="Times New Roman" w:hAnsi="Times New Roman"/>
          <w:sz w:val="24"/>
          <w:szCs w:val="24"/>
          <w:lang w:val="en-GB"/>
        </w:rPr>
        <w:t>e N test assets at time t, and we</w:t>
      </w:r>
      <w:r w:rsidRPr="000E6048">
        <w:rPr>
          <w:rFonts w:ascii="Times New Roman" w:hAnsi="Times New Roman"/>
          <w:sz w:val="24"/>
          <w:szCs w:val="24"/>
          <w:lang w:val="en-GB"/>
        </w:rPr>
        <w:t xml:space="preserve"> combine R</w:t>
      </w:r>
      <w:r w:rsidRPr="000E6048">
        <w:rPr>
          <w:rFonts w:ascii="Times New Roman" w:hAnsi="Times New Roman"/>
          <w:sz w:val="24"/>
          <w:szCs w:val="24"/>
          <w:vertAlign w:val="subscript"/>
          <w:lang w:val="en-GB"/>
        </w:rPr>
        <w:t>1,t</w:t>
      </w:r>
      <w:r w:rsidRPr="000E6048">
        <w:rPr>
          <w:rFonts w:ascii="Times New Roman" w:hAnsi="Times New Roman"/>
          <w:sz w:val="24"/>
          <w:szCs w:val="24"/>
          <w:lang w:val="en-GB"/>
        </w:rPr>
        <w:t xml:space="preserve"> and R</w:t>
      </w:r>
      <w:r w:rsidRPr="000E6048">
        <w:rPr>
          <w:rFonts w:ascii="Times New Roman" w:hAnsi="Times New Roman"/>
          <w:sz w:val="24"/>
          <w:szCs w:val="24"/>
          <w:vertAlign w:val="subscript"/>
          <w:lang w:val="en-GB"/>
        </w:rPr>
        <w:t>2,t</w:t>
      </w:r>
      <w:r w:rsidRPr="000E6048">
        <w:rPr>
          <w:rFonts w:ascii="Times New Roman" w:hAnsi="Times New Roman"/>
          <w:sz w:val="24"/>
          <w:szCs w:val="24"/>
          <w:lang w:val="en-GB"/>
        </w:rPr>
        <w:t xml:space="preserve"> in the K+N vector R</w:t>
      </w:r>
      <w:r w:rsidRPr="000E6048">
        <w:rPr>
          <w:rFonts w:ascii="Times New Roman" w:hAnsi="Times New Roman"/>
          <w:sz w:val="24"/>
          <w:szCs w:val="24"/>
          <w:vertAlign w:val="subscript"/>
          <w:lang w:val="en-GB"/>
        </w:rPr>
        <w:t>t</w:t>
      </w:r>
      <w:r w:rsidRPr="000E6048">
        <w:rPr>
          <w:rFonts w:ascii="Times New Roman" w:hAnsi="Times New Roman"/>
          <w:sz w:val="24"/>
          <w:szCs w:val="24"/>
          <w:lang w:val="en-GB"/>
        </w:rPr>
        <w:t>=[R</w:t>
      </w:r>
      <w:r w:rsidRPr="000E6048">
        <w:rPr>
          <w:rFonts w:ascii="Times New Roman" w:hAnsi="Times New Roman"/>
          <w:sz w:val="24"/>
          <w:szCs w:val="24"/>
          <w:vertAlign w:val="subscript"/>
          <w:lang w:val="en-GB"/>
        </w:rPr>
        <w:t>1,t</w:t>
      </w:r>
      <w:r w:rsidRPr="000E6048">
        <w:rPr>
          <w:rFonts w:ascii="Times New Roman" w:hAnsi="Times New Roman"/>
          <w:sz w:val="24"/>
          <w:szCs w:val="24"/>
          <w:lang w:val="en-GB"/>
        </w:rPr>
        <w:t>, R</w:t>
      </w:r>
      <w:r w:rsidRPr="000E6048">
        <w:rPr>
          <w:rFonts w:ascii="Times New Roman" w:hAnsi="Times New Roman"/>
          <w:sz w:val="24"/>
          <w:szCs w:val="24"/>
          <w:vertAlign w:val="subscript"/>
          <w:lang w:val="en-GB"/>
        </w:rPr>
        <w:t>2,t</w:t>
      </w:r>
      <w:r w:rsidRPr="000E6048">
        <w:rPr>
          <w:rFonts w:ascii="Times New Roman" w:hAnsi="Times New Roman"/>
          <w:sz w:val="24"/>
          <w:szCs w:val="24"/>
          <w:lang w:val="en-GB"/>
        </w:rPr>
        <w:t>].  The expected returns E[R</w:t>
      </w:r>
      <w:r w:rsidRPr="000E6048">
        <w:rPr>
          <w:rFonts w:ascii="Times New Roman" w:hAnsi="Times New Roman"/>
          <w:sz w:val="24"/>
          <w:szCs w:val="24"/>
          <w:vertAlign w:val="subscript"/>
          <w:lang w:val="en-GB"/>
        </w:rPr>
        <w:t>t</w:t>
      </w:r>
      <w:r w:rsidRPr="000E6048">
        <w:rPr>
          <w:rFonts w:ascii="Times New Roman" w:hAnsi="Times New Roman"/>
          <w:sz w:val="24"/>
          <w:szCs w:val="24"/>
          <w:lang w:val="en-GB"/>
        </w:rPr>
        <w:t xml:space="preserve">] and the </w:t>
      </w:r>
      <w:r>
        <w:rPr>
          <w:rFonts w:ascii="Times New Roman" w:hAnsi="Times New Roman"/>
          <w:sz w:val="24"/>
          <w:szCs w:val="24"/>
          <w:lang w:val="en-GB"/>
        </w:rPr>
        <w:t>covariance matrix of</w:t>
      </w:r>
      <w:r w:rsidRPr="000E6048">
        <w:rPr>
          <w:rFonts w:ascii="Times New Roman" w:hAnsi="Times New Roman"/>
          <w:sz w:val="24"/>
          <w:szCs w:val="24"/>
          <w:lang w:val="en-GB"/>
        </w:rPr>
        <w:t xml:space="preserve"> these K+N assets can be written as </w:t>
      </w:r>
    </w:p>
    <w:p w14:paraId="6E514568" w14:textId="77777777" w:rsidR="00E16FB9" w:rsidRPr="000E6048" w:rsidRDefault="00E16FB9" w:rsidP="00E16FB9">
      <w:pPr>
        <w:spacing w:line="360" w:lineRule="auto"/>
        <w:rPr>
          <w:rFonts w:ascii="Times New Roman" w:hAnsi="Times New Roman"/>
          <w:sz w:val="24"/>
          <w:szCs w:val="24"/>
          <w:lang w:val="en-GB"/>
        </w:rPr>
      </w:pPr>
      <w:r w:rsidRPr="000E6048">
        <w:rPr>
          <w:rFonts w:ascii="Times New Roman" w:hAnsi="Times New Roman"/>
          <w:sz w:val="24"/>
          <w:szCs w:val="24"/>
          <w:lang w:val="en-GB"/>
        </w:rPr>
        <w:object w:dxaOrig="1600" w:dyaOrig="760" w14:anchorId="16C50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8.25pt" o:ole="">
            <v:imagedata r:id="rId9" o:title=""/>
          </v:shape>
          <o:OLEObject Type="Embed" ProgID="Equation.3" ShapeID="_x0000_i1025" DrawAspect="Content" ObjectID="_1717240945" r:id="rId10"/>
        </w:object>
      </w:r>
      <w:r w:rsidRPr="000E6048">
        <w:rPr>
          <w:rFonts w:ascii="Times New Roman" w:hAnsi="Times New Roman"/>
          <w:sz w:val="24"/>
          <w:szCs w:val="24"/>
          <w:lang w:val="en-GB"/>
        </w:rPr>
        <w:t xml:space="preserve"> </w:t>
      </w:r>
      <w:r w:rsidRPr="000E6048">
        <w:rPr>
          <w:rFonts w:ascii="Times New Roman" w:hAnsi="Times New Roman"/>
          <w:sz w:val="24"/>
          <w:szCs w:val="24"/>
          <w:lang w:val="en-GB"/>
        </w:rPr>
        <w:tab/>
      </w:r>
      <w:r w:rsidRPr="000E6048">
        <w:rPr>
          <w:rFonts w:ascii="Times New Roman" w:hAnsi="Times New Roman"/>
          <w:sz w:val="24"/>
          <w:szCs w:val="24"/>
          <w:lang w:val="en-GB"/>
        </w:rPr>
        <w:tab/>
      </w:r>
      <w:r w:rsidRPr="000E6048">
        <w:rPr>
          <w:rFonts w:ascii="Times New Roman" w:hAnsi="Times New Roman"/>
          <w:sz w:val="24"/>
          <w:szCs w:val="24"/>
          <w:lang w:val="en-GB"/>
        </w:rPr>
        <w:object w:dxaOrig="2360" w:dyaOrig="760" w14:anchorId="1FFF838F">
          <v:shape id="_x0000_i1026" type="#_x0000_t75" style="width:117pt;height:38.25pt" o:ole="">
            <v:imagedata r:id="rId11" o:title=""/>
          </v:shape>
          <o:OLEObject Type="Embed" ProgID="Equation.3" ShapeID="_x0000_i1026" DrawAspect="Content" ObjectID="_1717240946" r:id="rId12"/>
        </w:object>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t>(2</w:t>
      </w:r>
      <w:r w:rsidRPr="000E6048">
        <w:rPr>
          <w:rFonts w:ascii="Times New Roman" w:hAnsi="Times New Roman"/>
          <w:sz w:val="24"/>
          <w:szCs w:val="24"/>
          <w:lang w:val="en-GB"/>
        </w:rPr>
        <w:t>)</w:t>
      </w:r>
    </w:p>
    <w:p w14:paraId="3EE0A69C" w14:textId="77777777" w:rsidR="00E16FB9" w:rsidRPr="000E6048" w:rsidRDefault="00E16FB9" w:rsidP="009E0B56">
      <w:pPr>
        <w:spacing w:line="36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where V is assumed to be </w:t>
      </w:r>
      <w:proofErr w:type="spellStart"/>
      <w:r>
        <w:rPr>
          <w:rFonts w:ascii="Times New Roman" w:hAnsi="Times New Roman"/>
          <w:sz w:val="24"/>
          <w:szCs w:val="24"/>
          <w:lang w:val="en-GB"/>
        </w:rPr>
        <w:t>nonsingular</w:t>
      </w:r>
      <w:proofErr w:type="spellEnd"/>
      <w:r>
        <w:rPr>
          <w:rFonts w:ascii="Times New Roman" w:hAnsi="Times New Roman"/>
          <w:sz w:val="24"/>
          <w:szCs w:val="24"/>
          <w:lang w:val="en-GB"/>
        </w:rPr>
        <w:t xml:space="preserve">.  </w:t>
      </w:r>
      <w:r w:rsidRPr="000E6048">
        <w:rPr>
          <w:rFonts w:ascii="Times New Roman" w:hAnsi="Times New Roman"/>
          <w:sz w:val="24"/>
          <w:szCs w:val="24"/>
          <w:lang w:val="en-GB"/>
        </w:rPr>
        <w:t xml:space="preserve">The Mean-Variance Spanning test proceeds by estimating the following model which regresses the N test asset returns on the K benchmark asset returns, </w:t>
      </w:r>
    </w:p>
    <w:p w14:paraId="4B648404" w14:textId="77777777" w:rsidR="00E16FB9" w:rsidRPr="000E6048" w:rsidRDefault="00E16FB9" w:rsidP="00E16FB9">
      <w:pPr>
        <w:spacing w:line="360" w:lineRule="auto"/>
        <w:rPr>
          <w:rFonts w:ascii="Times New Roman" w:hAnsi="Times New Roman"/>
          <w:sz w:val="24"/>
          <w:szCs w:val="24"/>
          <w:lang w:val="en-GB"/>
        </w:rPr>
      </w:pPr>
      <w:r w:rsidRPr="000E6048">
        <w:rPr>
          <w:rFonts w:ascii="Times New Roman" w:hAnsi="Times New Roman"/>
          <w:sz w:val="24"/>
          <w:szCs w:val="24"/>
          <w:lang w:val="en-GB"/>
        </w:rPr>
        <w:object w:dxaOrig="1880" w:dyaOrig="380" w14:anchorId="2866D31A">
          <v:shape id="_x0000_i1027" type="#_x0000_t75" style="width:93.75pt;height:20.25pt" o:ole="">
            <v:imagedata r:id="rId13" o:title=""/>
          </v:shape>
          <o:OLEObject Type="Embed" ProgID="Equation.3" ShapeID="_x0000_i1027" DrawAspect="Content" ObjectID="_1717240947" r:id="rId14"/>
        </w:object>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t>(3</w:t>
      </w:r>
      <w:r w:rsidRPr="000E6048">
        <w:rPr>
          <w:rFonts w:ascii="Times New Roman" w:hAnsi="Times New Roman"/>
          <w:sz w:val="24"/>
          <w:szCs w:val="24"/>
          <w:lang w:val="en-GB"/>
        </w:rPr>
        <w:t>)</w:t>
      </w:r>
    </w:p>
    <w:p w14:paraId="6A296305" w14:textId="77777777" w:rsidR="00E16FB9" w:rsidRPr="000E6048" w:rsidRDefault="00E16FB9" w:rsidP="00E16FB9">
      <w:pPr>
        <w:spacing w:line="360" w:lineRule="auto"/>
        <w:rPr>
          <w:rFonts w:ascii="Times New Roman" w:hAnsi="Times New Roman"/>
          <w:sz w:val="24"/>
          <w:szCs w:val="24"/>
          <w:lang w:val="en-GB"/>
        </w:rPr>
      </w:pPr>
      <w:r w:rsidRPr="000E6048">
        <w:rPr>
          <w:rFonts w:ascii="Times New Roman" w:hAnsi="Times New Roman"/>
          <w:sz w:val="24"/>
          <w:szCs w:val="24"/>
          <w:lang w:val="en-GB"/>
        </w:rPr>
        <w:t xml:space="preserve">with  </w:t>
      </w:r>
    </w:p>
    <w:p w14:paraId="50C8A14A" w14:textId="77777777" w:rsidR="00E16FB9" w:rsidRDefault="00E16FB9" w:rsidP="00E16FB9">
      <w:pPr>
        <w:spacing w:line="360" w:lineRule="auto"/>
        <w:rPr>
          <w:rFonts w:ascii="Times New Roman" w:hAnsi="Times New Roman"/>
          <w:sz w:val="24"/>
          <w:szCs w:val="24"/>
          <w:lang w:val="en-GB"/>
        </w:rPr>
      </w:pPr>
      <m:oMath>
        <m:r>
          <w:rPr>
            <w:rFonts w:ascii="Cambria Math" w:hAnsi="Cambria Math"/>
            <w:sz w:val="24"/>
            <w:szCs w:val="24"/>
            <w:lang w:val="en-GB"/>
          </w:rPr>
          <m:t>E</m:t>
        </m:r>
        <m:d>
          <m:dPr>
            <m:begChr m:val="["/>
            <m:endChr m:val="]"/>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t</m:t>
                </m:r>
              </m:sub>
            </m:sSub>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0</m:t>
            </m:r>
          </m:e>
          <m:sub>
            <m:r>
              <w:rPr>
                <w:rFonts w:ascii="Cambria Math" w:hAnsi="Cambria Math"/>
                <w:sz w:val="24"/>
                <w:szCs w:val="24"/>
                <w:lang w:val="en-GB"/>
              </w:rPr>
              <m:t>N</m:t>
            </m:r>
          </m:sub>
        </m:sSub>
      </m:oMath>
      <w:r>
        <w:rPr>
          <w:rFonts w:ascii="Times New Roman" w:hAnsi="Times New Roman"/>
          <w:sz w:val="24"/>
          <w:szCs w:val="24"/>
          <w:lang w:val="en-GB"/>
        </w:rPr>
        <w:t xml:space="preserve"> and </w:t>
      </w:r>
      <w:r w:rsidRPr="000E6048">
        <w:rPr>
          <w:rFonts w:ascii="Times New Roman" w:hAnsi="Times New Roman"/>
          <w:sz w:val="24"/>
          <w:szCs w:val="24"/>
          <w:lang w:val="en-GB"/>
        </w:rPr>
        <w:t xml:space="preserve">    </w:t>
      </w:r>
      <m:oMath>
        <m:r>
          <w:rPr>
            <w:rFonts w:ascii="Cambria Math" w:hAnsi="Cambria Math"/>
            <w:sz w:val="24"/>
            <w:szCs w:val="24"/>
            <w:lang w:val="en-GB"/>
          </w:rPr>
          <m:t>E</m:t>
        </m:r>
        <m:d>
          <m:dPr>
            <m:begChr m:val="["/>
            <m:endChr m:val="]"/>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t</m:t>
                </m:r>
              </m:sub>
            </m:sSub>
            <m:sSubSup>
              <m:sSubSupPr>
                <m:ctrlPr>
                  <w:rPr>
                    <w:rFonts w:ascii="Cambria Math" w:hAnsi="Cambria Math"/>
                    <w:i/>
                    <w:sz w:val="24"/>
                    <w:szCs w:val="24"/>
                    <w:lang w:val="en-GB"/>
                  </w:rPr>
                </m:ctrlPr>
              </m:sSubSupPr>
              <m:e>
                <m:r>
                  <w:rPr>
                    <w:rFonts w:ascii="Cambria Math" w:hAnsi="Cambria Math"/>
                    <w:sz w:val="24"/>
                    <w:szCs w:val="24"/>
                    <w:lang w:val="en-GB"/>
                  </w:rPr>
                  <m:t>R</m:t>
                </m:r>
              </m:e>
              <m:sub>
                <m:r>
                  <w:rPr>
                    <w:rFonts w:ascii="Cambria Math" w:hAnsi="Cambria Math"/>
                    <w:sz w:val="24"/>
                    <w:szCs w:val="24"/>
                    <w:lang w:val="en-GB"/>
                  </w:rPr>
                  <m:t>1t</m:t>
                </m:r>
              </m:sub>
              <m:sup>
                <m:r>
                  <w:rPr>
                    <w:rFonts w:ascii="Cambria Math" w:hAnsi="Cambria Math"/>
                    <w:sz w:val="24"/>
                    <w:szCs w:val="24"/>
                    <w:lang w:val="en-GB"/>
                  </w:rPr>
                  <m:t>'</m:t>
                </m:r>
              </m:sup>
            </m:sSubSup>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0</m:t>
            </m:r>
          </m:e>
          <m:sub>
            <m:r>
              <w:rPr>
                <w:rFonts w:ascii="Cambria Math" w:hAnsi="Cambria Math"/>
                <w:sz w:val="24"/>
                <w:szCs w:val="24"/>
                <w:lang w:val="en-GB"/>
              </w:rPr>
              <m:t>NxK</m:t>
            </m:r>
          </m:sub>
        </m:sSub>
      </m:oMath>
      <w:r>
        <w:rPr>
          <w:rFonts w:ascii="Times New Roman" w:hAnsi="Times New Roman"/>
          <w:sz w:val="24"/>
          <w:szCs w:val="24"/>
          <w:lang w:val="en-GB"/>
        </w:rPr>
        <w:t xml:space="preserve"> </w:t>
      </w:r>
      <w:r w:rsidRPr="000E6048">
        <w:rPr>
          <w:rFonts w:ascii="Times New Roman" w:hAnsi="Times New Roman"/>
          <w:sz w:val="24"/>
          <w:szCs w:val="24"/>
          <w:lang w:val="en-GB"/>
        </w:rPr>
        <w:t xml:space="preserve">                                 </w:t>
      </w:r>
      <w:r w:rsidR="000400CF">
        <w:rPr>
          <w:rFonts w:ascii="Times New Roman" w:hAnsi="Times New Roman"/>
          <w:sz w:val="24"/>
          <w:szCs w:val="24"/>
          <w:lang w:val="en-GB"/>
        </w:rPr>
        <w:t xml:space="preserve">                            (4</w:t>
      </w:r>
      <w:r w:rsidRPr="000E6048">
        <w:rPr>
          <w:rFonts w:ascii="Times New Roman" w:hAnsi="Times New Roman"/>
          <w:sz w:val="24"/>
          <w:szCs w:val="24"/>
          <w:lang w:val="en-GB"/>
        </w:rPr>
        <w:t>)</w:t>
      </w:r>
    </w:p>
    <w:p w14:paraId="3BE071FE" w14:textId="77777777" w:rsidR="00E16FB9" w:rsidRPr="00AE7F49" w:rsidRDefault="00E16FB9" w:rsidP="009E0B56">
      <w:pPr>
        <w:spacing w:line="360" w:lineRule="auto"/>
        <w:jc w:val="both"/>
        <w:rPr>
          <w:rFonts w:ascii="Times New Roman" w:hAnsi="Times New Roman"/>
          <w:sz w:val="24"/>
          <w:szCs w:val="24"/>
          <w:lang w:val="en-GB"/>
        </w:rPr>
      </w:pPr>
      <w:r>
        <w:rPr>
          <w:rFonts w:ascii="Times New Roman" w:hAnsi="Times New Roman"/>
          <w:sz w:val="24"/>
          <w:szCs w:val="24"/>
          <w:lang w:val="en-GB"/>
        </w:rPr>
        <w:t>Where 0</w:t>
      </w:r>
      <w:r>
        <w:rPr>
          <w:rFonts w:ascii="Times New Roman" w:hAnsi="Times New Roman"/>
          <w:sz w:val="24"/>
          <w:szCs w:val="24"/>
          <w:vertAlign w:val="subscript"/>
          <w:lang w:val="en-GB"/>
        </w:rPr>
        <w:t>N</w:t>
      </w:r>
      <w:r>
        <w:rPr>
          <w:rFonts w:ascii="Times New Roman" w:hAnsi="Times New Roman"/>
          <w:sz w:val="24"/>
          <w:szCs w:val="24"/>
          <w:lang w:val="en-GB"/>
        </w:rPr>
        <w:t xml:space="preserve"> is an N-vector of zeros and 0</w:t>
      </w:r>
      <w:r>
        <w:rPr>
          <w:rFonts w:ascii="Times New Roman" w:hAnsi="Times New Roman"/>
          <w:sz w:val="24"/>
          <w:szCs w:val="24"/>
          <w:vertAlign w:val="subscript"/>
          <w:lang w:val="en-GB"/>
        </w:rPr>
        <w:t>Nxk</w:t>
      </w:r>
      <w:r>
        <w:rPr>
          <w:rFonts w:ascii="Times New Roman" w:hAnsi="Times New Roman"/>
          <w:sz w:val="24"/>
          <w:szCs w:val="24"/>
          <w:lang w:val="en-GB"/>
        </w:rPr>
        <w:t xml:space="preserve"> is an N by K matrix of zeros.  α and β can also be expressed as;</w:t>
      </w:r>
    </w:p>
    <w:p w14:paraId="2C81FC82" w14:textId="77777777" w:rsidR="00E16FB9" w:rsidRPr="000E6048" w:rsidRDefault="00E16FB9" w:rsidP="00E16FB9">
      <w:pPr>
        <w:spacing w:line="360" w:lineRule="auto"/>
        <w:rPr>
          <w:rFonts w:ascii="Times New Roman" w:hAnsi="Times New Roman"/>
          <w:sz w:val="24"/>
          <w:szCs w:val="24"/>
          <w:lang w:val="en-GB"/>
        </w:rPr>
      </w:pPr>
      <w:r w:rsidRPr="000E6048">
        <w:rPr>
          <w:rFonts w:ascii="Times New Roman" w:hAnsi="Times New Roman"/>
          <w:position w:val="-14"/>
          <w:sz w:val="24"/>
          <w:szCs w:val="24"/>
          <w:lang w:val="en-GB"/>
        </w:rPr>
        <w:object w:dxaOrig="3159" w:dyaOrig="380" w14:anchorId="0BBD513C">
          <v:shape id="_x0000_i1028" type="#_x0000_t75" style="width:159pt;height:20.25pt" o:ole="">
            <v:imagedata r:id="rId15" o:title=""/>
          </v:shape>
          <o:OLEObject Type="Embed" ProgID="Equation.3" ShapeID="_x0000_i1028" DrawAspect="Content" ObjectID="_1717240948" r:id="rId16"/>
        </w:object>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t>(5</w:t>
      </w:r>
      <w:r w:rsidRPr="000E6048">
        <w:rPr>
          <w:rFonts w:ascii="Times New Roman" w:hAnsi="Times New Roman"/>
          <w:sz w:val="24"/>
          <w:szCs w:val="24"/>
          <w:lang w:val="en-GB"/>
        </w:rPr>
        <w:t>)</w:t>
      </w:r>
    </w:p>
    <w:p w14:paraId="11C0DBE6" w14:textId="77777777" w:rsidR="00E16FB9" w:rsidRPr="000E6048" w:rsidRDefault="00E16FB9" w:rsidP="00E16FB9">
      <w:pPr>
        <w:spacing w:line="360" w:lineRule="auto"/>
        <w:rPr>
          <w:rFonts w:ascii="Times New Roman" w:hAnsi="Times New Roman"/>
          <w:sz w:val="24"/>
          <w:szCs w:val="24"/>
          <w:lang w:val="en-GB"/>
        </w:rPr>
      </w:pPr>
      <w:r w:rsidRPr="000E6048">
        <w:rPr>
          <w:rFonts w:ascii="Times New Roman" w:hAnsi="Times New Roman"/>
          <w:sz w:val="24"/>
          <w:szCs w:val="24"/>
          <w:lang w:val="en-GB"/>
        </w:rPr>
        <w:t xml:space="preserve">and </w:t>
      </w:r>
    </w:p>
    <w:p w14:paraId="2EC0C3C6" w14:textId="77777777" w:rsidR="00E16FB9" w:rsidRPr="000E6048" w:rsidRDefault="00E16FB9" w:rsidP="00E16FB9">
      <w:pPr>
        <w:spacing w:line="360" w:lineRule="auto"/>
        <w:rPr>
          <w:rFonts w:ascii="Times New Roman" w:hAnsi="Times New Roman"/>
          <w:sz w:val="24"/>
          <w:szCs w:val="24"/>
          <w:lang w:val="en-GB"/>
        </w:rPr>
      </w:pPr>
      <w:r w:rsidRPr="000E6048">
        <w:rPr>
          <w:rFonts w:ascii="Times New Roman" w:hAnsi="Times New Roman"/>
          <w:sz w:val="24"/>
          <w:szCs w:val="24"/>
          <w:lang w:val="en-GB"/>
        </w:rPr>
        <w:object w:dxaOrig="1080" w:dyaOrig="360" w14:anchorId="78E21487">
          <v:shape id="_x0000_i1029" type="#_x0000_t75" style="width:54.75pt;height:20.25pt" o:ole="">
            <v:imagedata r:id="rId17" o:title=""/>
          </v:shape>
          <o:OLEObject Type="Embed" ProgID="Equation.3" ShapeID="_x0000_i1029" DrawAspect="Content" ObjectID="_1717240949" r:id="rId18"/>
        </w:object>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r>
      <w:r w:rsidR="000400CF">
        <w:rPr>
          <w:rFonts w:ascii="Times New Roman" w:hAnsi="Times New Roman"/>
          <w:sz w:val="24"/>
          <w:szCs w:val="24"/>
          <w:lang w:val="en-GB"/>
        </w:rPr>
        <w:tab/>
        <w:t>(6</w:t>
      </w:r>
      <w:r w:rsidRPr="000E6048">
        <w:rPr>
          <w:rFonts w:ascii="Times New Roman" w:hAnsi="Times New Roman"/>
          <w:sz w:val="24"/>
          <w:szCs w:val="24"/>
          <w:lang w:val="en-GB"/>
        </w:rPr>
        <w:t>)</w:t>
      </w:r>
    </w:p>
    <w:p w14:paraId="342345C4" w14:textId="77777777" w:rsidR="00E16FB9" w:rsidRDefault="00E16FB9" w:rsidP="009E0B56">
      <w:pPr>
        <w:spacing w:line="360" w:lineRule="auto"/>
        <w:jc w:val="both"/>
        <w:rPr>
          <w:rFonts w:ascii="Times New Roman" w:hAnsi="Times New Roman"/>
          <w:sz w:val="24"/>
          <w:szCs w:val="24"/>
          <w:lang w:val="en-GB"/>
        </w:rPr>
      </w:pPr>
      <w:r w:rsidRPr="000E6048">
        <w:rPr>
          <w:rFonts w:ascii="Times New Roman" w:hAnsi="Times New Roman"/>
          <w:sz w:val="24"/>
          <w:szCs w:val="24"/>
          <w:lang w:val="en-GB"/>
        </w:rPr>
        <w:t xml:space="preserve">where α is an N-dimensional constant term, β is an N x K matrix with slope coefficients and </w:t>
      </w:r>
      <w:proofErr w:type="spellStart"/>
      <w:r w:rsidRPr="000E6048">
        <w:rPr>
          <w:rFonts w:ascii="Times New Roman" w:hAnsi="Times New Roman"/>
          <w:sz w:val="24"/>
          <w:szCs w:val="24"/>
          <w:lang w:val="en-GB"/>
        </w:rPr>
        <w:t>ε</w:t>
      </w:r>
      <w:r w:rsidRPr="000E6048">
        <w:rPr>
          <w:rFonts w:ascii="Times New Roman" w:hAnsi="Times New Roman"/>
          <w:sz w:val="24"/>
          <w:szCs w:val="24"/>
          <w:vertAlign w:val="subscript"/>
          <w:lang w:val="en-GB"/>
        </w:rPr>
        <w:t>t</w:t>
      </w:r>
      <w:proofErr w:type="spellEnd"/>
      <w:r w:rsidRPr="000E6048">
        <w:rPr>
          <w:rFonts w:ascii="Times New Roman" w:hAnsi="Times New Roman"/>
          <w:sz w:val="24"/>
          <w:szCs w:val="24"/>
          <w:lang w:val="en-GB"/>
        </w:rPr>
        <w:t xml:space="preserve"> is an N-dimensional vector with zero-expectation error terms.  </w:t>
      </w:r>
    </w:p>
    <w:p w14:paraId="48384AF1" w14:textId="77777777" w:rsidR="00E16FB9" w:rsidRDefault="00E16FB9" w:rsidP="009E0B56">
      <w:pPr>
        <w:spacing w:line="360" w:lineRule="auto"/>
        <w:jc w:val="both"/>
      </w:pPr>
      <w:r>
        <w:rPr>
          <w:rFonts w:ascii="Times New Roman" w:hAnsi="Times New Roman"/>
          <w:sz w:val="24"/>
          <w:szCs w:val="24"/>
          <w:lang w:val="en-GB"/>
        </w:rPr>
        <w:t>The null hypothesis states</w:t>
      </w:r>
      <w:r w:rsidRPr="000E6048">
        <w:rPr>
          <w:rFonts w:ascii="Times New Roman" w:hAnsi="Times New Roman"/>
          <w:sz w:val="24"/>
          <w:szCs w:val="24"/>
          <w:lang w:val="en-GB"/>
        </w:rPr>
        <w:t xml:space="preserve"> that the K benchmark assets span the entire market of all K+N assets</w:t>
      </w:r>
      <w:r w:rsidR="00B45F9D">
        <w:rPr>
          <w:rFonts w:ascii="Times New Roman" w:hAnsi="Times New Roman"/>
          <w:sz w:val="24"/>
          <w:szCs w:val="24"/>
          <w:lang w:val="en-GB"/>
        </w:rPr>
        <w:t>.  This</w:t>
      </w:r>
      <w:r w:rsidRPr="000E6048">
        <w:rPr>
          <w:rFonts w:ascii="Times New Roman" w:hAnsi="Times New Roman"/>
          <w:sz w:val="24"/>
          <w:szCs w:val="24"/>
          <w:lang w:val="en-GB"/>
        </w:rPr>
        <w:t xml:space="preserve"> is equivalent to </w:t>
      </w:r>
      <w:r>
        <w:rPr>
          <w:rFonts w:ascii="Times New Roman" w:hAnsi="Times New Roman"/>
          <w:sz w:val="24"/>
          <w:szCs w:val="24"/>
          <w:lang w:val="en-GB"/>
        </w:rPr>
        <w:t xml:space="preserve">testing </w:t>
      </w:r>
      <w:r w:rsidRPr="000E6048">
        <w:rPr>
          <w:rFonts w:ascii="Times New Roman" w:hAnsi="Times New Roman"/>
          <w:sz w:val="24"/>
          <w:szCs w:val="24"/>
          <w:lang w:val="en-GB"/>
        </w:rPr>
        <w:t xml:space="preserve">the restrictions </w:t>
      </w:r>
      <w:r w:rsidR="00B45F9D">
        <w:rPr>
          <w:rFonts w:ascii="Times New Roman" w:hAnsi="Times New Roman"/>
          <w:sz w:val="24"/>
          <w:szCs w:val="24"/>
          <w:lang w:val="en-GB"/>
        </w:rPr>
        <w:t xml:space="preserve">that </w:t>
      </w:r>
      <w:r w:rsidRPr="000E6048">
        <w:rPr>
          <w:rFonts w:ascii="Times New Roman" w:hAnsi="Times New Roman"/>
          <w:sz w:val="24"/>
          <w:szCs w:val="24"/>
          <w:lang w:val="en-GB"/>
        </w:rPr>
        <w:t>α = 0 and β1</w:t>
      </w:r>
      <w:r w:rsidRPr="000E6048">
        <w:rPr>
          <w:rFonts w:ascii="Times New Roman" w:hAnsi="Times New Roman"/>
          <w:sz w:val="24"/>
          <w:szCs w:val="24"/>
          <w:vertAlign w:val="subscript"/>
          <w:lang w:val="en-GB"/>
        </w:rPr>
        <w:t>K</w:t>
      </w:r>
      <w:r w:rsidRPr="000E6048">
        <w:rPr>
          <w:rFonts w:ascii="Times New Roman" w:hAnsi="Times New Roman"/>
          <w:sz w:val="24"/>
          <w:szCs w:val="24"/>
          <w:lang w:val="en-GB"/>
        </w:rPr>
        <w:t xml:space="preserve"> =1.</w:t>
      </w:r>
      <w:r>
        <w:rPr>
          <w:rFonts w:ascii="Times New Roman" w:hAnsi="Times New Roman"/>
          <w:sz w:val="24"/>
          <w:szCs w:val="24"/>
          <w:lang w:val="en-GB"/>
        </w:rPr>
        <w:t xml:space="preserve">  </w:t>
      </w:r>
      <w:r w:rsidRPr="000E6048">
        <w:rPr>
          <w:rFonts w:ascii="Times New Roman" w:hAnsi="Times New Roman"/>
          <w:sz w:val="24"/>
          <w:szCs w:val="24"/>
          <w:lang w:val="en-GB"/>
        </w:rPr>
        <w:t xml:space="preserve">If this hypothesis is upheld, it implies that for every test asset, </w:t>
      </w:r>
      <w:r>
        <w:rPr>
          <w:rFonts w:ascii="Times New Roman" w:hAnsi="Times New Roman"/>
          <w:sz w:val="24"/>
          <w:szCs w:val="24"/>
          <w:lang w:val="en-GB"/>
        </w:rPr>
        <w:t>it is possible to</w:t>
      </w:r>
      <w:r w:rsidRPr="000E6048">
        <w:rPr>
          <w:rFonts w:ascii="Times New Roman" w:hAnsi="Times New Roman"/>
          <w:sz w:val="24"/>
          <w:szCs w:val="24"/>
          <w:lang w:val="en-GB"/>
        </w:rPr>
        <w:t xml:space="preserve"> obtain a portfolio of the K benchmark assets that has the same expected return (because α=0</w:t>
      </w:r>
      <w:r w:rsidRPr="000E6048">
        <w:rPr>
          <w:rFonts w:ascii="Times New Roman" w:hAnsi="Times New Roman"/>
          <w:sz w:val="24"/>
          <w:szCs w:val="24"/>
          <w:vertAlign w:val="subscript"/>
          <w:lang w:val="en-GB"/>
        </w:rPr>
        <w:t>N</w:t>
      </w:r>
      <w:r w:rsidRPr="000E6048">
        <w:rPr>
          <w:rFonts w:ascii="Times New Roman" w:hAnsi="Times New Roman"/>
          <w:sz w:val="24"/>
          <w:szCs w:val="24"/>
          <w:lang w:val="en-GB"/>
        </w:rPr>
        <w:t xml:space="preserve"> and β1</w:t>
      </w:r>
      <w:r w:rsidRPr="000E6048">
        <w:rPr>
          <w:rFonts w:ascii="Times New Roman" w:hAnsi="Times New Roman"/>
          <w:sz w:val="24"/>
          <w:szCs w:val="24"/>
          <w:vertAlign w:val="subscript"/>
          <w:lang w:val="en-GB"/>
        </w:rPr>
        <w:t>K</w:t>
      </w:r>
      <w:r w:rsidRPr="000E6048">
        <w:rPr>
          <w:rFonts w:ascii="Times New Roman" w:hAnsi="Times New Roman"/>
          <w:sz w:val="24"/>
          <w:szCs w:val="24"/>
          <w:lang w:val="en-GB"/>
        </w:rPr>
        <w:t xml:space="preserve"> =1</w:t>
      </w:r>
      <w:r w:rsidRPr="000E6048">
        <w:rPr>
          <w:rFonts w:ascii="Times New Roman" w:hAnsi="Times New Roman"/>
          <w:sz w:val="24"/>
          <w:szCs w:val="24"/>
          <w:vertAlign w:val="subscript"/>
          <w:lang w:val="en-GB"/>
        </w:rPr>
        <w:t>N</w:t>
      </w:r>
      <w:r w:rsidRPr="000E6048">
        <w:rPr>
          <w:rFonts w:ascii="Times New Roman" w:hAnsi="Times New Roman"/>
          <w:sz w:val="24"/>
          <w:szCs w:val="24"/>
          <w:lang w:val="en-GB"/>
        </w:rPr>
        <w:t>) and a lower variance (because R</w:t>
      </w:r>
      <w:r w:rsidRPr="000E6048">
        <w:rPr>
          <w:rFonts w:ascii="Times New Roman" w:hAnsi="Times New Roman"/>
          <w:sz w:val="24"/>
          <w:szCs w:val="24"/>
          <w:vertAlign w:val="subscript"/>
          <w:lang w:val="en-GB"/>
        </w:rPr>
        <w:t>1,t</w:t>
      </w:r>
      <w:r w:rsidRPr="000E6048">
        <w:rPr>
          <w:rFonts w:ascii="Times New Roman" w:hAnsi="Times New Roman"/>
          <w:sz w:val="24"/>
          <w:szCs w:val="24"/>
          <w:lang w:val="en-GB"/>
        </w:rPr>
        <w:t xml:space="preserve"> and </w:t>
      </w:r>
      <w:proofErr w:type="spellStart"/>
      <w:r w:rsidRPr="000E6048">
        <w:rPr>
          <w:rFonts w:ascii="Times New Roman" w:hAnsi="Times New Roman"/>
          <w:sz w:val="24"/>
          <w:szCs w:val="24"/>
          <w:lang w:val="en-GB"/>
        </w:rPr>
        <w:t>ε</w:t>
      </w:r>
      <w:r w:rsidRPr="000E6048">
        <w:rPr>
          <w:rFonts w:ascii="Times New Roman" w:hAnsi="Times New Roman"/>
          <w:sz w:val="24"/>
          <w:szCs w:val="24"/>
          <w:vertAlign w:val="subscript"/>
          <w:lang w:val="en-GB"/>
        </w:rPr>
        <w:t>t</w:t>
      </w:r>
      <w:proofErr w:type="spellEnd"/>
      <w:r w:rsidRPr="000E6048">
        <w:rPr>
          <w:rFonts w:ascii="Times New Roman" w:hAnsi="Times New Roman"/>
          <w:sz w:val="24"/>
          <w:szCs w:val="24"/>
          <w:lang w:val="en-GB"/>
        </w:rPr>
        <w:t xml:space="preserve"> are uncorrelated while </w:t>
      </w:r>
      <w:r>
        <w:rPr>
          <w:rFonts w:ascii="Times New Roman" w:hAnsi="Times New Roman"/>
          <w:sz w:val="24"/>
          <w:szCs w:val="24"/>
          <w:lang w:val="en-GB"/>
        </w:rPr>
        <w:t>Var</w:t>
      </w:r>
      <w:r w:rsidRPr="000E6048">
        <w:rPr>
          <w:rFonts w:ascii="Times New Roman" w:hAnsi="Times New Roman"/>
          <w:sz w:val="24"/>
          <w:szCs w:val="24"/>
          <w:lang w:val="en-GB"/>
        </w:rPr>
        <w:t>(</w:t>
      </w:r>
      <w:proofErr w:type="spellStart"/>
      <w:r w:rsidRPr="000E6048">
        <w:rPr>
          <w:rFonts w:ascii="Times New Roman" w:hAnsi="Times New Roman"/>
          <w:sz w:val="24"/>
          <w:szCs w:val="24"/>
          <w:lang w:val="en-GB"/>
        </w:rPr>
        <w:t>ε</w:t>
      </w:r>
      <w:r w:rsidRPr="000E6048">
        <w:rPr>
          <w:rFonts w:ascii="Times New Roman" w:hAnsi="Times New Roman"/>
          <w:sz w:val="24"/>
          <w:szCs w:val="24"/>
          <w:vertAlign w:val="subscript"/>
          <w:lang w:val="en-GB"/>
        </w:rPr>
        <w:t>t</w:t>
      </w:r>
      <w:proofErr w:type="spellEnd"/>
      <w:r w:rsidRPr="000E6048">
        <w:rPr>
          <w:rFonts w:ascii="Times New Roman" w:hAnsi="Times New Roman"/>
          <w:sz w:val="24"/>
          <w:szCs w:val="24"/>
          <w:lang w:val="en-GB"/>
        </w:rPr>
        <w:t xml:space="preserve">) is positive definite).  </w:t>
      </w:r>
      <w:r w:rsidRPr="00687B5E">
        <w:rPr>
          <w:rFonts w:ascii="Times New Roman" w:hAnsi="Times New Roman"/>
          <w:sz w:val="24"/>
          <w:szCs w:val="24"/>
        </w:rPr>
        <w:t xml:space="preserve">In effect, the test assets are spanned by the benchmark if </w:t>
      </w:r>
      <w:r>
        <w:rPr>
          <w:rFonts w:ascii="Times New Roman" w:hAnsi="Times New Roman"/>
          <w:sz w:val="24"/>
          <w:szCs w:val="24"/>
        </w:rPr>
        <w:t>it is possible to</w:t>
      </w:r>
      <w:r w:rsidRPr="00687B5E">
        <w:rPr>
          <w:rFonts w:ascii="Times New Roman" w:hAnsi="Times New Roman"/>
          <w:sz w:val="24"/>
          <w:szCs w:val="24"/>
        </w:rPr>
        <w:t xml:space="preserve"> use the benchmark returns to mimic the return on the test assets. </w:t>
      </w:r>
      <w:r>
        <w:rPr>
          <w:rFonts w:ascii="Times New Roman" w:hAnsi="Times New Roman"/>
          <w:sz w:val="24"/>
          <w:szCs w:val="24"/>
        </w:rPr>
        <w:t>In that case the</w:t>
      </w:r>
      <w:r w:rsidRPr="00687B5E">
        <w:rPr>
          <w:rFonts w:ascii="Times New Roman" w:hAnsi="Times New Roman"/>
          <w:sz w:val="24"/>
          <w:szCs w:val="24"/>
        </w:rPr>
        <w:t xml:space="preserve"> test assets returns do not offer diversification </w:t>
      </w:r>
      <w:r w:rsidR="00383BF1">
        <w:rPr>
          <w:rFonts w:ascii="Times New Roman" w:hAnsi="Times New Roman"/>
          <w:sz w:val="24"/>
          <w:szCs w:val="24"/>
        </w:rPr>
        <w:t>benefits, and we</w:t>
      </w:r>
      <w:r w:rsidRPr="00687B5E">
        <w:rPr>
          <w:rFonts w:ascii="Times New Roman" w:hAnsi="Times New Roman"/>
          <w:sz w:val="24"/>
          <w:szCs w:val="24"/>
        </w:rPr>
        <w:t xml:space="preserve"> cannot reject </w:t>
      </w:r>
      <w:r>
        <w:rPr>
          <w:rFonts w:ascii="Times New Roman" w:hAnsi="Times New Roman"/>
          <w:sz w:val="24"/>
          <w:szCs w:val="24"/>
        </w:rPr>
        <w:t xml:space="preserve">the hypothesis </w:t>
      </w:r>
      <w:r w:rsidRPr="00687B5E">
        <w:rPr>
          <w:rFonts w:ascii="Times New Roman" w:hAnsi="Times New Roman"/>
          <w:sz w:val="24"/>
          <w:szCs w:val="24"/>
        </w:rPr>
        <w:t>that the frontier of the benchmark plus test assets returns is the same as the frontier generated by only the benchmark returns.</w:t>
      </w:r>
      <w:r>
        <w:t xml:space="preserve"> </w:t>
      </w:r>
    </w:p>
    <w:p w14:paraId="329FD81E" w14:textId="77777777" w:rsidR="00E16FB9" w:rsidRDefault="00E16FB9" w:rsidP="009E0B56">
      <w:pPr>
        <w:spacing w:line="360" w:lineRule="auto"/>
        <w:jc w:val="both"/>
        <w:rPr>
          <w:rFonts w:ascii="Times New Roman" w:hAnsi="Times New Roman"/>
          <w:sz w:val="24"/>
          <w:szCs w:val="24"/>
          <w:lang w:val="en-GB"/>
        </w:rPr>
      </w:pPr>
      <w:r w:rsidRPr="000E6048">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"author" : [ { "dropping-particle" : "", "family" : "Huberman", "given" : "Gur", "non-dropping-particle" : "", "parse-names" : false, "suffix" : "" }, { "dropping-particle" : "", "family" : "Kandel", "given" : "Shmuel", "non-dropping-particle" : "", "parse-names" : false, "suffix" : "" } ], "container-title" : "The Journal of Finance", "id" : "ITEM-1", "issue" : "4", "issued" : { "date-parts" : [ [ "1987" ] ] }, "page" : "873 - 888", "publisher" : "Blackwell Publishing for the American Finance Association", "title" : "Mean-Variance Spanning", "type" : "article-journal", "volume" : "42" }, "uris" : [ "http://www.mendeley.com/documents/?uuid=665db5c8-97b6-4a0f-b2d1-b6b6dffdfa5c" ] } ], "mendeley" : { "manualFormatting" : "Huberman and Kandel (1987)", "previouslyFormattedCitation" : "(Huberman &amp; Kandel, 1987)" }, "properties" : { "noteIndex" : 0 }, "schema" : "https://github.com/citation-style-language/schema/raw/master/csl-citation.json" }</w:instrText>
      </w:r>
      <w:r w:rsidRPr="000E6048">
        <w:rPr>
          <w:rFonts w:ascii="Times New Roman" w:hAnsi="Times New Roman"/>
          <w:sz w:val="24"/>
          <w:szCs w:val="24"/>
          <w:lang w:val="en-GB"/>
        </w:rPr>
        <w:fldChar w:fldCharType="separate"/>
      </w:r>
      <w:r w:rsidRPr="000E6048">
        <w:rPr>
          <w:rFonts w:ascii="Times New Roman" w:hAnsi="Times New Roman"/>
          <w:noProof/>
          <w:sz w:val="24"/>
          <w:szCs w:val="24"/>
          <w:lang w:val="en-GB"/>
        </w:rPr>
        <w:t>Huberman and Kandel (1987)</w:t>
      </w:r>
      <w:r w:rsidRPr="000E6048">
        <w:rPr>
          <w:rFonts w:ascii="Times New Roman" w:hAnsi="Times New Roman"/>
          <w:sz w:val="24"/>
          <w:szCs w:val="24"/>
          <w:lang w:val="en-GB"/>
        </w:rPr>
        <w:fldChar w:fldCharType="end"/>
      </w:r>
      <w:r>
        <w:rPr>
          <w:rFonts w:ascii="Times New Roman" w:hAnsi="Times New Roman"/>
          <w:sz w:val="24"/>
          <w:szCs w:val="24"/>
          <w:lang w:val="en-GB"/>
        </w:rPr>
        <w:t xml:space="preserve"> estimate equ</w:t>
      </w:r>
      <w:r w:rsidR="000400CF">
        <w:rPr>
          <w:rFonts w:ascii="Times New Roman" w:hAnsi="Times New Roman"/>
          <w:sz w:val="24"/>
          <w:szCs w:val="24"/>
          <w:lang w:val="en-GB"/>
        </w:rPr>
        <w:t>ation 3</w:t>
      </w:r>
      <w:r>
        <w:rPr>
          <w:rFonts w:ascii="Times New Roman" w:hAnsi="Times New Roman"/>
          <w:sz w:val="24"/>
          <w:szCs w:val="24"/>
          <w:lang w:val="en-GB"/>
        </w:rPr>
        <w:t xml:space="preserve"> </w:t>
      </w:r>
      <w:r w:rsidRPr="000E6048">
        <w:rPr>
          <w:rFonts w:ascii="Times New Roman" w:hAnsi="Times New Roman"/>
          <w:sz w:val="24"/>
          <w:szCs w:val="24"/>
          <w:lang w:val="en-GB"/>
        </w:rPr>
        <w:t>using OLS</w:t>
      </w:r>
      <w:r>
        <w:rPr>
          <w:rFonts w:ascii="Times New Roman" w:hAnsi="Times New Roman"/>
          <w:sz w:val="24"/>
          <w:szCs w:val="24"/>
          <w:lang w:val="en-GB"/>
        </w:rPr>
        <w:t xml:space="preserve">.  They propose testing the coefficient restrictions </w:t>
      </w:r>
      <w:r w:rsidRPr="000E6048">
        <w:rPr>
          <w:rFonts w:ascii="Times New Roman" w:hAnsi="Times New Roman"/>
          <w:sz w:val="24"/>
          <w:szCs w:val="24"/>
          <w:lang w:val="en-GB"/>
        </w:rPr>
        <w:t>α = 0 and β1</w:t>
      </w:r>
      <w:r w:rsidRPr="000E6048">
        <w:rPr>
          <w:rFonts w:ascii="Times New Roman" w:hAnsi="Times New Roman"/>
          <w:sz w:val="24"/>
          <w:szCs w:val="24"/>
          <w:vertAlign w:val="subscript"/>
          <w:lang w:val="en-GB"/>
        </w:rPr>
        <w:t>K</w:t>
      </w:r>
      <w:r w:rsidRPr="000E6048">
        <w:rPr>
          <w:rFonts w:ascii="Times New Roman" w:hAnsi="Times New Roman"/>
          <w:sz w:val="24"/>
          <w:szCs w:val="24"/>
          <w:lang w:val="en-GB"/>
        </w:rPr>
        <w:t xml:space="preserve"> =1</w:t>
      </w:r>
      <w:r>
        <w:rPr>
          <w:rFonts w:ascii="Times New Roman" w:hAnsi="Times New Roman"/>
          <w:sz w:val="24"/>
          <w:szCs w:val="24"/>
          <w:lang w:val="en-GB"/>
        </w:rPr>
        <w:t xml:space="preserve"> using a likelihood ratio test.  </w:t>
      </w:r>
      <w:r>
        <w:rPr>
          <w:rFonts w:ascii="Times New Roman" w:hAnsi="Times New Roman"/>
          <w:sz w:val="24"/>
          <w:szCs w:val="24"/>
          <w:lang w:val="en-GB"/>
        </w:rPr>
        <w:fldChar w:fldCharType="begin" w:fldLock="1"/>
      </w:r>
      <w:r w:rsidR="00CE6362">
        <w:rPr>
          <w:rFonts w:ascii="Times New Roman" w:hAnsi="Times New Roman"/>
          <w:sz w:val="24"/>
          <w:szCs w:val="24"/>
          <w:lang w:val="en-GB"/>
        </w:rPr>
        <w:instrText>ADDIN CSL_CITATION { "citationItems" : [ { "id" : "ITEM-1", "itemData" : { "ISSN" : "15297373", "abstract" : "In this paper, we conduct a comprehensive study of tests for mean-variance spanning. Under the regression framework of Huberman and Kandel (1987), we provide geometric interpretations not only for the popular likelihood ratio test, but also for two new spanning tests based on the Wald and Lagrange multiplier principles. Under normality assumption, we present the exact distributions of the three tests, analyze their power comprehensively. We find that the power is most driven by the difference of the global minimum-variance portfolios of the two minimum-variance frontiers, and it does not always align well with the economic significance. As an alternative, we provide a step-down test to allow better assessment of the power. Under general distributional assumptions, we provide a new spanning test based on the generalized method of moments (GMM), and evaluate its performance along with other GMM tests by simulation.", "author" : [ { "dropping-particle" : "", "family" : "Kan", "given" : "Raymond", "non-dropping-particle" : "", "parse-names" : false, "suffix" : "" }, { "dropping-particle" : "", "family" : "Zhou", "given" : "Guofu", "non-dropping-particle" : "", "parse-names" : false, "suffix" : "" } ], "container-title" : "Annals of Economics and Finance", "id" : "ITEM-1", "issue" : "1", "issued" : { "date-parts" : [ [ "2012" ] ] }, "page" : "139-187", "title" : "Tests of Mean-Variance Spanning", "type" : "article-journal", "volume" : "13" }, "uris" : [ "http://www.mendeley.com/documents/?uuid=d8edd4b3-ed0b-4f54-88d4-1c608dae84ed" ] } ], "mendeley" : { "manualFormatting" : "Kan &amp; Zhou (2012)", "previouslyFormattedCitation" : "(Kan &amp; Zhou, 2012)" }, "properties" : { "noteIndex" : 0 }, "schema" : "https://github.com/citation-style-language/schema/raw/master/csl-citation.json" }</w:instrText>
      </w:r>
      <w:r>
        <w:rPr>
          <w:rFonts w:ascii="Times New Roman" w:hAnsi="Times New Roman"/>
          <w:sz w:val="24"/>
          <w:szCs w:val="24"/>
          <w:lang w:val="en-GB"/>
        </w:rPr>
        <w:fldChar w:fldCharType="separate"/>
      </w:r>
      <w:r>
        <w:rPr>
          <w:rFonts w:ascii="Times New Roman" w:hAnsi="Times New Roman"/>
          <w:noProof/>
          <w:sz w:val="24"/>
          <w:szCs w:val="24"/>
          <w:lang w:val="en-GB"/>
        </w:rPr>
        <w:t>Kan &amp; Zhou (</w:t>
      </w:r>
      <w:r w:rsidRPr="001931AD">
        <w:rPr>
          <w:rFonts w:ascii="Times New Roman" w:hAnsi="Times New Roman"/>
          <w:noProof/>
          <w:sz w:val="24"/>
          <w:szCs w:val="24"/>
          <w:lang w:val="en-GB"/>
        </w:rPr>
        <w:t>2012)</w:t>
      </w:r>
      <w:r>
        <w:rPr>
          <w:rFonts w:ascii="Times New Roman" w:hAnsi="Times New Roman"/>
          <w:sz w:val="24"/>
          <w:szCs w:val="24"/>
          <w:lang w:val="en-GB"/>
        </w:rPr>
        <w:fldChar w:fldCharType="end"/>
      </w:r>
      <w:r>
        <w:rPr>
          <w:rFonts w:ascii="Times New Roman" w:hAnsi="Times New Roman"/>
          <w:sz w:val="24"/>
          <w:szCs w:val="24"/>
          <w:lang w:val="en-GB"/>
        </w:rPr>
        <w:t xml:space="preserve"> compare three methods to test the coefficient restrictions, the likelihood ratio test, the Wald test </w:t>
      </w:r>
      <w:r>
        <w:rPr>
          <w:rFonts w:ascii="Times New Roman" w:hAnsi="Times New Roman"/>
          <w:sz w:val="24"/>
          <w:szCs w:val="24"/>
          <w:lang w:val="en-GB"/>
        </w:rPr>
        <w:lastRenderedPageBreak/>
        <w:t xml:space="preserve">and the Lagrange Multiplier test, which they show to be closely related tests of mean variance spanning.  They show that although the power of the tests is difficult to gauge when N&gt;1, </w:t>
      </w:r>
      <w:r w:rsidRPr="006A7492">
        <w:rPr>
          <w:rFonts w:ascii="Times New Roman" w:hAnsi="Times New Roman"/>
          <w:sz w:val="24"/>
          <w:szCs w:val="24"/>
          <w:lang w:val="en-GB"/>
        </w:rPr>
        <w:t>in the case where N=1, the Wald test is the strongest of the three.</w:t>
      </w:r>
      <w:r>
        <w:rPr>
          <w:color w:val="FF0000"/>
        </w:rPr>
        <w:t xml:space="preserve">  </w:t>
      </w:r>
      <w:r w:rsidR="000400CF">
        <w:rPr>
          <w:rFonts w:ascii="Times New Roman" w:hAnsi="Times New Roman"/>
          <w:sz w:val="24"/>
          <w:szCs w:val="24"/>
          <w:lang w:val="en-GB"/>
        </w:rPr>
        <w:t>In our tests N=1, therefore we</w:t>
      </w:r>
      <w:r>
        <w:rPr>
          <w:rFonts w:ascii="Times New Roman" w:hAnsi="Times New Roman"/>
          <w:sz w:val="24"/>
          <w:szCs w:val="24"/>
          <w:lang w:val="en-GB"/>
        </w:rPr>
        <w:t xml:space="preserve"> proceed using the Wald test to test the coefficient restrictions.  </w:t>
      </w:r>
    </w:p>
    <w:p w14:paraId="3932C533" w14:textId="77777777" w:rsidR="000400CF" w:rsidRDefault="000400CF" w:rsidP="00B45F9D">
      <w:pPr>
        <w:pStyle w:val="Heading2"/>
        <w:rPr>
          <w:lang w:val="en-GB"/>
        </w:rPr>
      </w:pPr>
      <w:bookmarkStart w:id="0" w:name="_Toc383506312"/>
      <w:r>
        <w:rPr>
          <w:lang w:val="en-GB"/>
        </w:rPr>
        <w:t>4.3 Modified Value-at-Risk</w:t>
      </w:r>
      <w:bookmarkEnd w:id="0"/>
    </w:p>
    <w:p w14:paraId="6BC4083F" w14:textId="77777777" w:rsidR="000400CF" w:rsidRPr="00916C3C" w:rsidRDefault="000400CF" w:rsidP="004910FF">
      <w:pPr>
        <w:spacing w:line="360" w:lineRule="auto"/>
        <w:jc w:val="both"/>
        <w:rPr>
          <w:rFonts w:ascii="Times New Roman" w:hAnsi="Times New Roman"/>
          <w:sz w:val="24"/>
          <w:szCs w:val="24"/>
          <w:lang w:val="en-GB"/>
        </w:rPr>
      </w:pPr>
      <w:r>
        <w:rPr>
          <w:rFonts w:ascii="Times New Roman" w:hAnsi="Times New Roman"/>
          <w:sz w:val="24"/>
          <w:szCs w:val="24"/>
        </w:rPr>
        <w:t xml:space="preserve">In addition to Mean-Variance Spanning tests, </w:t>
      </w:r>
      <w:r w:rsidR="004910FF">
        <w:rPr>
          <w:rFonts w:ascii="Times New Roman" w:hAnsi="Times New Roman"/>
          <w:sz w:val="24"/>
          <w:szCs w:val="24"/>
        </w:rPr>
        <w:t xml:space="preserve">we </w:t>
      </w:r>
      <w:r>
        <w:rPr>
          <w:rFonts w:ascii="Times New Roman" w:hAnsi="Times New Roman"/>
          <w:sz w:val="24"/>
          <w:szCs w:val="24"/>
        </w:rPr>
        <w:t xml:space="preserve">consider </w:t>
      </w:r>
      <w:r w:rsidR="004910FF">
        <w:rPr>
          <w:rFonts w:ascii="Times New Roman" w:hAnsi="Times New Roman"/>
          <w:sz w:val="24"/>
          <w:szCs w:val="24"/>
        </w:rPr>
        <w:t>an additional methodology</w:t>
      </w:r>
      <w:r>
        <w:rPr>
          <w:rFonts w:ascii="Times New Roman" w:hAnsi="Times New Roman"/>
          <w:sz w:val="24"/>
          <w:szCs w:val="24"/>
        </w:rPr>
        <w:t xml:space="preserve"> that</w:t>
      </w:r>
      <w:r w:rsidR="004910FF">
        <w:rPr>
          <w:rFonts w:ascii="Times New Roman" w:hAnsi="Times New Roman"/>
          <w:sz w:val="24"/>
          <w:szCs w:val="24"/>
        </w:rPr>
        <w:t xml:space="preserve"> goes </w:t>
      </w:r>
      <w:r w:rsidRPr="008251BF">
        <w:rPr>
          <w:rFonts w:ascii="Times New Roman" w:hAnsi="Times New Roman"/>
          <w:sz w:val="24"/>
          <w:szCs w:val="24"/>
        </w:rPr>
        <w:t>beyond the mean-variance framework, modified Value-at-R</w:t>
      </w:r>
      <w:r>
        <w:rPr>
          <w:rFonts w:ascii="Times New Roman" w:hAnsi="Times New Roman"/>
          <w:sz w:val="24"/>
          <w:szCs w:val="24"/>
        </w:rPr>
        <w:t xml:space="preserve">isk.  </w:t>
      </w:r>
      <w:r w:rsidRPr="008251BF">
        <w:rPr>
          <w:rFonts w:ascii="Times New Roman" w:hAnsi="Times New Roman"/>
          <w:sz w:val="24"/>
          <w:szCs w:val="24"/>
        </w:rPr>
        <w:t xml:space="preserve">Standard Value-at-Risk calculates the maximum loss of a portfolio over a given period of time for a given probability level.   Risk measured by </w:t>
      </w:r>
      <w:r>
        <w:rPr>
          <w:rFonts w:ascii="Times New Roman" w:hAnsi="Times New Roman"/>
          <w:sz w:val="24"/>
          <w:szCs w:val="24"/>
        </w:rPr>
        <w:t xml:space="preserve">portfolio </w:t>
      </w:r>
      <w:r w:rsidRPr="008251BF">
        <w:rPr>
          <w:rFonts w:ascii="Times New Roman" w:hAnsi="Times New Roman"/>
          <w:sz w:val="24"/>
          <w:szCs w:val="24"/>
        </w:rPr>
        <w:t xml:space="preserve">standard deviation can be underestimated if returns are skewed or have excess kurtosis.  </w:t>
      </w:r>
      <w:r w:rsidRPr="008251BF">
        <w:rPr>
          <w:rFonts w:ascii="Times New Roman" w:hAnsi="Times New Roman"/>
          <w:sz w:val="24"/>
          <w:szCs w:val="24"/>
          <w:lang w:val="en-GB"/>
        </w:rPr>
        <w:t xml:space="preserve">Investors generally desire high positive skewness (more positive returns), and those with low tolerance for risk avoid high kurtosis (fat tails).  </w:t>
      </w:r>
      <w:r w:rsidRPr="008251BF">
        <w:rPr>
          <w:rFonts w:ascii="Times New Roman" w:hAnsi="Times New Roman"/>
          <w:sz w:val="24"/>
          <w:szCs w:val="24"/>
        </w:rPr>
        <w:t>The four-moment Modified Value-at-Risk (</w:t>
      </w:r>
      <w:proofErr w:type="spellStart"/>
      <w:r w:rsidRPr="008251BF">
        <w:rPr>
          <w:rFonts w:ascii="Times New Roman" w:hAnsi="Times New Roman"/>
          <w:sz w:val="24"/>
          <w:szCs w:val="24"/>
        </w:rPr>
        <w:t>MVaR</w:t>
      </w:r>
      <w:proofErr w:type="spellEnd"/>
      <w:r w:rsidRPr="008251BF">
        <w:rPr>
          <w:rFonts w:ascii="Times New Roman" w:hAnsi="Times New Roman"/>
          <w:sz w:val="24"/>
          <w:szCs w:val="24"/>
        </w:rPr>
        <w:t xml:space="preserve">), developed by </w:t>
      </w:r>
      <w:r w:rsidRPr="008251BF">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"1520-3255", "abstract" : "Based on the normal value-at-risk, we develop a new value-at-risk method called modified value-at-risk. This modified value-at-risk has the property to adjust the risk, measured by volatility alone, with the skewness and the kurtosis of the distribution of returns. The modified value-at-risk allows us to measure the risk of a portfolio with non-normally distributed assets like hedge funds or technology stocks and to solve for optimal portfolio by minimizing the modified value-at-risk at a given confidence level.", "author" : [ { "dropping-particle" : "", "family" : "Favre", "given" : "Laurent", "non-dropping-particle" : "", "parse-names" : false, "suffix" : "" }, { "dropping-particle" : "", "family" : "Galeano", "given" : "Jos\u00e9-Antonio", "non-dropping-particle" : "", "parse-names" : false, "suffix" : "" } ], "container-title" : "The Journal of Alternative Investments", "id" : "ITEM-1", "issue" : "2", "issued" : { "date-parts" : [ [ "2002", "1", "12" ] ] }, "page" : "21-25", "publisher" : "Institutional Investor Journals", "title" : "Mean-Modified Value-at-Risk Optimization with Hedge Funds", "type" : "article-journal", "volume" : "5" }, "uris" : [ "http://www.mendeley.com/documents/?uuid=51f1bcf6-4f94-421b-9063-b742d6442e2d" ] } ], "mendeley" : { "manualFormatting" : "Favre &amp; Galeano (2002)", "previouslyFormattedCitation" : "(Favre &amp; Galeano, 2002)" }, "properties" : { "noteIndex" : 0 }, "schema" : "https://github.com/citation-style-language/schema/raw/master/csl-citation.json" }</w:instrText>
      </w:r>
      <w:r w:rsidRPr="008251BF">
        <w:rPr>
          <w:rFonts w:ascii="Times New Roman" w:hAnsi="Times New Roman"/>
          <w:sz w:val="24"/>
          <w:szCs w:val="24"/>
        </w:rPr>
        <w:fldChar w:fldCharType="separate"/>
      </w:r>
      <w:r w:rsidRPr="008251BF">
        <w:rPr>
          <w:rFonts w:ascii="Times New Roman" w:hAnsi="Times New Roman"/>
          <w:noProof/>
          <w:sz w:val="24"/>
          <w:szCs w:val="24"/>
        </w:rPr>
        <w:t>Favre &amp; Galeano (2002)</w:t>
      </w:r>
      <w:r w:rsidRPr="008251BF">
        <w:rPr>
          <w:rFonts w:ascii="Times New Roman" w:hAnsi="Times New Roman"/>
          <w:sz w:val="24"/>
          <w:szCs w:val="24"/>
        </w:rPr>
        <w:fldChar w:fldCharType="end"/>
      </w:r>
      <w:r w:rsidRPr="008251BF">
        <w:rPr>
          <w:rFonts w:ascii="Times New Roman" w:hAnsi="Times New Roman"/>
          <w:sz w:val="24"/>
          <w:szCs w:val="24"/>
        </w:rPr>
        <w:t xml:space="preserve"> and used by </w:t>
      </w:r>
      <w:r w:rsidRPr="008251BF">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"03784266", "abstract" : "Previous research claims that low constant correlations among international stock indices create substantial risk-reduction from diversification. We contend that only using constant correlations is too simplistic an approach. We examine international diversification by: (1) using conditional correlations, (2) evaluating tail risk, including the effect of skewness and kurtosis, and (3) examining the possible tradeoffs of standard deviation with correlation, skewness, and kurtosis. We show that conclusions concerning diversification based solely on constant correlations across markets can be misleading, since the diversification benefits are time-varying, are affected by non-normality, and depend on the benchmark (country) employed. Finally, tradeoffs do exist between standard deviation and the other risk factors.", "author" : [ { "dropping-particle" : "", "family" : "You", "given" : "Leyuan", "non-dropping-particle" : "", "parse-names" : false, "suffix" : "" }, { "dropping-particle" : "", "family" : "Daigler", "given" : "Robert T.", "non-dropping-particle" : "", "parse-names" : false, "suffix" : "" } ], "container-title" : "Journal of Banking &amp; Finance", "id" : "ITEM-1", "issue" : "1", "issued" : { "date-parts" : [ [ "2010", "1" ] ] }, "page" : "163-173", "title" : "Is international diversification really beneficial?", "type" : "article-journal", "volume" : "34" }, "uris" : [ "http://www.mendeley.com/documents/?uuid=28bbe907-71ab-4436-bafb-9531ad27b002" ] } ], "mendeley" : { "manualFormatting" : "You &amp; Daigler (2010)", "previouslyFormattedCitation" : "(You &amp; Daigler, 2010)" }, "properties" : { "noteIndex" : 0 }, "schema" : "https://github.com/citation-style-language/schema/raw/master/csl-citation.json" }</w:instrText>
      </w:r>
      <w:r w:rsidRPr="008251BF">
        <w:rPr>
          <w:rFonts w:ascii="Times New Roman" w:hAnsi="Times New Roman"/>
          <w:sz w:val="24"/>
          <w:szCs w:val="24"/>
        </w:rPr>
        <w:fldChar w:fldCharType="separate"/>
      </w:r>
      <w:r w:rsidRPr="008251BF">
        <w:rPr>
          <w:rFonts w:ascii="Times New Roman" w:hAnsi="Times New Roman"/>
          <w:noProof/>
          <w:sz w:val="24"/>
          <w:szCs w:val="24"/>
        </w:rPr>
        <w:t>You &amp; Daigler (2010)</w:t>
      </w:r>
      <w:r w:rsidRPr="008251BF">
        <w:rPr>
          <w:rFonts w:ascii="Times New Roman" w:hAnsi="Times New Roman"/>
          <w:sz w:val="24"/>
          <w:szCs w:val="24"/>
        </w:rPr>
        <w:fldChar w:fldCharType="end"/>
      </w:r>
      <w:r w:rsidRPr="008251BF">
        <w:rPr>
          <w:rFonts w:ascii="Times New Roman" w:hAnsi="Times New Roman"/>
          <w:sz w:val="24"/>
          <w:szCs w:val="24"/>
        </w:rPr>
        <w:t xml:space="preserve"> and </w:t>
      </w:r>
      <w:r w:rsidRPr="008251BF">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"13547798", "abstract" : "Abstract In spite of the popularity of international portfolio diversification theory, extant empirical literature shows that investors prefer domestic assets and as a result, many studies argue that investors\u2019 portfolios are largely suboptimal. This paper examines whether British investors need to diversify their portfolios internation- ally to gain performance benefits from international markets or can they obtain these benefits by mimicking the portfolios with domestically traded assets. The results confirm that it is possible to mimic the performance of foreign equity with domestic equity. Indeed, the pay-offs from homemade portfolios outperform those from international portfolios regardless of the periodic variation in the overall performance of the UK market vis-` a-vis foreign markets. The superiority of homemade portfolio is more prominent in recent years and is enhanced by the increased internationalisation of developed capital markets. Therefore, investors\u2019 home bias is not suboptimal.", "author" : [ { "dropping-particle" : "", "family" : "Antoniou", "given" : "Antonios", "non-dropping-particle" : "", "parse-names" : false, "suffix" : "" }, { "dropping-particle" : "", "family" : "Olusi", "given" : "Olasupo", "non-dropping-particle" : "", "parse-names" : false, "suffix" : "" }, { "dropping-particle" : "", "family" : "Paudyal", "given" : "Krishna", "non-dropping-particle" : "", "parse-names" : false, "suffix" : "" } ], "container-title" : "European Financial Management", "id" : "ITEM-1", "issue" : "3", "issued" : { "date-parts" : [ [ "2010", "4", "27" ] ] }, "page" : "449-479", "title" : "Equity Home-Bias: A Suboptimal Choice for UK investors?", "type" : "article-journal", "volume" : "16" }, "uris" : [ "http://www.mendeley.com/documents/?uuid=6b85cd01-4e75-4bf0-ac1a-8dbda29fd984" ] } ], "mendeley" : { "manualFormatting" : "Antoniou et al. (2010)", "previouslyFormattedCitation" : "(Antoniou et al., 2010)" }, "properties" : { "noteIndex" : 0 }, "schema" : "https://github.com/citation-style-language/schema/raw/master/csl-citation.json" }</w:instrText>
      </w:r>
      <w:r w:rsidRPr="008251BF">
        <w:rPr>
          <w:rFonts w:ascii="Times New Roman" w:hAnsi="Times New Roman"/>
          <w:sz w:val="24"/>
          <w:szCs w:val="24"/>
        </w:rPr>
        <w:fldChar w:fldCharType="separate"/>
      </w:r>
      <w:r w:rsidRPr="008251BF">
        <w:rPr>
          <w:rFonts w:ascii="Times New Roman" w:hAnsi="Times New Roman"/>
          <w:noProof/>
          <w:sz w:val="24"/>
          <w:szCs w:val="24"/>
        </w:rPr>
        <w:t>Antoniou et al. (2010)</w:t>
      </w:r>
      <w:r w:rsidRPr="008251BF">
        <w:rPr>
          <w:rFonts w:ascii="Times New Roman" w:hAnsi="Times New Roman"/>
          <w:sz w:val="24"/>
          <w:szCs w:val="24"/>
        </w:rPr>
        <w:fldChar w:fldCharType="end"/>
      </w:r>
      <w:r w:rsidRPr="008251BF">
        <w:rPr>
          <w:rFonts w:ascii="Times New Roman" w:hAnsi="Times New Roman"/>
          <w:sz w:val="24"/>
          <w:szCs w:val="24"/>
        </w:rPr>
        <w:t xml:space="preserve"> incorporates skew and kurtosis into the calculation of the maximum loss</w:t>
      </w:r>
      <w:r>
        <w:rPr>
          <w:rFonts w:ascii="Times New Roman" w:hAnsi="Times New Roman"/>
          <w:sz w:val="24"/>
          <w:szCs w:val="24"/>
        </w:rPr>
        <w:t xml:space="preserve"> that a portfolio is expected to experience over a given period</w:t>
      </w:r>
      <w:r w:rsidRPr="008251BF">
        <w:rPr>
          <w:rFonts w:ascii="Times New Roman" w:hAnsi="Times New Roman"/>
          <w:sz w:val="24"/>
          <w:szCs w:val="24"/>
        </w:rPr>
        <w:t xml:space="preserve">.  The two-moment </w:t>
      </w:r>
      <w:proofErr w:type="spellStart"/>
      <w:r w:rsidRPr="008251BF">
        <w:rPr>
          <w:rFonts w:ascii="Times New Roman" w:hAnsi="Times New Roman"/>
          <w:sz w:val="24"/>
          <w:szCs w:val="24"/>
        </w:rPr>
        <w:t>VaR</w:t>
      </w:r>
      <w:proofErr w:type="spellEnd"/>
      <w:r w:rsidRPr="008251BF">
        <w:rPr>
          <w:rFonts w:ascii="Times New Roman" w:hAnsi="Times New Roman"/>
          <w:sz w:val="24"/>
          <w:szCs w:val="24"/>
        </w:rPr>
        <w:t xml:space="preserve"> is a special case of the four-moment </w:t>
      </w:r>
      <w:proofErr w:type="spellStart"/>
      <w:r w:rsidRPr="008251BF">
        <w:rPr>
          <w:rFonts w:ascii="Times New Roman" w:hAnsi="Times New Roman"/>
          <w:sz w:val="24"/>
          <w:szCs w:val="24"/>
        </w:rPr>
        <w:t>VaR</w:t>
      </w:r>
      <w:proofErr w:type="spellEnd"/>
      <w:r w:rsidRPr="008251BF">
        <w:rPr>
          <w:rFonts w:ascii="Times New Roman" w:hAnsi="Times New Roman"/>
          <w:sz w:val="24"/>
          <w:szCs w:val="24"/>
        </w:rPr>
        <w:t xml:space="preserve"> when the skewness and excess kurtosis are zero.  </w:t>
      </w:r>
      <w:r w:rsidRPr="00916C3C">
        <w:rPr>
          <w:rFonts w:ascii="Times New Roman" w:hAnsi="Times New Roman"/>
          <w:sz w:val="24"/>
          <w:szCs w:val="24"/>
          <w:lang w:val="en-GB"/>
        </w:rPr>
        <w:t xml:space="preserve">The number of standard deviations specify the probability of this loss occurring. </w:t>
      </w:r>
      <w:r w:rsidR="009078AA">
        <w:rPr>
          <w:rFonts w:ascii="Times New Roman" w:hAnsi="Times New Roman"/>
          <w:sz w:val="24"/>
          <w:szCs w:val="24"/>
          <w:lang w:val="en-GB"/>
        </w:rPr>
        <w:t xml:space="preserve">The four-moment </w:t>
      </w:r>
      <w:proofErr w:type="spellStart"/>
      <w:r w:rsidR="009078AA">
        <w:rPr>
          <w:rFonts w:ascii="Times New Roman" w:hAnsi="Times New Roman"/>
          <w:sz w:val="24"/>
          <w:szCs w:val="24"/>
          <w:lang w:val="en-GB"/>
        </w:rPr>
        <w:t>VaR</w:t>
      </w:r>
      <w:proofErr w:type="spellEnd"/>
      <w:r w:rsidR="009078AA">
        <w:rPr>
          <w:rFonts w:ascii="Times New Roman" w:hAnsi="Times New Roman"/>
          <w:sz w:val="24"/>
          <w:szCs w:val="24"/>
          <w:lang w:val="en-GB"/>
        </w:rPr>
        <w:t xml:space="preserve"> developed by </w:t>
      </w:r>
      <w:r w:rsidRPr="00916C3C">
        <w:rPr>
          <w:rFonts w:ascii="Times New Roman" w:hAnsi="Times New Roman"/>
          <w:sz w:val="24"/>
          <w:szCs w:val="24"/>
          <w:lang w:val="en-GB"/>
        </w:rPr>
        <w:t xml:space="preserve">Favre and </w:t>
      </w:r>
      <w:proofErr w:type="spellStart"/>
      <w:r w:rsidRPr="00916C3C">
        <w:rPr>
          <w:rFonts w:ascii="Times New Roman" w:hAnsi="Times New Roman"/>
          <w:sz w:val="24"/>
          <w:szCs w:val="24"/>
          <w:lang w:val="en-GB"/>
        </w:rPr>
        <w:t>Galeano</w:t>
      </w:r>
      <w:proofErr w:type="spellEnd"/>
      <w:r w:rsidRPr="00916C3C">
        <w:rPr>
          <w:rFonts w:ascii="Times New Roman" w:hAnsi="Times New Roman"/>
          <w:sz w:val="24"/>
          <w:szCs w:val="24"/>
          <w:lang w:val="en-GB"/>
        </w:rPr>
        <w:t xml:space="preserve"> (2002) </w:t>
      </w:r>
      <w:r w:rsidR="009078AA">
        <w:rPr>
          <w:rFonts w:ascii="Times New Roman" w:hAnsi="Times New Roman"/>
          <w:sz w:val="24"/>
          <w:szCs w:val="24"/>
          <w:lang w:val="en-GB"/>
        </w:rPr>
        <w:t>is as follows:</w:t>
      </w:r>
    </w:p>
    <w:p w14:paraId="5A7D471B" w14:textId="77777777" w:rsidR="000400CF" w:rsidRPr="00166C38" w:rsidRDefault="000400CF" w:rsidP="000400CF">
      <w:pPr>
        <w:spacing w:line="360" w:lineRule="auto"/>
        <w:rPr>
          <w:rFonts w:ascii="Times New Roman" w:hAnsi="Times New Roman"/>
          <w:sz w:val="24"/>
          <w:szCs w:val="24"/>
          <w:lang w:val="en-GB"/>
        </w:rPr>
      </w:pPr>
      <m:oMath>
        <m:r>
          <w:rPr>
            <w:rFonts w:ascii="Cambria Math" w:hAnsi="Cambria Math"/>
            <w:sz w:val="24"/>
            <w:szCs w:val="24"/>
            <w:lang w:val="en-GB"/>
          </w:rPr>
          <m:t>Modified VaR= -</m:t>
        </m:r>
        <m:sSub>
          <m:sSubPr>
            <m:ctrlPr>
              <w:rPr>
                <w:rFonts w:ascii="Cambria Math" w:hAnsi="Cambria Math"/>
                <w:i/>
                <w:sz w:val="24"/>
                <w:szCs w:val="24"/>
                <w:lang w:val="en-GB"/>
              </w:rPr>
            </m:ctrlPr>
          </m:sSubPr>
          <m:e>
            <m:r>
              <w:rPr>
                <w:rFonts w:ascii="Cambria Math" w:hAnsi="Cambria Math"/>
                <w:sz w:val="24"/>
                <w:szCs w:val="24"/>
                <w:lang w:val="en-GB"/>
              </w:rPr>
              <m:t>μ</m:t>
            </m:r>
          </m:e>
          <m:sub>
            <m:r>
              <w:rPr>
                <w:rFonts w:ascii="Cambria Math" w:hAnsi="Cambria Math"/>
                <w:sz w:val="24"/>
                <w:szCs w:val="24"/>
                <w:lang w:val="en-GB"/>
              </w:rPr>
              <m:t>p</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c</m:t>
            </m:r>
          </m:sub>
        </m:sSub>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6</m:t>
            </m:r>
          </m:den>
        </m:f>
        <m:d>
          <m:dPr>
            <m:ctrlPr>
              <w:rPr>
                <w:rFonts w:ascii="Cambria Math" w:hAnsi="Cambria Math"/>
                <w:i/>
                <w:sz w:val="24"/>
                <w:szCs w:val="24"/>
                <w:lang w:val="en-GB"/>
              </w:rPr>
            </m:ctrlPr>
          </m:dPr>
          <m:e>
            <m:sSubSup>
              <m:sSubSupPr>
                <m:ctrlPr>
                  <w:rPr>
                    <w:rFonts w:ascii="Cambria Math" w:hAnsi="Cambria Math"/>
                    <w:i/>
                    <w:sz w:val="24"/>
                    <w:szCs w:val="24"/>
                    <w:lang w:val="en-GB"/>
                  </w:rPr>
                </m:ctrlPr>
              </m:sSubSupPr>
              <m:e>
                <m:r>
                  <w:rPr>
                    <w:rFonts w:ascii="Cambria Math" w:hAnsi="Cambria Math"/>
                    <w:sz w:val="24"/>
                    <w:szCs w:val="24"/>
                    <w:lang w:val="en-GB"/>
                  </w:rPr>
                  <m:t>z</m:t>
                </m:r>
              </m:e>
              <m:sub>
                <m:r>
                  <w:rPr>
                    <w:rFonts w:ascii="Cambria Math" w:hAnsi="Cambria Math"/>
                    <w:sz w:val="24"/>
                    <w:szCs w:val="24"/>
                    <w:lang w:val="en-GB"/>
                  </w:rPr>
                  <m:t>c</m:t>
                </m:r>
              </m:sub>
              <m:sup>
                <m:r>
                  <w:rPr>
                    <w:rFonts w:ascii="Cambria Math" w:hAnsi="Cambria Math"/>
                    <w:sz w:val="24"/>
                    <w:szCs w:val="24"/>
                    <w:lang w:val="en-GB"/>
                  </w:rPr>
                  <m:t>2</m:t>
                </m:r>
              </m:sup>
            </m:sSubSup>
            <m:r>
              <w:rPr>
                <w:rFonts w:ascii="Cambria Math" w:hAnsi="Cambria Math"/>
                <w:sz w:val="24"/>
                <w:szCs w:val="24"/>
                <w:lang w:val="en-GB"/>
              </w:rPr>
              <m:t>-1</m:t>
            </m:r>
          </m:e>
        </m:d>
        <m:sSub>
          <m:sSubPr>
            <m:ctrlPr>
              <w:rPr>
                <w:rFonts w:ascii="Cambria Math" w:hAnsi="Cambria Math"/>
                <w:i/>
                <w:sz w:val="24"/>
                <w:szCs w:val="24"/>
                <w:lang w:val="en-GB"/>
              </w:rPr>
            </m:ctrlPr>
          </m:sSubPr>
          <m:e>
            <m:r>
              <w:rPr>
                <w:rFonts w:ascii="Cambria Math" w:hAnsi="Cambria Math"/>
                <w:sz w:val="24"/>
                <w:szCs w:val="24"/>
                <w:lang w:val="en-GB"/>
              </w:rPr>
              <m:t>S</m:t>
            </m:r>
          </m:e>
          <m:sub>
            <m:r>
              <w:rPr>
                <w:rFonts w:ascii="Cambria Math" w:hAnsi="Cambria Math"/>
                <w:sz w:val="24"/>
                <w:szCs w:val="24"/>
                <w:lang w:val="en-GB"/>
              </w:rPr>
              <m:t>P</m:t>
            </m:r>
          </m:sub>
        </m:sSub>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24</m:t>
            </m:r>
          </m:den>
        </m:f>
        <m:d>
          <m:dPr>
            <m:ctrlPr>
              <w:rPr>
                <w:rFonts w:ascii="Cambria Math" w:hAnsi="Cambria Math"/>
                <w:i/>
                <w:sz w:val="24"/>
                <w:szCs w:val="24"/>
                <w:lang w:val="en-GB"/>
              </w:rPr>
            </m:ctrlPr>
          </m:dPr>
          <m:e>
            <m:sSubSup>
              <m:sSubSupPr>
                <m:ctrlPr>
                  <w:rPr>
                    <w:rFonts w:ascii="Cambria Math" w:hAnsi="Cambria Math"/>
                    <w:i/>
                    <w:sz w:val="24"/>
                    <w:szCs w:val="24"/>
                    <w:lang w:val="en-GB"/>
                  </w:rPr>
                </m:ctrlPr>
              </m:sSubSupPr>
              <m:e>
                <m:r>
                  <w:rPr>
                    <w:rFonts w:ascii="Cambria Math" w:hAnsi="Cambria Math"/>
                    <w:sz w:val="24"/>
                    <w:szCs w:val="24"/>
                    <w:lang w:val="en-GB"/>
                  </w:rPr>
                  <m:t>z</m:t>
                </m:r>
              </m:e>
              <m:sub>
                <m:r>
                  <w:rPr>
                    <w:rFonts w:ascii="Cambria Math" w:hAnsi="Cambria Math"/>
                    <w:sz w:val="24"/>
                    <w:szCs w:val="24"/>
                    <w:lang w:val="en-GB"/>
                  </w:rPr>
                  <m:t>c</m:t>
                </m:r>
              </m:sub>
              <m:sup>
                <m:r>
                  <w:rPr>
                    <w:rFonts w:ascii="Cambria Math" w:hAnsi="Cambria Math"/>
                    <w:sz w:val="24"/>
                    <w:szCs w:val="24"/>
                    <w:lang w:val="en-GB"/>
                  </w:rPr>
                  <m:t>3</m:t>
                </m:r>
              </m:sup>
            </m:sSubSup>
            <m:r>
              <w:rPr>
                <w:rFonts w:ascii="Cambria Math" w:hAnsi="Cambria Math"/>
                <w:sz w:val="24"/>
                <w:szCs w:val="24"/>
                <w:lang w:val="en-GB"/>
              </w:rPr>
              <m:t>-3</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c</m:t>
                </m:r>
              </m:sub>
            </m:sSub>
          </m:e>
        </m:d>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P</m:t>
            </m:r>
          </m:sub>
        </m:sSub>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36</m:t>
            </m:r>
          </m:den>
        </m:f>
        <m:d>
          <m:dPr>
            <m:ctrlPr>
              <w:rPr>
                <w:rFonts w:ascii="Cambria Math" w:hAnsi="Cambria Math"/>
                <w:i/>
                <w:sz w:val="24"/>
                <w:szCs w:val="24"/>
                <w:lang w:val="en-GB"/>
              </w:rPr>
            </m:ctrlPr>
          </m:dPr>
          <m:e>
            <m:r>
              <w:rPr>
                <w:rFonts w:ascii="Cambria Math" w:hAnsi="Cambria Math"/>
                <w:sz w:val="24"/>
                <w:szCs w:val="24"/>
                <w:lang w:val="en-GB"/>
              </w:rPr>
              <m:t>2</m:t>
            </m:r>
            <m:sSubSup>
              <m:sSubSupPr>
                <m:ctrlPr>
                  <w:rPr>
                    <w:rFonts w:ascii="Cambria Math" w:hAnsi="Cambria Math"/>
                    <w:i/>
                    <w:sz w:val="24"/>
                    <w:szCs w:val="24"/>
                    <w:lang w:val="en-GB"/>
                  </w:rPr>
                </m:ctrlPr>
              </m:sSubSupPr>
              <m:e>
                <m:r>
                  <w:rPr>
                    <w:rFonts w:ascii="Cambria Math" w:hAnsi="Cambria Math"/>
                    <w:sz w:val="24"/>
                    <w:szCs w:val="24"/>
                    <w:lang w:val="en-GB"/>
                  </w:rPr>
                  <m:t>z</m:t>
                </m:r>
              </m:e>
              <m:sub>
                <m:r>
                  <w:rPr>
                    <w:rFonts w:ascii="Cambria Math" w:hAnsi="Cambria Math"/>
                    <w:sz w:val="24"/>
                    <w:szCs w:val="24"/>
                    <w:lang w:val="en-GB"/>
                  </w:rPr>
                  <m:t>c</m:t>
                </m:r>
              </m:sub>
              <m:sup>
                <m:r>
                  <w:rPr>
                    <w:rFonts w:ascii="Cambria Math" w:hAnsi="Cambria Math"/>
                    <w:sz w:val="24"/>
                    <w:szCs w:val="24"/>
                    <w:lang w:val="en-GB"/>
                  </w:rPr>
                  <m:t>3</m:t>
                </m:r>
              </m:sup>
            </m:sSubSup>
            <m:r>
              <w:rPr>
                <w:rFonts w:ascii="Cambria Math" w:hAnsi="Cambria Math"/>
                <w:sz w:val="24"/>
                <w:szCs w:val="24"/>
                <w:lang w:val="en-GB"/>
              </w:rPr>
              <m:t>-5</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C</m:t>
                </m:r>
              </m:sub>
            </m:sSub>
          </m:e>
        </m:d>
        <m:sSubSup>
          <m:sSubSupPr>
            <m:ctrlPr>
              <w:rPr>
                <w:rFonts w:ascii="Cambria Math" w:hAnsi="Cambria Math"/>
                <w:i/>
                <w:sz w:val="24"/>
                <w:szCs w:val="24"/>
                <w:lang w:val="en-GB"/>
              </w:rPr>
            </m:ctrlPr>
          </m:sSubSupPr>
          <m:e>
            <m:r>
              <w:rPr>
                <w:rFonts w:ascii="Cambria Math" w:hAnsi="Cambria Math"/>
                <w:sz w:val="24"/>
                <w:szCs w:val="24"/>
                <w:lang w:val="en-GB"/>
              </w:rPr>
              <m:t>S</m:t>
            </m:r>
          </m:e>
          <m:sub>
            <m:r>
              <w:rPr>
                <w:rFonts w:ascii="Cambria Math" w:hAnsi="Cambria Math"/>
                <w:sz w:val="24"/>
                <w:szCs w:val="24"/>
                <w:lang w:val="en-GB"/>
              </w:rPr>
              <m:t>P</m:t>
            </m:r>
          </m:sub>
          <m:sup>
            <m:r>
              <w:rPr>
                <w:rFonts w:ascii="Cambria Math" w:hAnsi="Cambria Math"/>
                <w:sz w:val="24"/>
                <w:szCs w:val="24"/>
                <w:lang w:val="en-GB"/>
              </w:rPr>
              <m:t>2</m:t>
            </m:r>
          </m:sup>
        </m:sSubSup>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P</m:t>
            </m:r>
          </m:sub>
        </m:sSub>
      </m:oMath>
      <w:r w:rsidR="00166C38">
        <w:rPr>
          <w:rFonts w:ascii="Times New Roman" w:eastAsiaTheme="minorEastAsia" w:hAnsi="Times New Roman"/>
          <w:sz w:val="24"/>
          <w:szCs w:val="24"/>
          <w:lang w:val="en-GB"/>
        </w:rPr>
        <w:t xml:space="preserve">      (7)</w:t>
      </w:r>
    </w:p>
    <w:p w14:paraId="131DB825" w14:textId="77777777" w:rsidR="000400CF" w:rsidRDefault="000400CF" w:rsidP="004910FF">
      <w:pPr>
        <w:spacing w:line="360" w:lineRule="auto"/>
        <w:jc w:val="both"/>
        <w:rPr>
          <w:rFonts w:ascii="Times New Roman" w:hAnsi="Times New Roman"/>
          <w:sz w:val="24"/>
          <w:szCs w:val="24"/>
        </w:rPr>
      </w:pPr>
      <w:r w:rsidRPr="00916C3C">
        <w:rPr>
          <w:rFonts w:ascii="Times New Roman" w:hAnsi="Times New Roman"/>
          <w:sz w:val="24"/>
          <w:szCs w:val="24"/>
          <w:lang w:val="en-GB"/>
        </w:rPr>
        <w:t xml:space="preserve">Where </w:t>
      </w:r>
      <w:proofErr w:type="spellStart"/>
      <w:r w:rsidRPr="00916C3C">
        <w:rPr>
          <w:rFonts w:ascii="Times New Roman" w:hAnsi="Times New Roman"/>
          <w:sz w:val="24"/>
          <w:szCs w:val="24"/>
          <w:lang w:val="en-GB"/>
        </w:rPr>
        <w:t>μ</w:t>
      </w:r>
      <w:r w:rsidRPr="00916C3C">
        <w:rPr>
          <w:rFonts w:ascii="Times New Roman" w:hAnsi="Times New Roman"/>
          <w:sz w:val="24"/>
          <w:szCs w:val="24"/>
          <w:vertAlign w:val="subscript"/>
          <w:lang w:val="en-GB"/>
        </w:rPr>
        <w:t>p</w:t>
      </w:r>
      <w:proofErr w:type="spellEnd"/>
      <w:r w:rsidRPr="00916C3C">
        <w:rPr>
          <w:rFonts w:ascii="Times New Roman" w:hAnsi="Times New Roman"/>
          <w:sz w:val="24"/>
          <w:szCs w:val="24"/>
          <w:lang w:val="en-GB"/>
        </w:rPr>
        <w:t xml:space="preserve">, </w:t>
      </w:r>
      <w:proofErr w:type="spellStart"/>
      <w:r w:rsidRPr="00916C3C">
        <w:rPr>
          <w:rFonts w:ascii="Times New Roman" w:hAnsi="Times New Roman"/>
          <w:sz w:val="24"/>
          <w:szCs w:val="24"/>
          <w:lang w:val="en-GB"/>
        </w:rPr>
        <w:t>σ</w:t>
      </w:r>
      <w:r w:rsidRPr="00916C3C">
        <w:rPr>
          <w:rFonts w:ascii="Times New Roman" w:hAnsi="Times New Roman"/>
          <w:sz w:val="24"/>
          <w:szCs w:val="24"/>
          <w:vertAlign w:val="subscript"/>
          <w:lang w:val="en-GB"/>
        </w:rPr>
        <w:t>p</w:t>
      </w:r>
      <w:proofErr w:type="spellEnd"/>
      <w:r w:rsidRPr="00916C3C">
        <w:rPr>
          <w:rFonts w:ascii="Times New Roman" w:hAnsi="Times New Roman"/>
          <w:sz w:val="24"/>
          <w:szCs w:val="24"/>
          <w:lang w:val="en-GB"/>
        </w:rPr>
        <w:t xml:space="preserve">, </w:t>
      </w:r>
      <w:proofErr w:type="spellStart"/>
      <w:r w:rsidRPr="00916C3C">
        <w:rPr>
          <w:rFonts w:ascii="Times New Roman" w:hAnsi="Times New Roman"/>
          <w:sz w:val="24"/>
          <w:szCs w:val="24"/>
          <w:lang w:val="en-GB"/>
        </w:rPr>
        <w:t>S</w:t>
      </w:r>
      <w:r w:rsidRPr="00916C3C">
        <w:rPr>
          <w:rFonts w:ascii="Times New Roman" w:hAnsi="Times New Roman"/>
          <w:sz w:val="24"/>
          <w:szCs w:val="24"/>
          <w:vertAlign w:val="subscript"/>
          <w:lang w:val="en-GB"/>
        </w:rPr>
        <w:t>p</w:t>
      </w:r>
      <w:proofErr w:type="spellEnd"/>
      <w:r w:rsidRPr="00916C3C">
        <w:rPr>
          <w:rFonts w:ascii="Times New Roman" w:hAnsi="Times New Roman"/>
          <w:sz w:val="24"/>
          <w:szCs w:val="24"/>
          <w:lang w:val="en-GB"/>
        </w:rPr>
        <w:t xml:space="preserve">, and </w:t>
      </w:r>
      <w:proofErr w:type="spellStart"/>
      <w:r w:rsidRPr="00916C3C">
        <w:rPr>
          <w:rFonts w:ascii="Times New Roman" w:hAnsi="Times New Roman"/>
          <w:sz w:val="24"/>
          <w:szCs w:val="24"/>
          <w:lang w:val="en-GB"/>
        </w:rPr>
        <w:t>K</w:t>
      </w:r>
      <w:r w:rsidRPr="00916C3C">
        <w:rPr>
          <w:rFonts w:ascii="Times New Roman" w:hAnsi="Times New Roman"/>
          <w:sz w:val="24"/>
          <w:szCs w:val="24"/>
          <w:vertAlign w:val="subscript"/>
          <w:lang w:val="en-GB"/>
        </w:rPr>
        <w:t>p</w:t>
      </w:r>
      <w:proofErr w:type="spellEnd"/>
      <w:r w:rsidRPr="00916C3C">
        <w:rPr>
          <w:rFonts w:ascii="Times New Roman" w:hAnsi="Times New Roman"/>
          <w:sz w:val="24"/>
          <w:szCs w:val="24"/>
          <w:vertAlign w:val="subscript"/>
          <w:lang w:val="en-GB"/>
        </w:rPr>
        <w:t xml:space="preserve"> </w:t>
      </w:r>
      <w:r w:rsidRPr="00916C3C">
        <w:rPr>
          <w:rFonts w:ascii="Times New Roman" w:hAnsi="Times New Roman"/>
          <w:sz w:val="24"/>
          <w:szCs w:val="24"/>
          <w:lang w:val="en-GB"/>
        </w:rPr>
        <w:t>are the first four moments of portfolio P (</w:t>
      </w:r>
      <w:proofErr w:type="spellStart"/>
      <w:r w:rsidRPr="00916C3C">
        <w:rPr>
          <w:rFonts w:ascii="Times New Roman" w:hAnsi="Times New Roman"/>
          <w:sz w:val="24"/>
          <w:szCs w:val="24"/>
          <w:lang w:val="en-GB"/>
        </w:rPr>
        <w:t>Kp</w:t>
      </w:r>
      <w:proofErr w:type="spellEnd"/>
      <w:r w:rsidRPr="00916C3C">
        <w:rPr>
          <w:rFonts w:ascii="Times New Roman" w:hAnsi="Times New Roman"/>
          <w:sz w:val="24"/>
          <w:szCs w:val="24"/>
          <w:lang w:val="en-GB"/>
        </w:rPr>
        <w:t xml:space="preserve"> represents excess kurtosis).  </w:t>
      </w:r>
      <w:proofErr w:type="spellStart"/>
      <w:r w:rsidRPr="00916C3C">
        <w:rPr>
          <w:rFonts w:ascii="Times New Roman" w:hAnsi="Times New Roman"/>
          <w:sz w:val="24"/>
          <w:szCs w:val="24"/>
          <w:lang w:val="en-GB"/>
        </w:rPr>
        <w:t>Zc</w:t>
      </w:r>
      <w:proofErr w:type="spellEnd"/>
      <w:r w:rsidRPr="00916C3C">
        <w:rPr>
          <w:rFonts w:ascii="Times New Roman" w:hAnsi="Times New Roman"/>
          <w:sz w:val="24"/>
          <w:szCs w:val="24"/>
          <w:lang w:val="en-GB"/>
        </w:rPr>
        <w:t xml:space="preserve"> is the negative number of standard deviations that specifies the tail probability level associated with the four moment </w:t>
      </w:r>
      <w:proofErr w:type="spellStart"/>
      <w:r w:rsidRPr="00916C3C">
        <w:rPr>
          <w:rFonts w:ascii="Times New Roman" w:hAnsi="Times New Roman"/>
          <w:sz w:val="24"/>
          <w:szCs w:val="24"/>
          <w:lang w:val="en-GB"/>
        </w:rPr>
        <w:t>VaR.</w:t>
      </w:r>
      <w:proofErr w:type="spellEnd"/>
      <w:r w:rsidRPr="00916C3C">
        <w:rPr>
          <w:rFonts w:ascii="Times New Roman" w:hAnsi="Times New Roman"/>
          <w:sz w:val="24"/>
          <w:szCs w:val="24"/>
          <w:lang w:val="en-GB"/>
        </w:rPr>
        <w:t xml:space="preserve">  </w:t>
      </w:r>
      <w:r w:rsidR="00533492">
        <w:rPr>
          <w:rFonts w:ascii="Times New Roman" w:hAnsi="Times New Roman"/>
          <w:sz w:val="24"/>
          <w:szCs w:val="24"/>
        </w:rPr>
        <w:t>W</w:t>
      </w:r>
      <w:r>
        <w:rPr>
          <w:rFonts w:ascii="Times New Roman" w:hAnsi="Times New Roman"/>
          <w:sz w:val="24"/>
          <w:szCs w:val="24"/>
        </w:rPr>
        <w:t>e</w:t>
      </w:r>
      <w:r w:rsidRPr="00916C3C">
        <w:rPr>
          <w:rFonts w:ascii="Times New Roman" w:hAnsi="Times New Roman"/>
          <w:sz w:val="24"/>
          <w:szCs w:val="24"/>
        </w:rPr>
        <w:t xml:space="preserve"> calculate the </w:t>
      </w:r>
      <w:proofErr w:type="spellStart"/>
      <w:r w:rsidRPr="00916C3C">
        <w:rPr>
          <w:rFonts w:ascii="Times New Roman" w:hAnsi="Times New Roman"/>
          <w:sz w:val="24"/>
          <w:szCs w:val="24"/>
        </w:rPr>
        <w:t>MVaR</w:t>
      </w:r>
      <w:proofErr w:type="spellEnd"/>
      <w:r w:rsidRPr="00916C3C">
        <w:rPr>
          <w:rFonts w:ascii="Times New Roman" w:hAnsi="Times New Roman"/>
          <w:sz w:val="24"/>
          <w:szCs w:val="24"/>
        </w:rPr>
        <w:t xml:space="preserve"> of each portfolio for a 95 and 99 </w:t>
      </w:r>
      <w:r w:rsidR="003B3D51">
        <w:rPr>
          <w:rFonts w:ascii="Times New Roman" w:hAnsi="Times New Roman"/>
          <w:sz w:val="24"/>
          <w:szCs w:val="24"/>
        </w:rPr>
        <w:t>percent</w:t>
      </w:r>
      <w:r w:rsidRPr="00916C3C">
        <w:rPr>
          <w:rFonts w:ascii="Times New Roman" w:hAnsi="Times New Roman"/>
          <w:sz w:val="24"/>
          <w:szCs w:val="24"/>
        </w:rPr>
        <w:t xml:space="preserve"> confidence level, or -1.96 and -2.33 standard deviations.  </w:t>
      </w:r>
    </w:p>
    <w:p w14:paraId="762E150A" w14:textId="77777777" w:rsidR="001F4DDE" w:rsidRDefault="000400CF" w:rsidP="00B45F9D">
      <w:pPr>
        <w:pStyle w:val="Heading2"/>
      </w:pPr>
      <w:r>
        <w:t>4.4</w:t>
      </w:r>
      <w:r w:rsidR="001F4DDE">
        <w:t xml:space="preserve"> Sub-period Selection</w:t>
      </w:r>
    </w:p>
    <w:p w14:paraId="60EA2A46" w14:textId="77777777" w:rsidR="00E16FB9" w:rsidRPr="000E6048" w:rsidRDefault="00E16FB9" w:rsidP="00CD4B7C">
      <w:pPr>
        <w:spacing w:line="360" w:lineRule="auto"/>
        <w:jc w:val="both"/>
        <w:rPr>
          <w:rFonts w:ascii="Times New Roman" w:hAnsi="Times New Roman"/>
          <w:sz w:val="24"/>
          <w:szCs w:val="24"/>
        </w:rPr>
      </w:pPr>
      <w:r>
        <w:rPr>
          <w:rFonts w:ascii="Times New Roman" w:hAnsi="Times New Roman"/>
          <w:sz w:val="24"/>
          <w:szCs w:val="24"/>
        </w:rPr>
        <w:t xml:space="preserve">The results of </w:t>
      </w:r>
      <w:r w:rsidR="000400CF">
        <w:rPr>
          <w:rFonts w:ascii="Times New Roman" w:hAnsi="Times New Roman"/>
          <w:sz w:val="24"/>
          <w:szCs w:val="24"/>
        </w:rPr>
        <w:t>our</w:t>
      </w:r>
      <w:r>
        <w:rPr>
          <w:rFonts w:ascii="Times New Roman" w:hAnsi="Times New Roman"/>
          <w:sz w:val="24"/>
          <w:szCs w:val="24"/>
        </w:rPr>
        <w:t xml:space="preserve"> tests are based on historical data and any inferences drawn from the results rest on the assumption that the past will repeat itself.  In order to strengthen </w:t>
      </w:r>
      <w:r w:rsidR="000400CF">
        <w:rPr>
          <w:rFonts w:ascii="Times New Roman" w:hAnsi="Times New Roman"/>
          <w:sz w:val="24"/>
          <w:szCs w:val="24"/>
        </w:rPr>
        <w:t>the usefulness of the results, we divide our</w:t>
      </w:r>
      <w:r>
        <w:rPr>
          <w:rFonts w:ascii="Times New Roman" w:hAnsi="Times New Roman"/>
          <w:sz w:val="24"/>
          <w:szCs w:val="24"/>
        </w:rPr>
        <w:t xml:space="preserve"> time period into</w:t>
      </w:r>
      <w:r w:rsidR="000400CF">
        <w:rPr>
          <w:rFonts w:ascii="Times New Roman" w:hAnsi="Times New Roman"/>
          <w:sz w:val="24"/>
          <w:szCs w:val="24"/>
        </w:rPr>
        <w:t xml:space="preserve"> sub-periods.  This will test our</w:t>
      </w:r>
      <w:r>
        <w:rPr>
          <w:rFonts w:ascii="Times New Roman" w:hAnsi="Times New Roman"/>
          <w:sz w:val="24"/>
          <w:szCs w:val="24"/>
        </w:rPr>
        <w:t xml:space="preserve"> </w:t>
      </w:r>
      <w:r w:rsidR="001C21AD">
        <w:rPr>
          <w:rFonts w:ascii="Times New Roman" w:hAnsi="Times New Roman"/>
          <w:sz w:val="24"/>
          <w:szCs w:val="24"/>
        </w:rPr>
        <w:t>results</w:t>
      </w:r>
      <w:r>
        <w:rPr>
          <w:rFonts w:ascii="Times New Roman" w:hAnsi="Times New Roman"/>
          <w:sz w:val="24"/>
          <w:szCs w:val="24"/>
        </w:rPr>
        <w:t xml:space="preserve"> under different market conditions, making any results common to all sub-periods robust to different market conditions.  </w:t>
      </w:r>
      <w:r w:rsidRPr="000E6048">
        <w:rPr>
          <w:rFonts w:ascii="Times New Roman" w:hAnsi="Times New Roman"/>
          <w:sz w:val="24"/>
          <w:szCs w:val="24"/>
        </w:rPr>
        <w:t xml:space="preserve">In the 15 year period used in this empirical study, the US experienced two </w:t>
      </w:r>
      <w:r w:rsidR="00533492">
        <w:rPr>
          <w:rFonts w:ascii="Times New Roman" w:hAnsi="Times New Roman"/>
          <w:sz w:val="24"/>
          <w:szCs w:val="24"/>
        </w:rPr>
        <w:t xml:space="preserve">booms </w:t>
      </w:r>
      <w:r w:rsidR="00533492">
        <w:rPr>
          <w:rFonts w:ascii="Times New Roman" w:hAnsi="Times New Roman"/>
          <w:sz w:val="24"/>
          <w:szCs w:val="24"/>
        </w:rPr>
        <w:lastRenderedPageBreak/>
        <w:t>and busts</w:t>
      </w:r>
      <w:r w:rsidRPr="000E6048">
        <w:rPr>
          <w:rFonts w:ascii="Times New Roman" w:hAnsi="Times New Roman"/>
          <w:sz w:val="24"/>
          <w:szCs w:val="24"/>
        </w:rPr>
        <w:t>, the dotcom bubble of 1999/2000 and th</w:t>
      </w:r>
      <w:r w:rsidR="001C21AD">
        <w:rPr>
          <w:rFonts w:ascii="Times New Roman" w:hAnsi="Times New Roman"/>
          <w:sz w:val="24"/>
          <w:szCs w:val="24"/>
        </w:rPr>
        <w:t>e credit crisis of 2007/2008.  We divide our</w:t>
      </w:r>
      <w:r w:rsidRPr="000E6048">
        <w:rPr>
          <w:rFonts w:ascii="Times New Roman" w:hAnsi="Times New Roman"/>
          <w:sz w:val="24"/>
          <w:szCs w:val="24"/>
        </w:rPr>
        <w:t xml:space="preserve"> 15 year period into sub-periods </w:t>
      </w:r>
      <w:r>
        <w:rPr>
          <w:rFonts w:ascii="Times New Roman" w:hAnsi="Times New Roman"/>
          <w:sz w:val="24"/>
          <w:szCs w:val="24"/>
        </w:rPr>
        <w:t>as follows.</w:t>
      </w:r>
      <w:r w:rsidR="001C21AD">
        <w:rPr>
          <w:rStyle w:val="FootnoteReference"/>
          <w:rFonts w:ascii="Times New Roman" w:hAnsi="Times New Roman"/>
          <w:sz w:val="24"/>
          <w:szCs w:val="24"/>
        </w:rPr>
        <w:footnoteReference w:id="10"/>
      </w:r>
    </w:p>
    <w:p w14:paraId="1264B332" w14:textId="77777777" w:rsidR="00E16FB9" w:rsidRDefault="009078AA" w:rsidP="00CD4B7C">
      <w:pPr>
        <w:spacing w:line="360" w:lineRule="auto"/>
        <w:jc w:val="both"/>
        <w:rPr>
          <w:rFonts w:ascii="Times New Roman" w:hAnsi="Times New Roman"/>
          <w:sz w:val="24"/>
          <w:szCs w:val="24"/>
        </w:rPr>
      </w:pPr>
      <w:r>
        <w:rPr>
          <w:rFonts w:ascii="Times New Roman" w:hAnsi="Times New Roman"/>
          <w:sz w:val="24"/>
          <w:szCs w:val="24"/>
          <w:lang w:val="en-GB"/>
        </w:rPr>
        <w:fldChar w:fldCharType="begin"/>
      </w:r>
      <w:r>
        <w:rPr>
          <w:rFonts w:ascii="Times New Roman" w:hAnsi="Times New Roman"/>
          <w:sz w:val="24"/>
          <w:szCs w:val="24"/>
          <w:lang w:val="en-GB"/>
        </w:rPr>
        <w:instrText xml:space="preserve"> REF _Ref386700673 \h  \* MERGEFORMAT </w:instrText>
      </w:r>
      <w:r>
        <w:rPr>
          <w:rFonts w:ascii="Times New Roman" w:hAnsi="Times New Roman"/>
          <w:sz w:val="24"/>
          <w:szCs w:val="24"/>
          <w:lang w:val="en-GB"/>
        </w:rPr>
      </w:r>
      <w:r>
        <w:rPr>
          <w:rFonts w:ascii="Times New Roman" w:hAnsi="Times New Roman"/>
          <w:sz w:val="24"/>
          <w:szCs w:val="24"/>
          <w:lang w:val="en-GB"/>
        </w:rPr>
        <w:fldChar w:fldCharType="separate"/>
      </w:r>
      <w:r w:rsidRPr="009078AA">
        <w:rPr>
          <w:rFonts w:ascii="Times New Roman" w:hAnsi="Times New Roman"/>
          <w:sz w:val="24"/>
          <w:szCs w:val="24"/>
          <w:lang w:val="en-GB"/>
        </w:rPr>
        <w:t>Figure 1</w:t>
      </w:r>
      <w:r>
        <w:rPr>
          <w:rFonts w:ascii="Times New Roman" w:hAnsi="Times New Roman"/>
          <w:sz w:val="24"/>
          <w:szCs w:val="24"/>
          <w:lang w:val="en-GB"/>
        </w:rPr>
        <w:fldChar w:fldCharType="end"/>
      </w:r>
      <w:r>
        <w:rPr>
          <w:rFonts w:ascii="Times New Roman" w:hAnsi="Times New Roman"/>
          <w:sz w:val="24"/>
          <w:szCs w:val="24"/>
          <w:lang w:val="en-GB"/>
        </w:rPr>
        <w:t xml:space="preserve"> </w:t>
      </w:r>
      <w:r w:rsidR="00E16FB9" w:rsidRPr="000E6048">
        <w:rPr>
          <w:rFonts w:ascii="Times New Roman" w:hAnsi="Times New Roman"/>
          <w:sz w:val="24"/>
          <w:szCs w:val="24"/>
          <w:lang w:val="en-GB"/>
        </w:rPr>
        <w:t xml:space="preserve">graphs the weekly returns of the S&amp;P500 between 1996 and 2011.  The period between mid-2003 and mid-2008 is noticeable for its low volatility, compared to the periods </w:t>
      </w:r>
      <w:r w:rsidR="00E16FB9">
        <w:rPr>
          <w:rFonts w:ascii="Times New Roman" w:hAnsi="Times New Roman"/>
          <w:sz w:val="24"/>
          <w:szCs w:val="24"/>
          <w:lang w:val="en-GB"/>
        </w:rPr>
        <w:t>that</w:t>
      </w:r>
      <w:r w:rsidR="00E16FB9" w:rsidRPr="000E6048">
        <w:rPr>
          <w:rFonts w:ascii="Times New Roman" w:hAnsi="Times New Roman"/>
          <w:sz w:val="24"/>
          <w:szCs w:val="24"/>
          <w:lang w:val="en-GB"/>
        </w:rPr>
        <w:t xml:space="preserve"> precede and follow it, which correspond to the dotcom bubble and the 2007/08 </w:t>
      </w:r>
      <w:r w:rsidR="00E16FB9">
        <w:rPr>
          <w:rFonts w:ascii="Times New Roman" w:hAnsi="Times New Roman"/>
          <w:sz w:val="24"/>
          <w:szCs w:val="24"/>
          <w:lang w:val="en-GB"/>
        </w:rPr>
        <w:t>credit</w:t>
      </w:r>
      <w:r w:rsidR="00E16FB9" w:rsidRPr="000E6048">
        <w:rPr>
          <w:rFonts w:ascii="Times New Roman" w:hAnsi="Times New Roman"/>
          <w:sz w:val="24"/>
          <w:szCs w:val="24"/>
          <w:lang w:val="en-GB"/>
        </w:rPr>
        <w:t xml:space="preserve"> crisis.</w:t>
      </w:r>
      <w:r w:rsidR="00E16FB9" w:rsidRPr="000E6048">
        <w:rPr>
          <w:rFonts w:ascii="Times New Roman" w:hAnsi="Times New Roman"/>
          <w:color w:val="FF0000"/>
          <w:sz w:val="24"/>
          <w:szCs w:val="24"/>
          <w:lang w:val="en-GB"/>
        </w:rPr>
        <w:t xml:space="preserve">  </w:t>
      </w:r>
      <w:r w:rsidR="00E16FB9" w:rsidRPr="00101FD3">
        <w:rPr>
          <w:rFonts w:ascii="Times New Roman" w:hAnsi="Times New Roman"/>
          <w:sz w:val="24"/>
          <w:szCs w:val="24"/>
          <w:lang w:val="en-GB"/>
        </w:rPr>
        <w:t xml:space="preserve">In addition </w:t>
      </w:r>
      <w:r w:rsidR="001C21AD">
        <w:rPr>
          <w:rFonts w:ascii="Times New Roman" w:hAnsi="Times New Roman"/>
          <w:sz w:val="24"/>
          <w:szCs w:val="24"/>
          <w:lang w:val="en-GB"/>
        </w:rPr>
        <w:t>we</w:t>
      </w:r>
      <w:r w:rsidR="00E16FB9" w:rsidRPr="000E6048">
        <w:rPr>
          <w:rFonts w:ascii="Times New Roman" w:hAnsi="Times New Roman"/>
          <w:sz w:val="24"/>
          <w:szCs w:val="24"/>
          <w:lang w:val="en-GB"/>
        </w:rPr>
        <w:t xml:space="preserve"> compare the performance of the S&amp;P500 to that of the 37 foreign country indices on an annual basis.  The results are shown in</w:t>
      </w:r>
      <w:r>
        <w:rPr>
          <w:rFonts w:ascii="Times New Roman" w:hAnsi="Times New Roman"/>
          <w:sz w:val="24"/>
          <w:szCs w:val="24"/>
          <w:lang w:val="en-GB"/>
        </w:rPr>
        <w:t xml:space="preserve"> </w:t>
      </w:r>
      <w:r>
        <w:rPr>
          <w:rFonts w:ascii="Times New Roman" w:hAnsi="Times New Roman"/>
          <w:sz w:val="24"/>
          <w:szCs w:val="24"/>
          <w:lang w:val="en-GB"/>
        </w:rPr>
        <w:fldChar w:fldCharType="begin"/>
      </w:r>
      <w:r>
        <w:rPr>
          <w:rFonts w:ascii="Times New Roman" w:hAnsi="Times New Roman"/>
          <w:sz w:val="24"/>
          <w:szCs w:val="24"/>
          <w:lang w:val="en-GB"/>
        </w:rPr>
        <w:instrText xml:space="preserve"> REF _Ref386700695 \h  \* MERGEFORMAT </w:instrText>
      </w:r>
      <w:r>
        <w:rPr>
          <w:rFonts w:ascii="Times New Roman" w:hAnsi="Times New Roman"/>
          <w:sz w:val="24"/>
          <w:szCs w:val="24"/>
          <w:lang w:val="en-GB"/>
        </w:rPr>
      </w:r>
      <w:r>
        <w:rPr>
          <w:rFonts w:ascii="Times New Roman" w:hAnsi="Times New Roman"/>
          <w:sz w:val="24"/>
          <w:szCs w:val="24"/>
          <w:lang w:val="en-GB"/>
        </w:rPr>
        <w:fldChar w:fldCharType="separate"/>
      </w:r>
      <w:r w:rsidRPr="009078AA">
        <w:rPr>
          <w:rFonts w:ascii="Times New Roman" w:hAnsi="Times New Roman"/>
          <w:sz w:val="24"/>
          <w:szCs w:val="24"/>
          <w:lang w:val="en-GB"/>
        </w:rPr>
        <w:t>Figure 2</w:t>
      </w:r>
      <w:r>
        <w:rPr>
          <w:rFonts w:ascii="Times New Roman" w:hAnsi="Times New Roman"/>
          <w:sz w:val="24"/>
          <w:szCs w:val="24"/>
          <w:lang w:val="en-GB"/>
        </w:rPr>
        <w:fldChar w:fldCharType="end"/>
      </w:r>
      <w:r w:rsidR="00E16FB9">
        <w:rPr>
          <w:rFonts w:ascii="Times New Roman" w:hAnsi="Times New Roman"/>
          <w:sz w:val="24"/>
          <w:szCs w:val="24"/>
          <w:lang w:val="en-GB"/>
        </w:rPr>
        <w:t>, which graphs</w:t>
      </w:r>
      <w:r w:rsidR="00E16FB9" w:rsidRPr="000E6048">
        <w:rPr>
          <w:rFonts w:ascii="Times New Roman" w:hAnsi="Times New Roman"/>
          <w:sz w:val="24"/>
          <w:szCs w:val="24"/>
          <w:lang w:val="en-GB"/>
        </w:rPr>
        <w:t xml:space="preserve"> the annual risk-adjusted return of an equally weighted portfolio of developed markets, emerging markets, all foreign country indices and the S&amp;P500 between 1996 and 2011.  In each of the years 2003 to 2007, equally weighted portfolios of foreign country indices outperform the S&amp;P500.  </w:t>
      </w:r>
      <w:r w:rsidR="00E16FB9">
        <w:rPr>
          <w:rFonts w:ascii="Times New Roman" w:hAnsi="Times New Roman"/>
          <w:sz w:val="24"/>
          <w:szCs w:val="24"/>
          <w:lang w:val="en-GB"/>
        </w:rPr>
        <w:t xml:space="preserve">Prior to 2003, developed markets and the S&amp;P500 outperform emerging markets.  From 2008 on emerging markets </w:t>
      </w:r>
      <w:r w:rsidR="001C21AD">
        <w:rPr>
          <w:rFonts w:ascii="Times New Roman" w:hAnsi="Times New Roman"/>
          <w:sz w:val="24"/>
          <w:szCs w:val="24"/>
          <w:lang w:val="en-GB"/>
        </w:rPr>
        <w:t>outperform the other markets.  We sub-divide our</w:t>
      </w:r>
      <w:r w:rsidR="00E16FB9">
        <w:rPr>
          <w:rFonts w:ascii="Times New Roman" w:hAnsi="Times New Roman"/>
          <w:sz w:val="24"/>
          <w:szCs w:val="24"/>
          <w:lang w:val="en-GB"/>
        </w:rPr>
        <w:t xml:space="preserve"> dataset into periods of differing volatility in the US;</w:t>
      </w:r>
      <w:r w:rsidR="00E16FB9" w:rsidRPr="00EE199C">
        <w:rPr>
          <w:rFonts w:ascii="Times New Roman" w:hAnsi="Times New Roman"/>
          <w:sz w:val="24"/>
          <w:szCs w:val="24"/>
          <w:lang w:val="en-GB"/>
        </w:rPr>
        <w:t xml:space="preserve"> </w:t>
      </w:r>
      <w:r w:rsidR="00E16FB9" w:rsidRPr="000E6048">
        <w:rPr>
          <w:rFonts w:ascii="Times New Roman" w:hAnsi="Times New Roman"/>
          <w:sz w:val="24"/>
          <w:szCs w:val="24"/>
          <w:lang w:val="en-GB"/>
        </w:rPr>
        <w:t>March 1996 to December 2002, January 2003 to December 2007 an</w:t>
      </w:r>
      <w:r w:rsidR="00E16FB9">
        <w:rPr>
          <w:rFonts w:ascii="Times New Roman" w:hAnsi="Times New Roman"/>
          <w:sz w:val="24"/>
          <w:szCs w:val="24"/>
          <w:lang w:val="en-GB"/>
        </w:rPr>
        <w:t>d January 2008 to June 2011.  These sub-periods coincide with differing results for the performance of the S&amp;P500 relative to the performance of foreign market indi</w:t>
      </w:r>
      <w:r w:rsidR="001C21AD">
        <w:rPr>
          <w:rFonts w:ascii="Times New Roman" w:hAnsi="Times New Roman"/>
          <w:sz w:val="24"/>
          <w:szCs w:val="24"/>
          <w:lang w:val="en-GB"/>
        </w:rPr>
        <w:t>ces.  These sub-periods allow us</w:t>
      </w:r>
      <w:r w:rsidR="00E16FB9" w:rsidRPr="000E6048">
        <w:rPr>
          <w:rFonts w:ascii="Times New Roman" w:hAnsi="Times New Roman"/>
          <w:sz w:val="24"/>
          <w:szCs w:val="24"/>
          <w:lang w:val="en-GB"/>
        </w:rPr>
        <w:t xml:space="preserve"> to test </w:t>
      </w:r>
      <w:r w:rsidR="001C21AD">
        <w:rPr>
          <w:rFonts w:ascii="Times New Roman" w:hAnsi="Times New Roman"/>
          <w:sz w:val="24"/>
          <w:szCs w:val="24"/>
          <w:lang w:val="en-GB"/>
        </w:rPr>
        <w:t>if our</w:t>
      </w:r>
      <w:r w:rsidR="00E16FB9">
        <w:rPr>
          <w:rFonts w:ascii="Times New Roman" w:hAnsi="Times New Roman"/>
          <w:sz w:val="24"/>
          <w:szCs w:val="24"/>
          <w:lang w:val="en-GB"/>
        </w:rPr>
        <w:t xml:space="preserve"> results are robust to varying market conditions</w:t>
      </w:r>
      <w:r w:rsidR="00E16FB9" w:rsidRPr="000E6048">
        <w:rPr>
          <w:rFonts w:ascii="Times New Roman" w:hAnsi="Times New Roman"/>
          <w:sz w:val="24"/>
          <w:szCs w:val="24"/>
          <w:lang w:val="en-GB"/>
        </w:rPr>
        <w:t>.</w:t>
      </w:r>
      <w:r w:rsidR="00E16FB9">
        <w:rPr>
          <w:rStyle w:val="FootnoteReference"/>
          <w:rFonts w:ascii="Times New Roman" w:hAnsi="Times New Roman"/>
          <w:sz w:val="24"/>
          <w:szCs w:val="24"/>
          <w:lang w:val="en-GB"/>
        </w:rPr>
        <w:footnoteReference w:id="11"/>
      </w:r>
    </w:p>
    <w:p w14:paraId="3C3B50FE" w14:textId="77777777" w:rsidR="00662849" w:rsidRPr="00CA4E0C" w:rsidRDefault="00F02E1B" w:rsidP="0087397F">
      <w:pPr>
        <w:pStyle w:val="Heading1"/>
        <w:spacing w:line="360" w:lineRule="auto"/>
        <w:rPr>
          <w:rFonts w:ascii="Times New Roman" w:hAnsi="Times New Roman" w:cs="Times New Roman"/>
          <w:sz w:val="24"/>
          <w:szCs w:val="24"/>
        </w:rPr>
      </w:pPr>
      <w:r w:rsidRPr="00CA4E0C">
        <w:rPr>
          <w:rFonts w:ascii="Times New Roman" w:hAnsi="Times New Roman" w:cs="Times New Roman"/>
          <w:sz w:val="24"/>
          <w:szCs w:val="24"/>
        </w:rPr>
        <w:lastRenderedPageBreak/>
        <w:t xml:space="preserve">5. </w:t>
      </w:r>
      <w:r w:rsidR="00662849" w:rsidRPr="00CA4E0C">
        <w:rPr>
          <w:rFonts w:ascii="Times New Roman" w:hAnsi="Times New Roman" w:cs="Times New Roman"/>
          <w:sz w:val="24"/>
          <w:szCs w:val="24"/>
        </w:rPr>
        <w:t>Results</w:t>
      </w:r>
    </w:p>
    <w:p w14:paraId="4A9EF338" w14:textId="77777777" w:rsidR="001F4DDE" w:rsidRPr="000E6048" w:rsidRDefault="001F4DDE" w:rsidP="00B45F9D">
      <w:pPr>
        <w:pStyle w:val="Heading2"/>
      </w:pPr>
      <w:bookmarkStart w:id="1" w:name="_Toc374369465"/>
      <w:bookmarkStart w:id="2" w:name="_Toc377391289"/>
      <w:bookmarkStart w:id="3" w:name="_Toc377460203"/>
      <w:bookmarkStart w:id="4" w:name="_Toc383506342"/>
      <w:r>
        <w:t>5.1</w:t>
      </w:r>
      <w:r w:rsidRPr="000E6048">
        <w:t xml:space="preserve"> </w:t>
      </w:r>
      <w:bookmarkEnd w:id="1"/>
      <w:r w:rsidRPr="000E6048">
        <w:t>Portfolio Composition</w:t>
      </w:r>
      <w:bookmarkEnd w:id="2"/>
      <w:bookmarkEnd w:id="3"/>
      <w:bookmarkEnd w:id="4"/>
    </w:p>
    <w:p w14:paraId="4EE5881B" w14:textId="77777777" w:rsidR="001F4DDE" w:rsidRPr="000E6048" w:rsidRDefault="001F4DDE" w:rsidP="001F233D">
      <w:pPr>
        <w:keepNext/>
        <w:keepLines/>
        <w:spacing w:line="360" w:lineRule="auto"/>
        <w:jc w:val="both"/>
        <w:rPr>
          <w:rFonts w:ascii="Times New Roman" w:hAnsi="Times New Roman"/>
          <w:sz w:val="24"/>
          <w:szCs w:val="24"/>
        </w:rPr>
      </w:pPr>
      <w:r w:rsidRPr="000E6048">
        <w:rPr>
          <w:rFonts w:ascii="Times New Roman" w:hAnsi="Times New Roman"/>
          <w:sz w:val="24"/>
          <w:szCs w:val="24"/>
        </w:rPr>
        <w:t xml:space="preserve">In </w:t>
      </w:r>
      <w:r w:rsidR="00991889" w:rsidRPr="00991889">
        <w:rPr>
          <w:rFonts w:ascii="Times New Roman" w:hAnsi="Times New Roman" w:cs="Times New Roman"/>
          <w:sz w:val="24"/>
          <w:szCs w:val="24"/>
        </w:rPr>
        <w:fldChar w:fldCharType="begin"/>
      </w:r>
      <w:r w:rsidR="00991889" w:rsidRPr="00991889">
        <w:rPr>
          <w:rFonts w:ascii="Times New Roman" w:hAnsi="Times New Roman" w:cs="Times New Roman"/>
          <w:sz w:val="24"/>
          <w:szCs w:val="24"/>
        </w:rPr>
        <w:instrText xml:space="preserve"> REF _Ref384642968 \h  \* MERGEFORMAT </w:instrText>
      </w:r>
      <w:r w:rsidR="00991889" w:rsidRPr="00991889">
        <w:rPr>
          <w:rFonts w:ascii="Times New Roman" w:hAnsi="Times New Roman" w:cs="Times New Roman"/>
          <w:sz w:val="24"/>
          <w:szCs w:val="24"/>
        </w:rPr>
      </w:r>
      <w:r w:rsidR="00991889" w:rsidRPr="00991889">
        <w:rPr>
          <w:rFonts w:ascii="Times New Roman" w:hAnsi="Times New Roman" w:cs="Times New Roman"/>
          <w:sz w:val="24"/>
          <w:szCs w:val="24"/>
        </w:rPr>
        <w:fldChar w:fldCharType="separate"/>
      </w:r>
      <w:r w:rsidR="00A0607E" w:rsidRPr="00A0607E">
        <w:rPr>
          <w:rFonts w:ascii="Times New Roman" w:hAnsi="Times New Roman" w:cs="Times New Roman"/>
          <w:sz w:val="24"/>
          <w:szCs w:val="24"/>
        </w:rPr>
        <w:t xml:space="preserve">Table </w:t>
      </w:r>
      <w:r w:rsidR="00A0607E" w:rsidRPr="00A0607E">
        <w:rPr>
          <w:rFonts w:ascii="Times New Roman" w:hAnsi="Times New Roman" w:cs="Times New Roman"/>
          <w:noProof/>
          <w:sz w:val="24"/>
          <w:szCs w:val="24"/>
        </w:rPr>
        <w:t>3</w:t>
      </w:r>
      <w:r w:rsidR="00991889" w:rsidRPr="00991889">
        <w:rPr>
          <w:rFonts w:ascii="Times New Roman" w:hAnsi="Times New Roman" w:cs="Times New Roman"/>
          <w:sz w:val="24"/>
          <w:szCs w:val="24"/>
        </w:rPr>
        <w:fldChar w:fldCharType="end"/>
      </w:r>
      <w:r w:rsidR="00991889">
        <w:rPr>
          <w:rFonts w:ascii="Times New Roman" w:hAnsi="Times New Roman"/>
          <w:sz w:val="24"/>
          <w:szCs w:val="24"/>
        </w:rPr>
        <w:t xml:space="preserve"> we</w:t>
      </w:r>
      <w:r w:rsidRPr="000E6048">
        <w:rPr>
          <w:rFonts w:ascii="Times New Roman" w:hAnsi="Times New Roman"/>
          <w:sz w:val="24"/>
          <w:szCs w:val="24"/>
        </w:rPr>
        <w:t xml:space="preserve"> list the average compositions of the replicating portfolios for developed and emerging markets.  The </w:t>
      </w:r>
      <w:r>
        <w:rPr>
          <w:rFonts w:ascii="Times New Roman" w:hAnsi="Times New Roman"/>
          <w:sz w:val="24"/>
          <w:szCs w:val="24"/>
        </w:rPr>
        <w:t xml:space="preserve">largest weighting </w:t>
      </w:r>
      <w:r w:rsidR="00502E34">
        <w:rPr>
          <w:rFonts w:ascii="Times New Roman" w:hAnsi="Times New Roman"/>
          <w:sz w:val="24"/>
          <w:szCs w:val="24"/>
        </w:rPr>
        <w:t>in</w:t>
      </w:r>
      <w:r>
        <w:rPr>
          <w:rFonts w:ascii="Times New Roman" w:hAnsi="Times New Roman"/>
          <w:sz w:val="24"/>
          <w:szCs w:val="24"/>
        </w:rPr>
        <w:t xml:space="preserve"> the </w:t>
      </w:r>
      <w:r w:rsidRPr="000E6048">
        <w:rPr>
          <w:rFonts w:ascii="Times New Roman" w:hAnsi="Times New Roman"/>
          <w:sz w:val="24"/>
          <w:szCs w:val="24"/>
        </w:rPr>
        <w:t xml:space="preserve">D1 portfolios </w:t>
      </w:r>
      <w:r w:rsidR="00502E34">
        <w:rPr>
          <w:rFonts w:ascii="Times New Roman" w:hAnsi="Times New Roman"/>
          <w:sz w:val="24"/>
          <w:szCs w:val="24"/>
        </w:rPr>
        <w:t xml:space="preserve">of Industry Indices </w:t>
      </w:r>
      <w:r>
        <w:rPr>
          <w:rFonts w:ascii="Times New Roman" w:hAnsi="Times New Roman"/>
          <w:sz w:val="24"/>
          <w:szCs w:val="24"/>
        </w:rPr>
        <w:t>for both developed and emerging markets is in Materials, 21 and 26 percent.  I.T. has the second highest weighting for emerging markets, 14 percent, and the third for developed markets, 10 percent.</w:t>
      </w:r>
      <w:r w:rsidRPr="000E6048">
        <w:rPr>
          <w:rFonts w:ascii="Times New Roman" w:hAnsi="Times New Roman"/>
          <w:sz w:val="24"/>
          <w:szCs w:val="24"/>
        </w:rPr>
        <w:t xml:space="preserve"> </w:t>
      </w:r>
      <w:r>
        <w:rPr>
          <w:rFonts w:ascii="Times New Roman" w:hAnsi="Times New Roman"/>
          <w:sz w:val="24"/>
          <w:szCs w:val="24"/>
        </w:rPr>
        <w:t xml:space="preserve"> </w:t>
      </w:r>
      <w:r w:rsidR="00502E34">
        <w:rPr>
          <w:rFonts w:ascii="Times New Roman" w:hAnsi="Times New Roman"/>
          <w:sz w:val="24"/>
          <w:szCs w:val="24"/>
        </w:rPr>
        <w:t>For the D2 portfolios of Industry Indices, MNCs and Russell 1000, t</w:t>
      </w:r>
      <w:r w:rsidRPr="000E6048">
        <w:rPr>
          <w:rFonts w:ascii="Times New Roman" w:hAnsi="Times New Roman"/>
          <w:sz w:val="24"/>
          <w:szCs w:val="24"/>
        </w:rPr>
        <w:t xml:space="preserve">he largest average weighting </w:t>
      </w:r>
      <w:r w:rsidR="00502E34">
        <w:rPr>
          <w:rFonts w:ascii="Times New Roman" w:hAnsi="Times New Roman"/>
          <w:sz w:val="24"/>
          <w:szCs w:val="24"/>
        </w:rPr>
        <w:t>is in Industry Indices</w:t>
      </w:r>
      <w:r w:rsidRPr="000E6048">
        <w:rPr>
          <w:rFonts w:ascii="Times New Roman" w:hAnsi="Times New Roman"/>
          <w:sz w:val="24"/>
          <w:szCs w:val="24"/>
        </w:rPr>
        <w:t xml:space="preserve">, </w:t>
      </w:r>
      <w:r>
        <w:rPr>
          <w:rFonts w:ascii="Times New Roman" w:hAnsi="Times New Roman"/>
          <w:sz w:val="24"/>
          <w:szCs w:val="24"/>
        </w:rPr>
        <w:t xml:space="preserve">24 </w:t>
      </w:r>
      <w:r w:rsidR="003B3D51">
        <w:rPr>
          <w:rFonts w:ascii="Times New Roman" w:hAnsi="Times New Roman"/>
          <w:sz w:val="24"/>
          <w:szCs w:val="24"/>
        </w:rPr>
        <w:t>percent</w:t>
      </w:r>
      <w:r>
        <w:rPr>
          <w:rFonts w:ascii="Times New Roman" w:hAnsi="Times New Roman"/>
          <w:sz w:val="24"/>
          <w:szCs w:val="24"/>
        </w:rPr>
        <w:t xml:space="preserve"> for developed and 3</w:t>
      </w:r>
      <w:r w:rsidRPr="000E6048">
        <w:rPr>
          <w:rFonts w:ascii="Times New Roman" w:hAnsi="Times New Roman"/>
          <w:sz w:val="24"/>
          <w:szCs w:val="24"/>
        </w:rPr>
        <w:t xml:space="preserve">0 </w:t>
      </w:r>
      <w:r w:rsidR="003B3D51">
        <w:rPr>
          <w:rFonts w:ascii="Times New Roman" w:hAnsi="Times New Roman"/>
          <w:sz w:val="24"/>
          <w:szCs w:val="24"/>
        </w:rPr>
        <w:t>percent</w:t>
      </w:r>
      <w:r w:rsidRPr="000E6048">
        <w:rPr>
          <w:rFonts w:ascii="Times New Roman" w:hAnsi="Times New Roman"/>
          <w:sz w:val="24"/>
          <w:szCs w:val="24"/>
        </w:rPr>
        <w:t xml:space="preserve"> for emerging markets.  The weightings in the Russell 1000 and MNCs are similar at between </w:t>
      </w:r>
      <w:r>
        <w:rPr>
          <w:rFonts w:ascii="Times New Roman" w:hAnsi="Times New Roman"/>
          <w:sz w:val="24"/>
          <w:szCs w:val="24"/>
        </w:rPr>
        <w:t>14 to 17</w:t>
      </w:r>
      <w:r w:rsidRPr="000E6048">
        <w:rPr>
          <w:rFonts w:ascii="Times New Roman" w:hAnsi="Times New Roman"/>
          <w:sz w:val="24"/>
          <w:szCs w:val="24"/>
        </w:rPr>
        <w:t xml:space="preserve"> </w:t>
      </w:r>
      <w:r w:rsidR="003B3D51">
        <w:rPr>
          <w:rFonts w:ascii="Times New Roman" w:hAnsi="Times New Roman"/>
          <w:sz w:val="24"/>
          <w:szCs w:val="24"/>
        </w:rPr>
        <w:t>percent</w:t>
      </w:r>
      <w:r w:rsidRPr="000E6048">
        <w:rPr>
          <w:rFonts w:ascii="Times New Roman" w:hAnsi="Times New Roman"/>
          <w:sz w:val="24"/>
          <w:szCs w:val="24"/>
        </w:rPr>
        <w:t>.  In the D3 portfolios</w:t>
      </w:r>
      <w:r w:rsidR="00502E34">
        <w:rPr>
          <w:rFonts w:ascii="Times New Roman" w:hAnsi="Times New Roman"/>
          <w:sz w:val="24"/>
          <w:szCs w:val="24"/>
        </w:rPr>
        <w:t xml:space="preserve"> of all products</w:t>
      </w:r>
      <w:r w:rsidRPr="000E6048">
        <w:rPr>
          <w:rFonts w:ascii="Times New Roman" w:hAnsi="Times New Roman"/>
          <w:sz w:val="24"/>
          <w:szCs w:val="24"/>
        </w:rPr>
        <w:t xml:space="preserve">, ADRs, iShares and CCFs account for </w:t>
      </w:r>
      <w:r>
        <w:rPr>
          <w:rFonts w:ascii="Times New Roman" w:hAnsi="Times New Roman"/>
          <w:sz w:val="24"/>
          <w:szCs w:val="24"/>
        </w:rPr>
        <w:t>75</w:t>
      </w:r>
      <w:r w:rsidRPr="000E6048">
        <w:rPr>
          <w:rFonts w:ascii="Times New Roman" w:hAnsi="Times New Roman"/>
          <w:sz w:val="24"/>
          <w:szCs w:val="24"/>
        </w:rPr>
        <w:t xml:space="preserve"> </w:t>
      </w:r>
      <w:r w:rsidR="003B3D51">
        <w:rPr>
          <w:rFonts w:ascii="Times New Roman" w:hAnsi="Times New Roman"/>
          <w:sz w:val="24"/>
          <w:szCs w:val="24"/>
        </w:rPr>
        <w:t>percent</w:t>
      </w:r>
      <w:r w:rsidRPr="000E6048">
        <w:rPr>
          <w:rFonts w:ascii="Times New Roman" w:hAnsi="Times New Roman"/>
          <w:sz w:val="24"/>
          <w:szCs w:val="24"/>
        </w:rPr>
        <w:t xml:space="preserve"> of the portfolios of both</w:t>
      </w:r>
      <w:r>
        <w:rPr>
          <w:rFonts w:ascii="Times New Roman" w:hAnsi="Times New Roman"/>
          <w:sz w:val="24"/>
          <w:szCs w:val="24"/>
        </w:rPr>
        <w:t xml:space="preserve"> emerging and developed markets</w:t>
      </w:r>
      <w:r w:rsidRPr="000E6048">
        <w:rPr>
          <w:rFonts w:ascii="Times New Roman" w:hAnsi="Times New Roman"/>
          <w:sz w:val="24"/>
          <w:szCs w:val="24"/>
        </w:rPr>
        <w:t>.  iShares have a larger weighting for developed markets, due to their greater availability for developed mar</w:t>
      </w:r>
      <w:r>
        <w:rPr>
          <w:rFonts w:ascii="Times New Roman" w:hAnsi="Times New Roman"/>
          <w:sz w:val="24"/>
          <w:szCs w:val="24"/>
        </w:rPr>
        <w:t>kets.  Emerging markets are most heavily weighted in ADRs</w:t>
      </w:r>
      <w:r w:rsidRPr="000E6048">
        <w:rPr>
          <w:rFonts w:ascii="Times New Roman" w:hAnsi="Times New Roman"/>
          <w:sz w:val="24"/>
          <w:szCs w:val="24"/>
        </w:rPr>
        <w:t>.  The Russell 1000 has a negligible average weighting, while MNCs and Industries form a modest proportion of the por</w:t>
      </w:r>
      <w:r>
        <w:rPr>
          <w:rFonts w:ascii="Times New Roman" w:hAnsi="Times New Roman"/>
          <w:sz w:val="24"/>
          <w:szCs w:val="24"/>
        </w:rPr>
        <w:t>tfolios on average, of between 6 and 12</w:t>
      </w:r>
      <w:r w:rsidRPr="000E6048">
        <w:rPr>
          <w:rFonts w:ascii="Times New Roman" w:hAnsi="Times New Roman"/>
          <w:sz w:val="24"/>
          <w:szCs w:val="24"/>
        </w:rPr>
        <w:t xml:space="preserve"> </w:t>
      </w:r>
      <w:r w:rsidR="003B3D51">
        <w:rPr>
          <w:rFonts w:ascii="Times New Roman" w:hAnsi="Times New Roman"/>
          <w:sz w:val="24"/>
          <w:szCs w:val="24"/>
        </w:rPr>
        <w:t>percent</w:t>
      </w:r>
      <w:r w:rsidRPr="000E6048">
        <w:rPr>
          <w:rFonts w:ascii="Times New Roman" w:hAnsi="Times New Roman"/>
          <w:sz w:val="24"/>
          <w:szCs w:val="24"/>
        </w:rPr>
        <w:t xml:space="preserve">.  </w:t>
      </w:r>
    </w:p>
    <w:p w14:paraId="56A348B4" w14:textId="77777777" w:rsidR="001F4DDE" w:rsidRDefault="001F4DDE" w:rsidP="00B45F9D">
      <w:pPr>
        <w:pStyle w:val="Heading2"/>
      </w:pPr>
      <w:r>
        <w:t>5.2 Preliminary Statistics</w:t>
      </w:r>
    </w:p>
    <w:p w14:paraId="5128F383" w14:textId="77777777" w:rsidR="00E16FB9" w:rsidRPr="000E6048" w:rsidRDefault="00991889" w:rsidP="001F233D">
      <w:pPr>
        <w:spacing w:line="360" w:lineRule="auto"/>
        <w:jc w:val="both"/>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REF _Ref384643114 \h  \* MERGEFORMAT </w:instrText>
      </w:r>
      <w:r>
        <w:rPr>
          <w:rFonts w:ascii="Times New Roman" w:hAnsi="Times New Roman"/>
          <w:sz w:val="24"/>
          <w:szCs w:val="24"/>
        </w:rPr>
      </w:r>
      <w:r>
        <w:rPr>
          <w:rFonts w:ascii="Times New Roman" w:hAnsi="Times New Roman"/>
          <w:sz w:val="24"/>
          <w:szCs w:val="24"/>
        </w:rPr>
        <w:fldChar w:fldCharType="separate"/>
      </w:r>
      <w:r w:rsidR="00A0607E" w:rsidRPr="00A0607E">
        <w:rPr>
          <w:rFonts w:ascii="Times New Roman" w:hAnsi="Times New Roman"/>
          <w:sz w:val="24"/>
          <w:szCs w:val="24"/>
        </w:rPr>
        <w:t>Table 4</w:t>
      </w:r>
      <w:r>
        <w:rPr>
          <w:rFonts w:ascii="Times New Roman" w:hAnsi="Times New Roman"/>
          <w:sz w:val="24"/>
          <w:szCs w:val="24"/>
        </w:rPr>
        <w:fldChar w:fldCharType="end"/>
      </w:r>
      <w:r>
        <w:rPr>
          <w:rFonts w:ascii="Times New Roman" w:hAnsi="Times New Roman"/>
          <w:sz w:val="24"/>
          <w:szCs w:val="24"/>
        </w:rPr>
        <w:t xml:space="preserve"> </w:t>
      </w:r>
      <w:r w:rsidR="00E16FB9" w:rsidRPr="000E6048">
        <w:rPr>
          <w:rFonts w:ascii="Times New Roman" w:hAnsi="Times New Roman"/>
          <w:sz w:val="24"/>
          <w:szCs w:val="24"/>
        </w:rPr>
        <w:t xml:space="preserve">lists the correlations of the foreign country indices with the US market and with the replicating portfolios.  </w:t>
      </w:r>
      <w:r>
        <w:rPr>
          <w:rFonts w:ascii="Times New Roman" w:hAnsi="Times New Roman"/>
          <w:sz w:val="24"/>
          <w:szCs w:val="24"/>
        </w:rPr>
        <w:t>We</w:t>
      </w:r>
      <w:r w:rsidR="00E16FB9" w:rsidRPr="000E6048">
        <w:rPr>
          <w:rFonts w:ascii="Times New Roman" w:hAnsi="Times New Roman"/>
          <w:sz w:val="24"/>
          <w:szCs w:val="24"/>
        </w:rPr>
        <w:t xml:space="preserve"> firstly list the correlations of the foreign country indices with an equally weighted portfolio of purely domestic US firms and then with the Russell 1000.  Firms with no foreign activity should in theory have the lowest correlation with foreign market indices, and would not be expected to provide benefits of international diversification.  The Russell 1000 is intended to be a broad representation of all US firms.  The average correlation of emerging markets countries with the US market is lower than for developed markets, 34 </w:t>
      </w:r>
      <w:r w:rsidR="003B3D51">
        <w:rPr>
          <w:rFonts w:ascii="Times New Roman" w:hAnsi="Times New Roman"/>
          <w:sz w:val="24"/>
          <w:szCs w:val="24"/>
        </w:rPr>
        <w:t>percent</w:t>
      </w:r>
      <w:r w:rsidR="00E16FB9" w:rsidRPr="000E6048">
        <w:rPr>
          <w:rFonts w:ascii="Times New Roman" w:hAnsi="Times New Roman"/>
          <w:sz w:val="24"/>
          <w:szCs w:val="24"/>
        </w:rPr>
        <w:t xml:space="preserve"> versus 51 </w:t>
      </w:r>
      <w:r w:rsidR="003B3D51">
        <w:rPr>
          <w:rFonts w:ascii="Times New Roman" w:hAnsi="Times New Roman"/>
          <w:sz w:val="24"/>
          <w:szCs w:val="24"/>
        </w:rPr>
        <w:t>percent</w:t>
      </w:r>
      <w:r w:rsidR="00E16FB9" w:rsidRPr="000E6048">
        <w:rPr>
          <w:rFonts w:ascii="Times New Roman" w:hAnsi="Times New Roman"/>
          <w:sz w:val="24"/>
          <w:szCs w:val="24"/>
        </w:rPr>
        <w:t xml:space="preserve">.  The lowest correlations with emerging market countries are with Thailand, Malaysia and Indonesia at between 16 and 23 </w:t>
      </w:r>
      <w:r w:rsidR="003B3D51">
        <w:rPr>
          <w:rFonts w:ascii="Times New Roman" w:hAnsi="Times New Roman"/>
          <w:sz w:val="24"/>
          <w:szCs w:val="24"/>
        </w:rPr>
        <w:t>percent</w:t>
      </w:r>
      <w:r w:rsidR="00E16FB9" w:rsidRPr="000E6048">
        <w:rPr>
          <w:rFonts w:ascii="Times New Roman" w:hAnsi="Times New Roman"/>
          <w:sz w:val="24"/>
          <w:szCs w:val="24"/>
        </w:rPr>
        <w:t xml:space="preserve">.  The lowest with a developed market is with Japan at 27 </w:t>
      </w:r>
      <w:r w:rsidR="003B3D51">
        <w:rPr>
          <w:rFonts w:ascii="Times New Roman" w:hAnsi="Times New Roman"/>
          <w:sz w:val="24"/>
          <w:szCs w:val="24"/>
        </w:rPr>
        <w:t>percent</w:t>
      </w:r>
      <w:r w:rsidR="00E16FB9" w:rsidRPr="000E6048">
        <w:rPr>
          <w:rFonts w:ascii="Times New Roman" w:hAnsi="Times New Roman"/>
          <w:sz w:val="24"/>
          <w:szCs w:val="24"/>
        </w:rPr>
        <w:t xml:space="preserve">.  The highest correlation with an emerging market country is 61 </w:t>
      </w:r>
      <w:r w:rsidR="003B3D51">
        <w:rPr>
          <w:rFonts w:ascii="Times New Roman" w:hAnsi="Times New Roman"/>
          <w:sz w:val="24"/>
          <w:szCs w:val="24"/>
        </w:rPr>
        <w:t>percent</w:t>
      </w:r>
      <w:r w:rsidR="00E16FB9" w:rsidRPr="000E6048">
        <w:rPr>
          <w:rFonts w:ascii="Times New Roman" w:hAnsi="Times New Roman"/>
          <w:sz w:val="24"/>
          <w:szCs w:val="24"/>
        </w:rPr>
        <w:t xml:space="preserve"> with Mexico and with developed markets with Canada, the UK, France and Germany between 61 and 66 </w:t>
      </w:r>
      <w:r w:rsidR="003B3D51">
        <w:rPr>
          <w:rFonts w:ascii="Times New Roman" w:hAnsi="Times New Roman"/>
          <w:sz w:val="24"/>
          <w:szCs w:val="24"/>
        </w:rPr>
        <w:t>percent</w:t>
      </w:r>
      <w:r w:rsidR="00E16FB9" w:rsidRPr="000E6048">
        <w:rPr>
          <w:rFonts w:ascii="Times New Roman" w:hAnsi="Times New Roman"/>
          <w:sz w:val="24"/>
          <w:szCs w:val="24"/>
        </w:rPr>
        <w:t xml:space="preserve">.  The countries closest to the US; Mexico and Canada are amongst those countries with the highest correlation while those with the lowest correlation are geographically distant.  This concurs with previous findings that business cycles correlations decrease with distance </w:t>
      </w:r>
      <w:r w:rsidR="00E16FB9"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"03043932", "abstract" : "This paper investigates the determinants of business cycle comovement between countries. Our dataset includes over 100 countries, both developed and developing. We search for variables that are \u201crobust\u201d in explaining comovement, using the approach of Leamer (Amer. Econom. Rev. 73 (1983) 31). Variables considered are (i) bilateral trade between countries; (ii) total trade in each country; (iii) sectoral structure; (iv) similarity in export and import baskets; (v) factor endowments; and (vi) gravity variables. We find that bilateral trade is robust. However, two variables that the literature has argued are important for business cycles\u2014industrial structure and currency unions\u2014are found not to be robust.", "author" : [ { "dropping-particle" : "", "family" : "Baxter", "given" : "Marianne", "non-dropping-particle" : "", "parse-names" : false, "suffix" : "" }, { "dropping-particle" : "", "family" : "Kouparitsas", "given" : "Michael", "non-dropping-particle" : "", "parse-names" : false, "suffix" : "" } ], "container-title" : "Journal of Monetary Economics", "id" : "ITEM-1", "issue" : "1", "issued" : { "date-parts" : [ [ "2005", "1" ] ] }, "page" : "113-157", "title" : "Determinants of business cycle comovement: a robust analysis", "type" : "article-journal", "volume" : "52" }, "uris" : [ "http://www.mendeley.com/documents/?uuid=5243a4b2-cd64-4110-bddc-bcc451f121ff" ] } ], "mendeley" : { "previouslyFormattedCitation" : "(Baxter &amp; Kouparitsas, 2005)" }, "properties" : { "noteIndex" : 0 }, "schema" : "https://github.com/citation-style-language/schema/raw/master/csl-citation.json" }</w:instrText>
      </w:r>
      <w:r w:rsidR="00E16FB9" w:rsidRPr="000E6048">
        <w:rPr>
          <w:rFonts w:ascii="Times New Roman" w:hAnsi="Times New Roman"/>
          <w:sz w:val="24"/>
          <w:szCs w:val="24"/>
        </w:rPr>
        <w:fldChar w:fldCharType="separate"/>
      </w:r>
      <w:r w:rsidR="00E16FB9" w:rsidRPr="000E6048">
        <w:rPr>
          <w:rFonts w:ascii="Times New Roman" w:hAnsi="Times New Roman"/>
          <w:noProof/>
          <w:sz w:val="24"/>
          <w:szCs w:val="24"/>
        </w:rPr>
        <w:t>(Baxter &amp; Kouparitsas, 2005)</w:t>
      </w:r>
      <w:r w:rsidR="00E16FB9" w:rsidRPr="000E6048">
        <w:rPr>
          <w:rFonts w:ascii="Times New Roman" w:hAnsi="Times New Roman"/>
          <w:sz w:val="24"/>
          <w:szCs w:val="24"/>
        </w:rPr>
        <w:fldChar w:fldCharType="end"/>
      </w:r>
      <w:r w:rsidR="00E16FB9" w:rsidRPr="000E6048">
        <w:rPr>
          <w:rFonts w:ascii="Times New Roman" w:hAnsi="Times New Roman"/>
          <w:sz w:val="24"/>
          <w:szCs w:val="24"/>
        </w:rPr>
        <w:t xml:space="preserve">.  </w:t>
      </w:r>
    </w:p>
    <w:p w14:paraId="2B12C56D" w14:textId="77777777" w:rsidR="00E16FB9" w:rsidRPr="000E6048" w:rsidRDefault="00E16FB9" w:rsidP="001F233D">
      <w:pPr>
        <w:spacing w:line="360" w:lineRule="auto"/>
        <w:jc w:val="both"/>
        <w:rPr>
          <w:rFonts w:ascii="Times New Roman" w:hAnsi="Times New Roman"/>
          <w:sz w:val="24"/>
          <w:szCs w:val="24"/>
        </w:rPr>
      </w:pPr>
      <w:r w:rsidRPr="000E6048">
        <w:rPr>
          <w:rFonts w:ascii="Times New Roman" w:hAnsi="Times New Roman"/>
          <w:sz w:val="24"/>
          <w:szCs w:val="24"/>
        </w:rPr>
        <w:lastRenderedPageBreak/>
        <w:t xml:space="preserve">Subsequent columns list the correlations of the replicating portfolios with the foreign country indices.  Starting with D1, the changes from the correlations with the domestic portfolio are modest, increasing by approximately 5 </w:t>
      </w:r>
      <w:r w:rsidR="003B3D51">
        <w:rPr>
          <w:rFonts w:ascii="Times New Roman" w:hAnsi="Times New Roman"/>
          <w:sz w:val="24"/>
          <w:szCs w:val="24"/>
        </w:rPr>
        <w:t>percent</w:t>
      </w:r>
      <w:r w:rsidRPr="000E6048">
        <w:rPr>
          <w:rFonts w:ascii="Times New Roman" w:hAnsi="Times New Roman"/>
          <w:sz w:val="24"/>
          <w:szCs w:val="24"/>
        </w:rPr>
        <w:t xml:space="preserve"> for most countries.  The lowest correlations are with Indonesia, Malaysia, Philippines and Thailand at between 24 and 27 </w:t>
      </w:r>
      <w:r w:rsidR="003B3D51">
        <w:rPr>
          <w:rFonts w:ascii="Times New Roman" w:hAnsi="Times New Roman"/>
          <w:sz w:val="24"/>
          <w:szCs w:val="24"/>
        </w:rPr>
        <w:t>percent</w:t>
      </w:r>
      <w:r w:rsidRPr="000E6048">
        <w:rPr>
          <w:rFonts w:ascii="Times New Roman" w:hAnsi="Times New Roman"/>
          <w:sz w:val="24"/>
          <w:szCs w:val="24"/>
        </w:rPr>
        <w:t>.  The average increase from the correlations with the domestic portfolio to the corr</w:t>
      </w:r>
      <w:r>
        <w:rPr>
          <w:rFonts w:ascii="Times New Roman" w:hAnsi="Times New Roman"/>
          <w:sz w:val="24"/>
          <w:szCs w:val="24"/>
        </w:rPr>
        <w:t xml:space="preserve">elations with D2 is 9 </w:t>
      </w:r>
      <w:r w:rsidR="003B3D51">
        <w:rPr>
          <w:rFonts w:ascii="Times New Roman" w:hAnsi="Times New Roman"/>
          <w:sz w:val="24"/>
          <w:szCs w:val="24"/>
        </w:rPr>
        <w:t>percent</w:t>
      </w:r>
      <w:r>
        <w:rPr>
          <w:rFonts w:ascii="Times New Roman" w:hAnsi="Times New Roman"/>
          <w:sz w:val="24"/>
          <w:szCs w:val="24"/>
        </w:rPr>
        <w:t xml:space="preserve"> and </w:t>
      </w:r>
      <w:r w:rsidRPr="000E6048">
        <w:rPr>
          <w:rFonts w:ascii="Times New Roman" w:hAnsi="Times New Roman"/>
          <w:sz w:val="24"/>
          <w:szCs w:val="24"/>
        </w:rPr>
        <w:t xml:space="preserve">the lowest correlation is 31 </w:t>
      </w:r>
      <w:r w:rsidR="003B3D51">
        <w:rPr>
          <w:rFonts w:ascii="Times New Roman" w:hAnsi="Times New Roman"/>
          <w:sz w:val="24"/>
          <w:szCs w:val="24"/>
        </w:rPr>
        <w:t>percent</w:t>
      </w:r>
      <w:r w:rsidRPr="000E6048">
        <w:rPr>
          <w:rFonts w:ascii="Times New Roman" w:hAnsi="Times New Roman"/>
          <w:sz w:val="24"/>
          <w:szCs w:val="24"/>
        </w:rPr>
        <w:t xml:space="preserve"> with Indonesia.  For the D3 portfolios, there is a substantial increase in the correlations.  The average increase in correlation is 23 </w:t>
      </w:r>
      <w:r w:rsidR="003B3D51">
        <w:rPr>
          <w:rFonts w:ascii="Times New Roman" w:hAnsi="Times New Roman"/>
          <w:sz w:val="24"/>
          <w:szCs w:val="24"/>
        </w:rPr>
        <w:t>percent</w:t>
      </w:r>
      <w:r w:rsidRPr="000E6048">
        <w:rPr>
          <w:rFonts w:ascii="Times New Roman" w:hAnsi="Times New Roman"/>
          <w:sz w:val="24"/>
          <w:szCs w:val="24"/>
        </w:rPr>
        <w:t xml:space="preserve">, substantially higher than for the other two portfolio types.  The lowest correlation is 43 </w:t>
      </w:r>
      <w:r w:rsidR="003B3D51">
        <w:rPr>
          <w:rFonts w:ascii="Times New Roman" w:hAnsi="Times New Roman"/>
          <w:sz w:val="24"/>
          <w:szCs w:val="24"/>
        </w:rPr>
        <w:t>percent</w:t>
      </w:r>
      <w:r w:rsidRPr="000E6048">
        <w:rPr>
          <w:rFonts w:ascii="Times New Roman" w:hAnsi="Times New Roman"/>
          <w:sz w:val="24"/>
          <w:szCs w:val="24"/>
        </w:rPr>
        <w:t xml:space="preserve"> with China, while the highest is 88 </w:t>
      </w:r>
      <w:r w:rsidR="003B3D51">
        <w:rPr>
          <w:rFonts w:ascii="Times New Roman" w:hAnsi="Times New Roman"/>
          <w:sz w:val="24"/>
          <w:szCs w:val="24"/>
        </w:rPr>
        <w:t>percent</w:t>
      </w:r>
      <w:r w:rsidRPr="000E6048">
        <w:rPr>
          <w:rFonts w:ascii="Times New Roman" w:hAnsi="Times New Roman"/>
          <w:sz w:val="24"/>
          <w:szCs w:val="24"/>
        </w:rPr>
        <w:t xml:space="preserve"> with Australia.   The addition of ADRs, iShares and CCFs has a large impact on the correlation of the replicating portfolio with the relevant foreign country index.  </w:t>
      </w:r>
    </w:p>
    <w:p w14:paraId="0A2CC277" w14:textId="77777777" w:rsidR="00E16FB9" w:rsidRPr="007210AF" w:rsidRDefault="00991889" w:rsidP="00502E34">
      <w:pPr>
        <w:spacing w:line="360" w:lineRule="auto"/>
        <w:contextualSpacing/>
        <w:jc w:val="both"/>
        <w:rPr>
          <w:rFonts w:ascii="Times New Roman" w:hAnsi="Times New Roman"/>
          <w:sz w:val="24"/>
          <w:szCs w:val="24"/>
        </w:rPr>
      </w:pPr>
      <w:r>
        <w:rPr>
          <w:rFonts w:ascii="Times New Roman" w:hAnsi="Times New Roman"/>
          <w:sz w:val="24"/>
          <w:szCs w:val="24"/>
        </w:rPr>
        <w:t>We</w:t>
      </w:r>
      <w:r w:rsidR="00E16FB9" w:rsidRPr="000E6048">
        <w:rPr>
          <w:rFonts w:ascii="Times New Roman" w:hAnsi="Times New Roman"/>
          <w:sz w:val="24"/>
          <w:szCs w:val="24"/>
        </w:rPr>
        <w:t xml:space="preserve"> next analyse the performance of each foreign country index and its replicating portfolios.  The </w:t>
      </w:r>
      <w:r w:rsidR="00E16FB9">
        <w:rPr>
          <w:rFonts w:ascii="Times New Roman" w:hAnsi="Times New Roman"/>
          <w:sz w:val="24"/>
          <w:szCs w:val="24"/>
        </w:rPr>
        <w:t>risk and return for each foreign country index and its 3 replicating portfolios are listed in</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_Ref384643250 \h  \* MERGEFORMAT </w:instrText>
      </w:r>
      <w:r>
        <w:rPr>
          <w:rFonts w:ascii="Times New Roman" w:hAnsi="Times New Roman"/>
          <w:sz w:val="24"/>
          <w:szCs w:val="24"/>
        </w:rPr>
      </w:r>
      <w:r>
        <w:rPr>
          <w:rFonts w:ascii="Times New Roman" w:hAnsi="Times New Roman"/>
          <w:sz w:val="24"/>
          <w:szCs w:val="24"/>
        </w:rPr>
        <w:fldChar w:fldCharType="separate"/>
      </w:r>
      <w:r w:rsidR="00A0607E" w:rsidRPr="00A0607E">
        <w:rPr>
          <w:rFonts w:ascii="Times New Roman" w:hAnsi="Times New Roman"/>
          <w:sz w:val="24"/>
          <w:szCs w:val="24"/>
        </w:rPr>
        <w:t>Table 5</w:t>
      </w:r>
      <w:r>
        <w:rPr>
          <w:rFonts w:ascii="Times New Roman" w:hAnsi="Times New Roman"/>
          <w:sz w:val="24"/>
          <w:szCs w:val="24"/>
        </w:rPr>
        <w:fldChar w:fldCharType="end"/>
      </w:r>
      <w:r w:rsidR="00E16FB9" w:rsidRPr="000E6048">
        <w:rPr>
          <w:rFonts w:ascii="Times New Roman" w:hAnsi="Times New Roman"/>
          <w:sz w:val="24"/>
          <w:szCs w:val="24"/>
        </w:rPr>
        <w:t xml:space="preserve">.  </w:t>
      </w:r>
      <w:r w:rsidR="00E16FB9">
        <w:rPr>
          <w:rFonts w:ascii="Times New Roman" w:hAnsi="Times New Roman"/>
          <w:sz w:val="24"/>
          <w:szCs w:val="24"/>
        </w:rPr>
        <w:t xml:space="preserve">Emerging markets have higher volatility on average, 38.2 percent, </w:t>
      </w:r>
      <w:r w:rsidR="00502E34">
        <w:rPr>
          <w:rFonts w:ascii="Times New Roman" w:hAnsi="Times New Roman"/>
          <w:sz w:val="24"/>
          <w:szCs w:val="24"/>
        </w:rPr>
        <w:t xml:space="preserve">while </w:t>
      </w:r>
      <w:r w:rsidR="00E16FB9">
        <w:rPr>
          <w:rFonts w:ascii="Times New Roman" w:hAnsi="Times New Roman"/>
          <w:sz w:val="24"/>
          <w:szCs w:val="24"/>
        </w:rPr>
        <w:t>the averag</w:t>
      </w:r>
      <w:r w:rsidR="003B3D51">
        <w:rPr>
          <w:rFonts w:ascii="Times New Roman" w:hAnsi="Times New Roman"/>
          <w:sz w:val="24"/>
          <w:szCs w:val="24"/>
        </w:rPr>
        <w:t>e for developed markets is 25.7 percent</w:t>
      </w:r>
      <w:r w:rsidR="00E16FB9">
        <w:rPr>
          <w:rFonts w:ascii="Times New Roman" w:hAnsi="Times New Roman"/>
          <w:sz w:val="24"/>
          <w:szCs w:val="24"/>
        </w:rPr>
        <w:t>.  Emerging markets also have a higher average return than developed markets, 8.2 percent versus 6.9 percent.  However, the</w:t>
      </w:r>
      <w:r w:rsidR="00E16FB9" w:rsidRPr="000E6048">
        <w:rPr>
          <w:rFonts w:ascii="Times New Roman" w:hAnsi="Times New Roman"/>
          <w:sz w:val="24"/>
          <w:szCs w:val="24"/>
        </w:rPr>
        <w:t xml:space="preserve"> average </w:t>
      </w:r>
      <w:r w:rsidR="00E16FB9">
        <w:rPr>
          <w:rFonts w:ascii="Times New Roman" w:hAnsi="Times New Roman"/>
          <w:sz w:val="24"/>
          <w:szCs w:val="24"/>
        </w:rPr>
        <w:t xml:space="preserve">return per unit of risk </w:t>
      </w:r>
      <w:r w:rsidR="00E16FB9" w:rsidRPr="000E6048">
        <w:rPr>
          <w:rFonts w:ascii="Times New Roman" w:hAnsi="Times New Roman"/>
          <w:sz w:val="24"/>
          <w:szCs w:val="24"/>
        </w:rPr>
        <w:t>is lower for emerging markets</w:t>
      </w:r>
      <w:r w:rsidR="00E16FB9">
        <w:rPr>
          <w:rFonts w:ascii="Times New Roman" w:hAnsi="Times New Roman"/>
          <w:sz w:val="24"/>
          <w:szCs w:val="24"/>
        </w:rPr>
        <w:t xml:space="preserve"> than developed markets</w:t>
      </w:r>
      <w:r w:rsidR="00E16FB9" w:rsidRPr="000E6048">
        <w:rPr>
          <w:rFonts w:ascii="Times New Roman" w:hAnsi="Times New Roman"/>
          <w:sz w:val="24"/>
          <w:szCs w:val="24"/>
        </w:rPr>
        <w:t xml:space="preserve">, 0.23 versus 0.27.  </w:t>
      </w:r>
      <w:r w:rsidR="00E16FB9">
        <w:rPr>
          <w:rFonts w:ascii="Times New Roman" w:hAnsi="Times New Roman"/>
          <w:sz w:val="24"/>
          <w:szCs w:val="24"/>
        </w:rPr>
        <w:t xml:space="preserve">The risk of the replicating portfolios is lower than the risk of the foreign country indices in almost every instance, apart from the D3 portfolio for Russia.  For every country the risk of the D3 portfolio is greater than that of the D2 portfolio, and </w:t>
      </w:r>
      <w:r w:rsidR="00502E34">
        <w:rPr>
          <w:rFonts w:ascii="Times New Roman" w:hAnsi="Times New Roman"/>
          <w:sz w:val="24"/>
          <w:szCs w:val="24"/>
        </w:rPr>
        <w:t xml:space="preserve">the risk of </w:t>
      </w:r>
      <w:r w:rsidR="00E16FB9">
        <w:rPr>
          <w:rFonts w:ascii="Times New Roman" w:hAnsi="Times New Roman"/>
          <w:sz w:val="24"/>
          <w:szCs w:val="24"/>
        </w:rPr>
        <w:t xml:space="preserve">D2 greater than </w:t>
      </w:r>
      <w:r w:rsidR="00502E34">
        <w:rPr>
          <w:rFonts w:ascii="Times New Roman" w:hAnsi="Times New Roman"/>
          <w:sz w:val="24"/>
          <w:szCs w:val="24"/>
        </w:rPr>
        <w:t xml:space="preserve">the risk of </w:t>
      </w:r>
      <w:r w:rsidR="00E16FB9">
        <w:rPr>
          <w:rFonts w:ascii="Times New Roman" w:hAnsi="Times New Roman"/>
          <w:sz w:val="24"/>
          <w:szCs w:val="24"/>
        </w:rPr>
        <w:t xml:space="preserve">D1.  The returns of the replicating portfolios are mostly lower than those </w:t>
      </w:r>
      <w:r w:rsidR="00502E34">
        <w:rPr>
          <w:rFonts w:ascii="Times New Roman" w:hAnsi="Times New Roman"/>
          <w:sz w:val="24"/>
          <w:szCs w:val="24"/>
        </w:rPr>
        <w:t xml:space="preserve">of the foreign country indices; </w:t>
      </w:r>
      <w:r w:rsidR="00E16FB9">
        <w:rPr>
          <w:rFonts w:ascii="Times New Roman" w:hAnsi="Times New Roman"/>
          <w:sz w:val="24"/>
          <w:szCs w:val="24"/>
        </w:rPr>
        <w:t xml:space="preserve">for 30 D1, 32 D2 and 33 D3 portfolios.  The return per unit of risk for the replicating portfolios is lower than the foreign country index for 14 D1, 19 D2 and 25 D3 portfolios.  Stepwise regression selects </w:t>
      </w:r>
      <w:r w:rsidR="00E16FB9" w:rsidRPr="000E6048">
        <w:rPr>
          <w:rFonts w:ascii="Times New Roman" w:hAnsi="Times New Roman"/>
          <w:sz w:val="24"/>
          <w:szCs w:val="24"/>
        </w:rPr>
        <w:t xml:space="preserve">assets to maximise the correlation of the portfolio with the country index, but as the correlations increase improved performance </w:t>
      </w:r>
      <w:r>
        <w:rPr>
          <w:rFonts w:ascii="Times New Roman" w:hAnsi="Times New Roman"/>
          <w:sz w:val="24"/>
          <w:szCs w:val="24"/>
        </w:rPr>
        <w:t xml:space="preserve">does not necessarily follow.  We </w:t>
      </w:r>
      <w:r w:rsidR="00E16FB9" w:rsidRPr="000E6048">
        <w:rPr>
          <w:rFonts w:ascii="Times New Roman" w:hAnsi="Times New Roman"/>
          <w:sz w:val="24"/>
          <w:szCs w:val="24"/>
        </w:rPr>
        <w:t>next investigate the benefit of adding the foreign country indices to the replicating portfolios.</w:t>
      </w:r>
      <w:r>
        <w:rPr>
          <w:rFonts w:ascii="Times New Roman" w:hAnsi="Times New Roman"/>
          <w:sz w:val="24"/>
          <w:szCs w:val="24"/>
        </w:rPr>
        <w:t xml:space="preserve">  </w:t>
      </w:r>
    </w:p>
    <w:p w14:paraId="722CF6DD" w14:textId="77777777" w:rsidR="001F4DDE" w:rsidRDefault="001F4DDE" w:rsidP="00B45F9D">
      <w:pPr>
        <w:pStyle w:val="Heading2"/>
      </w:pPr>
      <w:r>
        <w:t>5.3 Diversification Benefits</w:t>
      </w:r>
    </w:p>
    <w:p w14:paraId="42077FDC" w14:textId="77777777" w:rsidR="00E16FB9" w:rsidRPr="0049535D" w:rsidRDefault="00991889" w:rsidP="001F233D">
      <w:pPr>
        <w:spacing w:line="360" w:lineRule="auto"/>
        <w:jc w:val="both"/>
        <w:rPr>
          <w:rFonts w:ascii="Times New Roman" w:hAnsi="Times New Roman"/>
          <w:color w:val="FF0000"/>
          <w:sz w:val="24"/>
          <w:szCs w:val="24"/>
        </w:rPr>
      </w:pPr>
      <w:r>
        <w:rPr>
          <w:rFonts w:ascii="Times New Roman" w:hAnsi="Times New Roman"/>
          <w:sz w:val="24"/>
          <w:szCs w:val="24"/>
        </w:rPr>
        <w:t>We</w:t>
      </w:r>
      <w:r w:rsidR="00E16FB9" w:rsidRPr="000E6048">
        <w:rPr>
          <w:rFonts w:ascii="Times New Roman" w:hAnsi="Times New Roman"/>
          <w:sz w:val="24"/>
          <w:szCs w:val="24"/>
        </w:rPr>
        <w:t xml:space="preserve"> investigate whether the benefits of international diversification can be exhausted using domestically</w:t>
      </w:r>
      <w:r w:rsidR="00502E34">
        <w:rPr>
          <w:rFonts w:ascii="Times New Roman" w:hAnsi="Times New Roman"/>
          <w:sz w:val="24"/>
          <w:szCs w:val="24"/>
        </w:rPr>
        <w:t>-</w:t>
      </w:r>
      <w:r w:rsidR="00E16FB9" w:rsidRPr="000E6048">
        <w:rPr>
          <w:rFonts w:ascii="Times New Roman" w:hAnsi="Times New Roman"/>
          <w:sz w:val="24"/>
          <w:szCs w:val="24"/>
        </w:rPr>
        <w:t xml:space="preserve">traded products by adding the foreign country index to the replicating portfolio and testing whether the foreign country index is spanned by the replicating portfolio.  That is, are </w:t>
      </w:r>
      <w:r w:rsidR="00E16FB9" w:rsidRPr="000E6048">
        <w:rPr>
          <w:rFonts w:ascii="Times New Roman" w:hAnsi="Times New Roman"/>
          <w:sz w:val="24"/>
          <w:szCs w:val="24"/>
        </w:rPr>
        <w:lastRenderedPageBreak/>
        <w:t xml:space="preserve">there addition diversification benefits to be gained by investing in the foreign country index beyond those available via investment </w:t>
      </w:r>
      <w:r w:rsidR="001472B9">
        <w:rPr>
          <w:rFonts w:ascii="Times New Roman" w:hAnsi="Times New Roman"/>
          <w:sz w:val="24"/>
          <w:szCs w:val="24"/>
        </w:rPr>
        <w:t>in US-traded equity products?  We</w:t>
      </w:r>
      <w:r w:rsidR="00E16FB9" w:rsidRPr="000E6048">
        <w:rPr>
          <w:rFonts w:ascii="Times New Roman" w:hAnsi="Times New Roman"/>
          <w:sz w:val="24"/>
          <w:szCs w:val="24"/>
        </w:rPr>
        <w:t xml:space="preserve"> test this usi</w:t>
      </w:r>
      <w:r w:rsidR="001472B9">
        <w:rPr>
          <w:rFonts w:ascii="Times New Roman" w:hAnsi="Times New Roman"/>
          <w:sz w:val="24"/>
          <w:szCs w:val="24"/>
        </w:rPr>
        <w:t xml:space="preserve">ng Mean-Variance Spanning tests.  </w:t>
      </w:r>
      <w:r w:rsidR="00E16FB9" w:rsidRPr="000E6048">
        <w:rPr>
          <w:rFonts w:ascii="Times New Roman" w:hAnsi="Times New Roman"/>
          <w:sz w:val="24"/>
          <w:szCs w:val="24"/>
        </w:rPr>
        <w:t xml:space="preserve">The </w:t>
      </w:r>
      <w:r w:rsidR="00E21ABC">
        <w:rPr>
          <w:rFonts w:ascii="Times New Roman" w:hAnsi="Times New Roman"/>
          <w:sz w:val="24"/>
          <w:szCs w:val="24"/>
        </w:rPr>
        <w:t>F-statistics and p</w:t>
      </w:r>
      <w:r w:rsidR="00E16FB9">
        <w:rPr>
          <w:rFonts w:ascii="Times New Roman" w:hAnsi="Times New Roman"/>
          <w:sz w:val="24"/>
          <w:szCs w:val="24"/>
        </w:rPr>
        <w:t>-values from the Wald test of the joint coefficient restrictions</w:t>
      </w:r>
      <w:r w:rsidR="00E16FB9" w:rsidRPr="000E6048">
        <w:rPr>
          <w:rFonts w:ascii="Times New Roman" w:hAnsi="Times New Roman"/>
          <w:sz w:val="24"/>
          <w:szCs w:val="24"/>
        </w:rPr>
        <w:t xml:space="preserve"> are presented </w:t>
      </w:r>
      <w:r w:rsidR="00857FA4" w:rsidRPr="000E6048">
        <w:rPr>
          <w:rFonts w:ascii="Times New Roman" w:hAnsi="Times New Roman"/>
          <w:sz w:val="24"/>
          <w:szCs w:val="24"/>
        </w:rPr>
        <w:t>in</w:t>
      </w:r>
      <w:r w:rsidR="00857FA4">
        <w:rPr>
          <w:rFonts w:ascii="Times New Roman" w:hAnsi="Times New Roman"/>
          <w:sz w:val="24"/>
          <w:szCs w:val="24"/>
        </w:rPr>
        <w:t xml:space="preserve"> </w:t>
      </w:r>
      <w:r w:rsidR="00857FA4">
        <w:rPr>
          <w:rFonts w:ascii="Times New Roman" w:hAnsi="Times New Roman"/>
          <w:sz w:val="24"/>
          <w:szCs w:val="24"/>
        </w:rPr>
        <w:fldChar w:fldCharType="begin"/>
      </w:r>
      <w:r w:rsidR="00857FA4">
        <w:rPr>
          <w:rFonts w:ascii="Times New Roman" w:hAnsi="Times New Roman"/>
          <w:sz w:val="24"/>
          <w:szCs w:val="24"/>
        </w:rPr>
        <w:instrText xml:space="preserve"> REF _Ref384643367 \h  \* MERGEFORMAT </w:instrText>
      </w:r>
      <w:r w:rsidR="00857FA4">
        <w:rPr>
          <w:rFonts w:ascii="Times New Roman" w:hAnsi="Times New Roman"/>
          <w:sz w:val="24"/>
          <w:szCs w:val="24"/>
        </w:rPr>
      </w:r>
      <w:r w:rsidR="00857FA4">
        <w:rPr>
          <w:rFonts w:ascii="Times New Roman" w:hAnsi="Times New Roman"/>
          <w:sz w:val="24"/>
          <w:szCs w:val="24"/>
        </w:rPr>
        <w:fldChar w:fldCharType="separate"/>
      </w:r>
      <w:r w:rsidR="00A0607E" w:rsidRPr="00A0607E">
        <w:rPr>
          <w:rFonts w:ascii="Times New Roman" w:hAnsi="Times New Roman"/>
          <w:sz w:val="24"/>
          <w:szCs w:val="24"/>
        </w:rPr>
        <w:t>Table 6</w:t>
      </w:r>
      <w:r w:rsidR="00857FA4">
        <w:rPr>
          <w:rFonts w:ascii="Times New Roman" w:hAnsi="Times New Roman"/>
          <w:sz w:val="24"/>
          <w:szCs w:val="24"/>
        </w:rPr>
        <w:fldChar w:fldCharType="end"/>
      </w:r>
      <w:r w:rsidR="00E16FB9">
        <w:rPr>
          <w:rFonts w:ascii="Times New Roman" w:hAnsi="Times New Roman"/>
          <w:sz w:val="24"/>
          <w:szCs w:val="24"/>
        </w:rPr>
        <w:t xml:space="preserve">.  The </w:t>
      </w:r>
      <w:r w:rsidR="00E21ABC">
        <w:rPr>
          <w:rFonts w:ascii="Times New Roman" w:hAnsi="Times New Roman"/>
          <w:sz w:val="24"/>
          <w:szCs w:val="24"/>
        </w:rPr>
        <w:t>p</w:t>
      </w:r>
      <w:r w:rsidR="00E16FB9" w:rsidRPr="000E6048">
        <w:rPr>
          <w:rFonts w:ascii="Times New Roman" w:hAnsi="Times New Roman"/>
          <w:sz w:val="24"/>
          <w:szCs w:val="24"/>
        </w:rPr>
        <w:t xml:space="preserve">-values </w:t>
      </w:r>
      <w:r w:rsidR="00E16FB9">
        <w:rPr>
          <w:rFonts w:ascii="Times New Roman" w:hAnsi="Times New Roman"/>
          <w:sz w:val="24"/>
          <w:szCs w:val="24"/>
        </w:rPr>
        <w:t>represent</w:t>
      </w:r>
      <w:r w:rsidR="00E16FB9" w:rsidRPr="000E6048">
        <w:rPr>
          <w:rFonts w:ascii="Times New Roman" w:hAnsi="Times New Roman"/>
          <w:sz w:val="24"/>
          <w:szCs w:val="24"/>
        </w:rPr>
        <w:t xml:space="preserve"> the probability of </w:t>
      </w:r>
      <w:r w:rsidR="00E16FB9">
        <w:rPr>
          <w:rFonts w:ascii="Times New Roman" w:hAnsi="Times New Roman"/>
          <w:sz w:val="24"/>
          <w:szCs w:val="24"/>
        </w:rPr>
        <w:t>not rejecting</w:t>
      </w:r>
      <w:r w:rsidR="00E16FB9" w:rsidRPr="000E6048">
        <w:rPr>
          <w:rFonts w:ascii="Times New Roman" w:hAnsi="Times New Roman"/>
          <w:sz w:val="24"/>
          <w:szCs w:val="24"/>
        </w:rPr>
        <w:t xml:space="preserve"> the null hypothesis that the benchmark asset, the replicating portfolio, spans the test asset, the foreign country index.  If the benchmark asset spans the test asset, the addition of the foreign country index does not shift the mean variance frontier of the replicating portfolio and does not yield additional diversification b</w:t>
      </w:r>
      <w:r w:rsidR="001472B9">
        <w:rPr>
          <w:rFonts w:ascii="Times New Roman" w:hAnsi="Times New Roman"/>
          <w:sz w:val="24"/>
          <w:szCs w:val="24"/>
        </w:rPr>
        <w:t>enefits.  Using OLS estimation we</w:t>
      </w:r>
      <w:r w:rsidR="00E16FB9">
        <w:rPr>
          <w:rFonts w:ascii="Times New Roman" w:hAnsi="Times New Roman"/>
          <w:sz w:val="24"/>
          <w:szCs w:val="24"/>
        </w:rPr>
        <w:t xml:space="preserve"> find that the </w:t>
      </w:r>
      <w:r w:rsidR="00E21ABC">
        <w:rPr>
          <w:rFonts w:ascii="Times New Roman" w:hAnsi="Times New Roman"/>
          <w:sz w:val="24"/>
          <w:szCs w:val="24"/>
        </w:rPr>
        <w:t>p</w:t>
      </w:r>
      <w:r w:rsidR="00E16FB9" w:rsidRPr="000E6048">
        <w:rPr>
          <w:rFonts w:ascii="Times New Roman" w:hAnsi="Times New Roman"/>
          <w:sz w:val="24"/>
          <w:szCs w:val="24"/>
        </w:rPr>
        <w:t xml:space="preserve">-values </w:t>
      </w:r>
      <w:r w:rsidR="00E16FB9">
        <w:rPr>
          <w:rFonts w:ascii="Times New Roman" w:hAnsi="Times New Roman"/>
          <w:sz w:val="24"/>
          <w:szCs w:val="24"/>
        </w:rPr>
        <w:t xml:space="preserve">for all of the replicating portfolios </w:t>
      </w:r>
      <w:r w:rsidR="00E16FB9" w:rsidRPr="000E6048">
        <w:rPr>
          <w:rFonts w:ascii="Times New Roman" w:hAnsi="Times New Roman"/>
          <w:sz w:val="24"/>
          <w:szCs w:val="24"/>
        </w:rPr>
        <w:t>are above 0.23</w:t>
      </w:r>
      <w:r w:rsidR="00E16FB9" w:rsidRPr="00D10FD1">
        <w:rPr>
          <w:rFonts w:ascii="Times New Roman" w:hAnsi="Times New Roman"/>
          <w:sz w:val="24"/>
          <w:szCs w:val="24"/>
        </w:rPr>
        <w:t xml:space="preserve"> </w:t>
      </w:r>
      <w:r w:rsidR="00E16FB9">
        <w:rPr>
          <w:rFonts w:ascii="Times New Roman" w:hAnsi="Times New Roman"/>
          <w:sz w:val="24"/>
          <w:szCs w:val="24"/>
        </w:rPr>
        <w:t>for 36 countries</w:t>
      </w:r>
      <w:r w:rsidR="001472B9">
        <w:rPr>
          <w:rFonts w:ascii="Times New Roman" w:hAnsi="Times New Roman"/>
          <w:sz w:val="24"/>
          <w:szCs w:val="24"/>
        </w:rPr>
        <w:t>, leading us</w:t>
      </w:r>
      <w:r w:rsidR="00E16FB9" w:rsidRPr="000E6048">
        <w:rPr>
          <w:rFonts w:ascii="Times New Roman" w:hAnsi="Times New Roman"/>
          <w:sz w:val="24"/>
          <w:szCs w:val="24"/>
        </w:rPr>
        <w:t xml:space="preserve"> to </w:t>
      </w:r>
      <w:r w:rsidR="00E16FB9">
        <w:rPr>
          <w:rFonts w:ascii="Times New Roman" w:hAnsi="Times New Roman"/>
          <w:sz w:val="24"/>
          <w:szCs w:val="24"/>
        </w:rPr>
        <w:t>not reject</w:t>
      </w:r>
      <w:r w:rsidR="00E16FB9" w:rsidRPr="000E6048">
        <w:rPr>
          <w:rFonts w:ascii="Times New Roman" w:hAnsi="Times New Roman"/>
          <w:sz w:val="24"/>
          <w:szCs w:val="24"/>
        </w:rPr>
        <w:t xml:space="preserve"> the null hypothesis for 36 of the 37 countries.  The exception is Colombia which has </w:t>
      </w:r>
      <w:r w:rsidR="00E21ABC">
        <w:rPr>
          <w:rFonts w:ascii="Times New Roman" w:hAnsi="Times New Roman"/>
          <w:sz w:val="24"/>
          <w:szCs w:val="24"/>
        </w:rPr>
        <w:t>p</w:t>
      </w:r>
      <w:r w:rsidR="00E16FB9" w:rsidRPr="000E6048">
        <w:rPr>
          <w:rFonts w:ascii="Times New Roman" w:hAnsi="Times New Roman"/>
          <w:sz w:val="24"/>
          <w:szCs w:val="24"/>
        </w:rPr>
        <w:t>-values of 0.09 and 0.08 for its D</w:t>
      </w:r>
      <w:r w:rsidR="001472B9">
        <w:rPr>
          <w:rFonts w:ascii="Times New Roman" w:hAnsi="Times New Roman"/>
          <w:sz w:val="24"/>
          <w:szCs w:val="24"/>
        </w:rPr>
        <w:t>1 and D2 portfolios, for which we</w:t>
      </w:r>
      <w:r w:rsidR="00E16FB9" w:rsidRPr="000E6048">
        <w:rPr>
          <w:rFonts w:ascii="Times New Roman" w:hAnsi="Times New Roman"/>
          <w:sz w:val="24"/>
          <w:szCs w:val="24"/>
        </w:rPr>
        <w:t xml:space="preserve"> reject the null hypothesis of spanning at the 10 </w:t>
      </w:r>
      <w:r w:rsidR="003B3D51">
        <w:rPr>
          <w:rFonts w:ascii="Times New Roman" w:hAnsi="Times New Roman"/>
          <w:sz w:val="24"/>
          <w:szCs w:val="24"/>
        </w:rPr>
        <w:t>percent</w:t>
      </w:r>
      <w:r w:rsidR="00E16FB9" w:rsidRPr="000E6048">
        <w:rPr>
          <w:rFonts w:ascii="Times New Roman" w:hAnsi="Times New Roman"/>
          <w:sz w:val="24"/>
          <w:szCs w:val="24"/>
        </w:rPr>
        <w:t xml:space="preserve"> critical level.  </w:t>
      </w:r>
      <w:r w:rsidR="00E21ABC">
        <w:rPr>
          <w:rFonts w:ascii="Times New Roman" w:hAnsi="Times New Roman"/>
          <w:sz w:val="24"/>
          <w:szCs w:val="24"/>
        </w:rPr>
        <w:t>It does however have a p</w:t>
      </w:r>
      <w:r w:rsidR="00E16FB9">
        <w:rPr>
          <w:rFonts w:ascii="Times New Roman" w:hAnsi="Times New Roman"/>
          <w:sz w:val="24"/>
          <w:szCs w:val="24"/>
        </w:rPr>
        <w:t xml:space="preserve">-value of 0.14 for its D3 portfolio.  </w:t>
      </w:r>
      <w:r w:rsidR="00E16FB9" w:rsidRPr="000E6048">
        <w:rPr>
          <w:rFonts w:ascii="Times New Roman" w:hAnsi="Times New Roman"/>
          <w:sz w:val="24"/>
          <w:szCs w:val="24"/>
        </w:rPr>
        <w:t xml:space="preserve">These results are considerably stronger than those of </w:t>
      </w:r>
      <w:r w:rsidR="00E16FB9"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et al. (1999)", "previouslyFormattedCitation" : "(Errunza et al., 1999)" }, "properties" : { "noteIndex" : 0 }, "schema" : "https://github.com/citation-style-language/schema/raw/master/csl-citation.json" }</w:instrText>
      </w:r>
      <w:r w:rsidR="00E16FB9" w:rsidRPr="000E6048">
        <w:rPr>
          <w:rFonts w:ascii="Times New Roman" w:hAnsi="Times New Roman"/>
          <w:sz w:val="24"/>
          <w:szCs w:val="24"/>
        </w:rPr>
        <w:fldChar w:fldCharType="separate"/>
      </w:r>
      <w:r w:rsidR="00E16FB9" w:rsidRPr="000E6048">
        <w:rPr>
          <w:rFonts w:ascii="Times New Roman" w:hAnsi="Times New Roman"/>
          <w:noProof/>
          <w:sz w:val="24"/>
          <w:szCs w:val="24"/>
        </w:rPr>
        <w:t>Errunza et al. (1999)</w:t>
      </w:r>
      <w:r w:rsidR="00E16FB9" w:rsidRPr="000E6048">
        <w:rPr>
          <w:rFonts w:ascii="Times New Roman" w:hAnsi="Times New Roman"/>
          <w:sz w:val="24"/>
          <w:szCs w:val="24"/>
        </w:rPr>
        <w:fldChar w:fldCharType="end"/>
      </w:r>
      <w:r w:rsidR="00E16FB9" w:rsidRPr="000E6048">
        <w:rPr>
          <w:rFonts w:ascii="Times New Roman" w:hAnsi="Times New Roman"/>
          <w:sz w:val="24"/>
          <w:szCs w:val="24"/>
        </w:rPr>
        <w:t xml:space="preserve">.  For </w:t>
      </w:r>
      <w:r w:rsidR="00E16FB9">
        <w:rPr>
          <w:rFonts w:ascii="Times New Roman" w:hAnsi="Times New Roman"/>
          <w:sz w:val="24"/>
          <w:szCs w:val="24"/>
        </w:rPr>
        <w:t>16 countries between 1976 and</w:t>
      </w:r>
      <w:r w:rsidR="00E16FB9" w:rsidRPr="000E6048">
        <w:rPr>
          <w:rFonts w:ascii="Times New Roman" w:hAnsi="Times New Roman"/>
          <w:sz w:val="24"/>
          <w:szCs w:val="24"/>
        </w:rPr>
        <w:t xml:space="preserve"> 1993, spanning is rejected for replicating portfol</w:t>
      </w:r>
      <w:r w:rsidR="00E16FB9">
        <w:rPr>
          <w:rFonts w:ascii="Times New Roman" w:hAnsi="Times New Roman"/>
          <w:sz w:val="24"/>
          <w:szCs w:val="24"/>
        </w:rPr>
        <w:t>ios for 5 emerging markets and 6</w:t>
      </w:r>
      <w:r w:rsidR="00E16FB9" w:rsidRPr="000E6048">
        <w:rPr>
          <w:rFonts w:ascii="Times New Roman" w:hAnsi="Times New Roman"/>
          <w:sz w:val="24"/>
          <w:szCs w:val="24"/>
        </w:rPr>
        <w:t xml:space="preserve"> developed markets.  </w:t>
      </w:r>
    </w:p>
    <w:p w14:paraId="34C0F343" w14:textId="77777777" w:rsidR="00E16FB9" w:rsidRPr="000E6048" w:rsidRDefault="00E16FB9" w:rsidP="001F233D">
      <w:pPr>
        <w:spacing w:line="360" w:lineRule="auto"/>
        <w:jc w:val="both"/>
        <w:rPr>
          <w:rFonts w:ascii="Times New Roman" w:hAnsi="Times New Roman"/>
          <w:sz w:val="24"/>
          <w:szCs w:val="24"/>
        </w:rPr>
      </w:pPr>
      <w:r>
        <w:rPr>
          <w:rFonts w:ascii="Times New Roman" w:hAnsi="Times New Roman"/>
          <w:sz w:val="24"/>
          <w:szCs w:val="24"/>
        </w:rPr>
        <w:t>As a further test which incorporates measures of skew and excess k</w:t>
      </w:r>
      <w:r w:rsidR="001472B9">
        <w:rPr>
          <w:rFonts w:ascii="Times New Roman" w:hAnsi="Times New Roman"/>
          <w:sz w:val="24"/>
          <w:szCs w:val="24"/>
        </w:rPr>
        <w:t xml:space="preserve">urtosis in portfolio returns, we </w:t>
      </w:r>
      <w:r>
        <w:rPr>
          <w:rFonts w:ascii="Times New Roman" w:hAnsi="Times New Roman"/>
          <w:sz w:val="24"/>
          <w:szCs w:val="24"/>
        </w:rPr>
        <w:t xml:space="preserve">calculate the modified Value-at-Risk of the foreign country indices and the </w:t>
      </w:r>
      <w:r w:rsidRPr="007210AF">
        <w:rPr>
          <w:rFonts w:ascii="Times New Roman" w:hAnsi="Times New Roman"/>
          <w:sz w:val="24"/>
          <w:szCs w:val="24"/>
        </w:rPr>
        <w:t xml:space="preserve">replicating portfolios.   </w:t>
      </w:r>
      <w:r>
        <w:rPr>
          <w:rFonts w:ascii="Times New Roman" w:hAnsi="Times New Roman"/>
          <w:sz w:val="24"/>
          <w:szCs w:val="24"/>
        </w:rPr>
        <w:t>Standard measures of Value-at-Risk (VAR) calculate the maximum expected loss of a portfolio for a given confidence level for a specified period of time.  Modified VAR (</w:t>
      </w:r>
      <w:proofErr w:type="spellStart"/>
      <w:r>
        <w:rPr>
          <w:rFonts w:ascii="Times New Roman" w:hAnsi="Times New Roman"/>
          <w:sz w:val="24"/>
          <w:szCs w:val="24"/>
        </w:rPr>
        <w:t>mVAR</w:t>
      </w:r>
      <w:proofErr w:type="spellEnd"/>
      <w:r>
        <w:rPr>
          <w:rFonts w:ascii="Times New Roman" w:hAnsi="Times New Roman"/>
          <w:sz w:val="24"/>
          <w:szCs w:val="24"/>
        </w:rPr>
        <w:t xml:space="preserve">) incorporates skew and kurtosis into the calculation of the maximum expected loss for a $100 portfolio over a period of one week.  </w:t>
      </w:r>
      <w:r w:rsidRPr="007210AF">
        <w:rPr>
          <w:rFonts w:ascii="Times New Roman" w:hAnsi="Times New Roman"/>
          <w:sz w:val="24"/>
          <w:szCs w:val="24"/>
        </w:rPr>
        <w:t>The results are presented in</w:t>
      </w:r>
      <w:r w:rsidR="001472B9">
        <w:rPr>
          <w:rFonts w:ascii="Times New Roman" w:hAnsi="Times New Roman"/>
          <w:sz w:val="24"/>
          <w:szCs w:val="24"/>
        </w:rPr>
        <w:t xml:space="preserve"> </w:t>
      </w:r>
      <w:r w:rsidR="001472B9">
        <w:rPr>
          <w:rFonts w:ascii="Times New Roman" w:hAnsi="Times New Roman"/>
          <w:sz w:val="24"/>
          <w:szCs w:val="24"/>
        </w:rPr>
        <w:fldChar w:fldCharType="begin"/>
      </w:r>
      <w:r w:rsidR="001472B9">
        <w:rPr>
          <w:rFonts w:ascii="Times New Roman" w:hAnsi="Times New Roman"/>
          <w:sz w:val="24"/>
          <w:szCs w:val="24"/>
        </w:rPr>
        <w:instrText xml:space="preserve"> REF _Ref384643424 \h  \* MERGEFORMAT </w:instrText>
      </w:r>
      <w:r w:rsidR="001472B9">
        <w:rPr>
          <w:rFonts w:ascii="Times New Roman" w:hAnsi="Times New Roman"/>
          <w:sz w:val="24"/>
          <w:szCs w:val="24"/>
        </w:rPr>
      </w:r>
      <w:r w:rsidR="001472B9">
        <w:rPr>
          <w:rFonts w:ascii="Times New Roman" w:hAnsi="Times New Roman"/>
          <w:sz w:val="24"/>
          <w:szCs w:val="24"/>
        </w:rPr>
        <w:fldChar w:fldCharType="separate"/>
      </w:r>
      <w:r w:rsidR="00A0607E" w:rsidRPr="00A0607E">
        <w:rPr>
          <w:rFonts w:ascii="Times New Roman" w:hAnsi="Times New Roman"/>
          <w:sz w:val="24"/>
          <w:szCs w:val="24"/>
        </w:rPr>
        <w:t>Table 7</w:t>
      </w:r>
      <w:r w:rsidR="001472B9">
        <w:rPr>
          <w:rFonts w:ascii="Times New Roman" w:hAnsi="Times New Roman"/>
          <w:sz w:val="24"/>
          <w:szCs w:val="24"/>
        </w:rPr>
        <w:fldChar w:fldCharType="end"/>
      </w:r>
      <w:r w:rsidR="001472B9">
        <w:rPr>
          <w:rFonts w:ascii="Times New Roman" w:hAnsi="Times New Roman"/>
          <w:sz w:val="24"/>
          <w:szCs w:val="24"/>
        </w:rPr>
        <w:t>.  We</w:t>
      </w:r>
      <w:r w:rsidRPr="007210AF">
        <w:rPr>
          <w:rFonts w:ascii="Times New Roman" w:hAnsi="Times New Roman"/>
          <w:sz w:val="24"/>
          <w:szCs w:val="24"/>
        </w:rPr>
        <w:t xml:space="preserve"> calculate the </w:t>
      </w:r>
      <w:proofErr w:type="spellStart"/>
      <w:r w:rsidRPr="007210AF">
        <w:rPr>
          <w:rFonts w:ascii="Times New Roman" w:hAnsi="Times New Roman"/>
          <w:sz w:val="24"/>
          <w:szCs w:val="24"/>
        </w:rPr>
        <w:t>mVAR</w:t>
      </w:r>
      <w:proofErr w:type="spellEnd"/>
      <w:r w:rsidRPr="007210AF">
        <w:rPr>
          <w:rFonts w:ascii="Times New Roman" w:hAnsi="Times New Roman"/>
          <w:sz w:val="24"/>
          <w:szCs w:val="24"/>
        </w:rPr>
        <w:t xml:space="preserve"> </w:t>
      </w:r>
      <w:r>
        <w:rPr>
          <w:rFonts w:ascii="Times New Roman" w:hAnsi="Times New Roman"/>
          <w:sz w:val="24"/>
          <w:szCs w:val="24"/>
        </w:rPr>
        <w:t xml:space="preserve">for each portfolio </w:t>
      </w:r>
      <w:r w:rsidRPr="007210AF">
        <w:rPr>
          <w:rFonts w:ascii="Times New Roman" w:hAnsi="Times New Roman"/>
          <w:sz w:val="24"/>
          <w:szCs w:val="24"/>
        </w:rPr>
        <w:t xml:space="preserve">for 95 and 99 percent confidence level, or -1.96 and -2.33 standard deviations.  In every case the maximum </w:t>
      </w:r>
      <w:r>
        <w:rPr>
          <w:rFonts w:ascii="Times New Roman" w:hAnsi="Times New Roman"/>
          <w:sz w:val="24"/>
          <w:szCs w:val="24"/>
        </w:rPr>
        <w:t xml:space="preserve">expected </w:t>
      </w:r>
      <w:r w:rsidRPr="007210AF">
        <w:rPr>
          <w:rFonts w:ascii="Times New Roman" w:hAnsi="Times New Roman"/>
          <w:sz w:val="24"/>
          <w:szCs w:val="24"/>
        </w:rPr>
        <w:t xml:space="preserve">loss of the replicating portfolio is lower than the maximum </w:t>
      </w:r>
      <w:r>
        <w:rPr>
          <w:rFonts w:ascii="Times New Roman" w:hAnsi="Times New Roman"/>
          <w:sz w:val="24"/>
          <w:szCs w:val="24"/>
        </w:rPr>
        <w:t xml:space="preserve">expected </w:t>
      </w:r>
      <w:r w:rsidRPr="007210AF">
        <w:rPr>
          <w:rFonts w:ascii="Times New Roman" w:hAnsi="Times New Roman"/>
          <w:sz w:val="24"/>
          <w:szCs w:val="24"/>
        </w:rPr>
        <w:t>loss of the corresponding country index.  The maximum loss decr</w:t>
      </w:r>
      <w:r>
        <w:rPr>
          <w:rFonts w:ascii="Times New Roman" w:hAnsi="Times New Roman"/>
          <w:sz w:val="24"/>
          <w:szCs w:val="24"/>
        </w:rPr>
        <w:t xml:space="preserve">eases </w:t>
      </w:r>
      <w:r w:rsidRPr="007210AF">
        <w:rPr>
          <w:rFonts w:ascii="Times New Roman" w:hAnsi="Times New Roman"/>
          <w:sz w:val="24"/>
          <w:szCs w:val="24"/>
        </w:rPr>
        <w:t xml:space="preserve">from D1 to D2 to D3.  </w:t>
      </w:r>
      <w:r w:rsidRPr="00611B2B">
        <w:rPr>
          <w:rFonts w:ascii="Times New Roman" w:hAnsi="Times New Roman"/>
          <w:sz w:val="24"/>
          <w:szCs w:val="24"/>
        </w:rPr>
        <w:t xml:space="preserve">This further strengthens the results for the replicating portfolios.  </w:t>
      </w:r>
    </w:p>
    <w:p w14:paraId="69413119" w14:textId="77777777" w:rsidR="001F4DDE" w:rsidRDefault="001F4DDE" w:rsidP="00B45F9D">
      <w:pPr>
        <w:pStyle w:val="Heading2"/>
      </w:pPr>
      <w:r>
        <w:t>5.4 Sub-period Analysis</w:t>
      </w:r>
    </w:p>
    <w:p w14:paraId="05056B2C" w14:textId="77777777" w:rsidR="008C6BEE" w:rsidRDefault="00E16FB9" w:rsidP="001F233D">
      <w:pPr>
        <w:spacing w:line="360" w:lineRule="auto"/>
        <w:jc w:val="both"/>
        <w:rPr>
          <w:rFonts w:ascii="Times New Roman" w:hAnsi="Times New Roman"/>
          <w:sz w:val="24"/>
          <w:szCs w:val="24"/>
        </w:rPr>
      </w:pPr>
      <w:r w:rsidRPr="000E6048">
        <w:rPr>
          <w:rFonts w:ascii="Times New Roman" w:hAnsi="Times New Roman"/>
          <w:sz w:val="24"/>
          <w:szCs w:val="24"/>
        </w:rPr>
        <w:t>To test the robus</w:t>
      </w:r>
      <w:r w:rsidR="00383BF1">
        <w:rPr>
          <w:rFonts w:ascii="Times New Roman" w:hAnsi="Times New Roman"/>
          <w:sz w:val="24"/>
          <w:szCs w:val="24"/>
        </w:rPr>
        <w:t>tness of our</w:t>
      </w:r>
      <w:r w:rsidR="001472B9">
        <w:rPr>
          <w:rFonts w:ascii="Times New Roman" w:hAnsi="Times New Roman"/>
          <w:sz w:val="24"/>
          <w:szCs w:val="24"/>
        </w:rPr>
        <w:t xml:space="preserve"> results over time, we</w:t>
      </w:r>
      <w:r w:rsidRPr="000E6048">
        <w:rPr>
          <w:rFonts w:ascii="Times New Roman" w:hAnsi="Times New Roman"/>
          <w:sz w:val="24"/>
          <w:szCs w:val="24"/>
        </w:rPr>
        <w:t xml:space="preserve"> divide </w:t>
      </w:r>
      <w:r w:rsidR="00383BF1">
        <w:rPr>
          <w:rFonts w:ascii="Times New Roman" w:hAnsi="Times New Roman"/>
          <w:sz w:val="24"/>
          <w:szCs w:val="24"/>
        </w:rPr>
        <w:t>our</w:t>
      </w:r>
      <w:r w:rsidRPr="000E6048">
        <w:rPr>
          <w:rFonts w:ascii="Times New Roman" w:hAnsi="Times New Roman"/>
          <w:sz w:val="24"/>
          <w:szCs w:val="24"/>
        </w:rPr>
        <w:t xml:space="preserve"> data period into sub-periods, March 1996 to December 2002, January 2003 to December 2007 and January 2008 to June 2011.  In</w:t>
      </w:r>
      <w:r>
        <w:rPr>
          <w:rFonts w:ascii="Times New Roman" w:hAnsi="Times New Roman"/>
          <w:sz w:val="24"/>
          <w:szCs w:val="24"/>
        </w:rPr>
        <w:t xml:space="preserve"> </w:t>
      </w:r>
      <w:r w:rsidR="001472B9">
        <w:rPr>
          <w:rFonts w:ascii="Times New Roman" w:hAnsi="Times New Roman"/>
          <w:sz w:val="24"/>
          <w:szCs w:val="24"/>
        </w:rPr>
        <w:fldChar w:fldCharType="begin"/>
      </w:r>
      <w:r w:rsidR="001472B9">
        <w:rPr>
          <w:rFonts w:ascii="Times New Roman" w:hAnsi="Times New Roman"/>
          <w:sz w:val="24"/>
          <w:szCs w:val="24"/>
        </w:rPr>
        <w:instrText xml:space="preserve"> REF _Ref384643468 \h  \* MERGEFORMAT </w:instrText>
      </w:r>
      <w:r w:rsidR="001472B9">
        <w:rPr>
          <w:rFonts w:ascii="Times New Roman" w:hAnsi="Times New Roman"/>
          <w:sz w:val="24"/>
          <w:szCs w:val="24"/>
        </w:rPr>
      </w:r>
      <w:r w:rsidR="001472B9">
        <w:rPr>
          <w:rFonts w:ascii="Times New Roman" w:hAnsi="Times New Roman"/>
          <w:sz w:val="24"/>
          <w:szCs w:val="24"/>
        </w:rPr>
        <w:fldChar w:fldCharType="separate"/>
      </w:r>
      <w:r w:rsidR="00A0607E" w:rsidRPr="00A0607E">
        <w:rPr>
          <w:rFonts w:ascii="Times New Roman" w:hAnsi="Times New Roman"/>
          <w:sz w:val="24"/>
          <w:szCs w:val="24"/>
        </w:rPr>
        <w:t>Table 8</w:t>
      </w:r>
      <w:r w:rsidR="001472B9">
        <w:rPr>
          <w:rFonts w:ascii="Times New Roman" w:hAnsi="Times New Roman"/>
          <w:sz w:val="24"/>
          <w:szCs w:val="24"/>
        </w:rPr>
        <w:fldChar w:fldCharType="end"/>
      </w:r>
      <w:r w:rsidR="001472B9">
        <w:rPr>
          <w:rFonts w:ascii="Times New Roman" w:hAnsi="Times New Roman"/>
          <w:sz w:val="24"/>
          <w:szCs w:val="24"/>
        </w:rPr>
        <w:t xml:space="preserve"> we</w:t>
      </w:r>
      <w:r w:rsidRPr="000E6048">
        <w:rPr>
          <w:rFonts w:ascii="Times New Roman" w:hAnsi="Times New Roman"/>
          <w:sz w:val="24"/>
          <w:szCs w:val="24"/>
        </w:rPr>
        <w:t xml:space="preserve"> list the correlations of the foreign country indices with domestic firms and with the </w:t>
      </w:r>
      <w:r>
        <w:rPr>
          <w:rFonts w:ascii="Times New Roman" w:hAnsi="Times New Roman"/>
          <w:sz w:val="24"/>
          <w:szCs w:val="24"/>
        </w:rPr>
        <w:t>three replicating</w:t>
      </w:r>
      <w:r w:rsidRPr="000E6048">
        <w:rPr>
          <w:rFonts w:ascii="Times New Roman" w:hAnsi="Times New Roman"/>
          <w:sz w:val="24"/>
          <w:szCs w:val="24"/>
        </w:rPr>
        <w:t xml:space="preserve"> portfolios for the three sub-periods.  As for the full period, the average </w:t>
      </w:r>
      <w:r w:rsidRPr="000E6048">
        <w:rPr>
          <w:rFonts w:ascii="Times New Roman" w:hAnsi="Times New Roman"/>
          <w:sz w:val="24"/>
          <w:szCs w:val="24"/>
        </w:rPr>
        <w:lastRenderedPageBreak/>
        <w:t xml:space="preserve">correlations of developed markets with the US market are higher than the average emerging market correlations.  What is striking is the increase in correlations from the first to the last sub-period; the correlations increase steadily for all countries as time progresses.  This is consistent with </w:t>
      </w:r>
      <w:r>
        <w:rPr>
          <w:rFonts w:ascii="Times New Roman" w:hAnsi="Times New Roman"/>
          <w:sz w:val="24"/>
          <w:szCs w:val="24"/>
        </w:rPr>
        <w:t xml:space="preserve">the </w:t>
      </w:r>
      <w:r w:rsidRPr="000E6048">
        <w:rPr>
          <w:rFonts w:ascii="Times New Roman" w:hAnsi="Times New Roman"/>
          <w:sz w:val="24"/>
          <w:szCs w:val="24"/>
        </w:rPr>
        <w:t xml:space="preserve">observed increases in interdependence between countries’ equity markets </w:t>
      </w:r>
      <w:r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"Buraschi", "given" : "Andrea", "non-dropping-particle" : "", "parse-names" : false, "suffix" : "" }, { "dropping-particle" : "", "family" : "Porchia", "given" : "Paolo", "non-dropping-particle" : "", "parse-names" : false, "suffix" : "" }, { "dropping-particle" : "", "family" : "Trojani", "given" : "Fabio", "non-dropping-particle" : "", "parse-names" : false, "suffix" : "" } ], "container-title" : "The Journal of Finance", "id" : "ITEM-1", "issue" : "1", "issued" : { "date-parts" : [ [ "2010", "2" ] ] }, "page" : "393-420", "title" : "Correlation Risk and Optimal Portfolio Choice", "type" : "article-journal", "volume" : "65" }, "uris" : [ "http://www.mendeley.com/documents/?uuid=61e72ec2-cb2b-4e6d-a988-ea349ca6249e" ] } ], "mendeley" : { "previouslyFormattedCitation" : "(Buraschi, Porchia, &amp; Trojani, 2010)" }, "properties" : { "noteIndex" : 0 }, "schema" : "https://github.com/citation-style-language/schema/raw/master/csl-citation.json" }</w:instrText>
      </w:r>
      <w:r w:rsidRPr="000E6048">
        <w:rPr>
          <w:rFonts w:ascii="Times New Roman" w:hAnsi="Times New Roman"/>
          <w:sz w:val="24"/>
          <w:szCs w:val="24"/>
        </w:rPr>
        <w:fldChar w:fldCharType="separate"/>
      </w:r>
      <w:r w:rsidRPr="000E6048">
        <w:rPr>
          <w:rFonts w:ascii="Times New Roman" w:hAnsi="Times New Roman"/>
          <w:noProof/>
          <w:sz w:val="24"/>
          <w:szCs w:val="24"/>
        </w:rPr>
        <w:t>(Buraschi, Porchia, &amp; Trojani, 2010)</w:t>
      </w:r>
      <w:r w:rsidRPr="000E6048">
        <w:rPr>
          <w:rFonts w:ascii="Times New Roman" w:hAnsi="Times New Roman"/>
          <w:sz w:val="24"/>
          <w:szCs w:val="24"/>
        </w:rPr>
        <w:fldChar w:fldCharType="end"/>
      </w:r>
      <w:r w:rsidR="001000B2">
        <w:rPr>
          <w:rFonts w:ascii="Times New Roman" w:hAnsi="Times New Roman"/>
          <w:sz w:val="24"/>
          <w:szCs w:val="24"/>
        </w:rPr>
        <w:t xml:space="preserve">.  </w:t>
      </w:r>
      <w:r w:rsidR="008C6BEE">
        <w:rPr>
          <w:rFonts w:ascii="Times New Roman" w:hAnsi="Times New Roman"/>
          <w:sz w:val="24"/>
          <w:szCs w:val="24"/>
        </w:rPr>
        <w:t xml:space="preserve">The greatest differences between the correlation of the domestic firms with the foreign indices and the replicating portfolios with the foreign indices occur in the first two periods.  Developed country indices have an average of 24 and 51 percent correlation with domestic firms in the first two sub-periods, and an average of 49 and 90 percent correlation with the D3 portfolios.  Emerging market indices have an average of 12 and 38 percent correlation with domestic firms in the first two sub-periods and an average 39 and 79 percent correlation with the D3 portfolios.  These increases become less pronounced in the last sub-period, where developed market indices are 69 percent correlated with domestic firms and 92 percent correlated with the D3 portfolios, and emerging market indices are 60 percent correlated with domestic firms and 88 percent correlated with the D3 portfolios.  </w:t>
      </w:r>
    </w:p>
    <w:p w14:paraId="3BED175B" w14:textId="77777777" w:rsidR="001472B9" w:rsidRPr="003600A2" w:rsidRDefault="001472B9" w:rsidP="001F233D">
      <w:pPr>
        <w:spacing w:line="360" w:lineRule="auto"/>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REF _Ref384643508 \h  \* MERGEFORMAT </w:instrText>
      </w:r>
      <w:r>
        <w:rPr>
          <w:rFonts w:ascii="Times New Roman" w:hAnsi="Times New Roman"/>
          <w:sz w:val="24"/>
          <w:szCs w:val="24"/>
        </w:rPr>
      </w:r>
      <w:r>
        <w:rPr>
          <w:rFonts w:ascii="Times New Roman" w:hAnsi="Times New Roman"/>
          <w:sz w:val="24"/>
          <w:szCs w:val="24"/>
        </w:rPr>
        <w:fldChar w:fldCharType="separate"/>
      </w:r>
      <w:r w:rsidR="00A0607E" w:rsidRPr="00A0607E">
        <w:rPr>
          <w:rFonts w:ascii="Times New Roman" w:hAnsi="Times New Roman"/>
          <w:sz w:val="24"/>
          <w:szCs w:val="24"/>
        </w:rPr>
        <w:t>Table 9</w:t>
      </w:r>
      <w:r>
        <w:rPr>
          <w:rFonts w:ascii="Times New Roman" w:hAnsi="Times New Roman"/>
          <w:sz w:val="24"/>
          <w:szCs w:val="24"/>
        </w:rPr>
        <w:fldChar w:fldCharType="end"/>
      </w:r>
      <w:r>
        <w:rPr>
          <w:rFonts w:ascii="Times New Roman" w:hAnsi="Times New Roman"/>
          <w:sz w:val="24"/>
          <w:szCs w:val="24"/>
        </w:rPr>
        <w:t xml:space="preserve"> </w:t>
      </w:r>
      <w:r w:rsidR="00E16FB9" w:rsidRPr="000E6048">
        <w:rPr>
          <w:rFonts w:ascii="Times New Roman" w:hAnsi="Times New Roman"/>
          <w:sz w:val="24"/>
          <w:szCs w:val="24"/>
        </w:rPr>
        <w:t xml:space="preserve">lists the risk-adjusted returns for the three sub-periods for the foreign country indices and for the </w:t>
      </w:r>
      <w:r w:rsidR="00E16FB9">
        <w:rPr>
          <w:rFonts w:ascii="Times New Roman" w:hAnsi="Times New Roman"/>
          <w:sz w:val="24"/>
          <w:szCs w:val="24"/>
        </w:rPr>
        <w:t>replicating portfolios</w:t>
      </w:r>
      <w:r w:rsidR="00E16FB9" w:rsidRPr="000E6048">
        <w:rPr>
          <w:rFonts w:ascii="Times New Roman" w:hAnsi="Times New Roman"/>
          <w:sz w:val="24"/>
          <w:szCs w:val="24"/>
        </w:rPr>
        <w:t xml:space="preserve">.  The performance of the US market is included for comparative purposes.  The risk-adjusted returns are </w:t>
      </w:r>
      <w:r w:rsidR="00E16FB9">
        <w:rPr>
          <w:rFonts w:ascii="Times New Roman" w:hAnsi="Times New Roman"/>
          <w:sz w:val="24"/>
          <w:szCs w:val="24"/>
        </w:rPr>
        <w:t>highest</w:t>
      </w:r>
      <w:r w:rsidR="00E16FB9" w:rsidRPr="000E6048">
        <w:rPr>
          <w:rFonts w:ascii="Times New Roman" w:hAnsi="Times New Roman"/>
          <w:sz w:val="24"/>
          <w:szCs w:val="24"/>
        </w:rPr>
        <w:t xml:space="preserve"> for both developed and emerging markets in the period 2003 to 2007.  The average risk-adjusted return of both DM and EM cou</w:t>
      </w:r>
      <w:r w:rsidR="00E16FB9">
        <w:rPr>
          <w:rFonts w:ascii="Times New Roman" w:hAnsi="Times New Roman"/>
          <w:sz w:val="24"/>
          <w:szCs w:val="24"/>
        </w:rPr>
        <w:t xml:space="preserve">ntries outperform the US in this </w:t>
      </w:r>
      <w:r w:rsidR="00E16FB9" w:rsidRPr="000E6048">
        <w:rPr>
          <w:rFonts w:ascii="Times New Roman" w:hAnsi="Times New Roman"/>
          <w:sz w:val="24"/>
          <w:szCs w:val="24"/>
        </w:rPr>
        <w:t>period, which was characterised by low volatility in the US and strong performance of most foreign country indices in the absence of any major financial crises.  In the period before 2003, the risk-adjusted performance of either the S&amp;P500 or Russell 1000 was better than all but one country, Finland.</w:t>
      </w:r>
      <w:r w:rsidR="00E16FB9">
        <w:rPr>
          <w:rFonts w:ascii="Times New Roman" w:hAnsi="Times New Roman"/>
          <w:sz w:val="24"/>
          <w:szCs w:val="24"/>
        </w:rPr>
        <w:t xml:space="preserve">  </w:t>
      </w:r>
      <w:r w:rsidR="00E16FB9" w:rsidRPr="000E6048">
        <w:rPr>
          <w:rFonts w:ascii="Times New Roman" w:hAnsi="Times New Roman"/>
          <w:sz w:val="24"/>
          <w:szCs w:val="24"/>
        </w:rPr>
        <w:t>Emerging market returns are mostly negative in this period.  In the period after 2007, the US and most of the developed markets experience negative returns, while emerging markets have proportionally more countries with positive returns.  The average risk-adjusted return for emerging markets is 0.12</w:t>
      </w:r>
      <w:r w:rsidR="00E16FB9">
        <w:rPr>
          <w:rFonts w:ascii="Times New Roman" w:hAnsi="Times New Roman"/>
          <w:sz w:val="24"/>
          <w:szCs w:val="24"/>
        </w:rPr>
        <w:t xml:space="preserve"> in this period</w:t>
      </w:r>
      <w:r w:rsidR="00E16FB9" w:rsidRPr="000E6048">
        <w:rPr>
          <w:rFonts w:ascii="Times New Roman" w:hAnsi="Times New Roman"/>
          <w:sz w:val="24"/>
          <w:szCs w:val="24"/>
        </w:rPr>
        <w:t>, compared to -0.19 for developed markets and -0.17 for th</w:t>
      </w:r>
      <w:r w:rsidR="00E16FB9">
        <w:rPr>
          <w:rFonts w:ascii="Times New Roman" w:hAnsi="Times New Roman"/>
          <w:sz w:val="24"/>
          <w:szCs w:val="24"/>
        </w:rPr>
        <w:t>e S&amp;P500.  When comparing the replicating</w:t>
      </w:r>
      <w:r w:rsidR="00E16FB9" w:rsidRPr="000E6048">
        <w:rPr>
          <w:rFonts w:ascii="Times New Roman" w:hAnsi="Times New Roman"/>
          <w:sz w:val="24"/>
          <w:szCs w:val="24"/>
        </w:rPr>
        <w:t xml:space="preserve"> portfolios to the foreign country indices, developed markets have on average a lower performance than the foreign country indices in the first two sub-periods and an equal </w:t>
      </w:r>
      <w:r w:rsidR="00E16FB9">
        <w:rPr>
          <w:rFonts w:ascii="Times New Roman" w:hAnsi="Times New Roman"/>
          <w:sz w:val="24"/>
          <w:szCs w:val="24"/>
        </w:rPr>
        <w:t xml:space="preserve">or better </w:t>
      </w:r>
      <w:r w:rsidR="00E16FB9" w:rsidRPr="000E6048">
        <w:rPr>
          <w:rFonts w:ascii="Times New Roman" w:hAnsi="Times New Roman"/>
          <w:sz w:val="24"/>
          <w:szCs w:val="24"/>
        </w:rPr>
        <w:t>performance after 2007.  For emer</w:t>
      </w:r>
      <w:r w:rsidR="00E16FB9">
        <w:rPr>
          <w:rFonts w:ascii="Times New Roman" w:hAnsi="Times New Roman"/>
          <w:sz w:val="24"/>
          <w:szCs w:val="24"/>
        </w:rPr>
        <w:t xml:space="preserve">ging markets, the </w:t>
      </w:r>
      <w:r w:rsidR="00E16FB9" w:rsidRPr="000E6048">
        <w:rPr>
          <w:rFonts w:ascii="Times New Roman" w:hAnsi="Times New Roman"/>
          <w:sz w:val="24"/>
          <w:szCs w:val="24"/>
        </w:rPr>
        <w:t>portfolios on average outperform the foreign country indice</w:t>
      </w:r>
      <w:r w:rsidR="00E16FB9">
        <w:rPr>
          <w:rFonts w:ascii="Times New Roman" w:hAnsi="Times New Roman"/>
          <w:sz w:val="24"/>
          <w:szCs w:val="24"/>
        </w:rPr>
        <w:t xml:space="preserve">s before 2003, and underperform </w:t>
      </w:r>
      <w:r w:rsidR="00E16FB9" w:rsidRPr="000E6048">
        <w:rPr>
          <w:rFonts w:ascii="Times New Roman" w:hAnsi="Times New Roman"/>
          <w:sz w:val="24"/>
          <w:szCs w:val="24"/>
        </w:rPr>
        <w:t xml:space="preserve">the foreign country indices </w:t>
      </w:r>
      <w:r>
        <w:rPr>
          <w:rFonts w:ascii="Times New Roman" w:hAnsi="Times New Roman"/>
          <w:sz w:val="24"/>
          <w:szCs w:val="24"/>
        </w:rPr>
        <w:t xml:space="preserve">in the other two sub-periods.  </w:t>
      </w:r>
    </w:p>
    <w:p w14:paraId="11A5C385" w14:textId="77777777" w:rsidR="00E16FB9" w:rsidRPr="000E6048" w:rsidRDefault="001472B9" w:rsidP="001F233D">
      <w:pPr>
        <w:spacing w:line="360" w:lineRule="auto"/>
        <w:jc w:val="both"/>
        <w:rPr>
          <w:rFonts w:ascii="Times New Roman" w:hAnsi="Times New Roman"/>
          <w:sz w:val="24"/>
          <w:szCs w:val="24"/>
        </w:rPr>
      </w:pPr>
      <w:r>
        <w:rPr>
          <w:rFonts w:ascii="Times New Roman" w:hAnsi="Times New Roman"/>
          <w:sz w:val="24"/>
          <w:szCs w:val="24"/>
        </w:rPr>
        <w:lastRenderedPageBreak/>
        <w:fldChar w:fldCharType="begin"/>
      </w:r>
      <w:r>
        <w:rPr>
          <w:rFonts w:ascii="Times New Roman" w:hAnsi="Times New Roman"/>
          <w:sz w:val="24"/>
          <w:szCs w:val="24"/>
        </w:rPr>
        <w:instrText xml:space="preserve"> REF _Ref384643562 \h  \* MERGEFORMAT </w:instrText>
      </w:r>
      <w:r>
        <w:rPr>
          <w:rFonts w:ascii="Times New Roman" w:hAnsi="Times New Roman"/>
          <w:sz w:val="24"/>
          <w:szCs w:val="24"/>
        </w:rPr>
      </w:r>
      <w:r>
        <w:rPr>
          <w:rFonts w:ascii="Times New Roman" w:hAnsi="Times New Roman"/>
          <w:sz w:val="24"/>
          <w:szCs w:val="24"/>
        </w:rPr>
        <w:fldChar w:fldCharType="separate"/>
      </w:r>
      <w:r w:rsidR="00A0607E" w:rsidRPr="00A0607E">
        <w:rPr>
          <w:rFonts w:ascii="Times New Roman" w:hAnsi="Times New Roman"/>
          <w:sz w:val="24"/>
          <w:szCs w:val="24"/>
        </w:rPr>
        <w:t>Table 10</w:t>
      </w:r>
      <w:r>
        <w:rPr>
          <w:rFonts w:ascii="Times New Roman" w:hAnsi="Times New Roman"/>
          <w:sz w:val="24"/>
          <w:szCs w:val="24"/>
        </w:rPr>
        <w:fldChar w:fldCharType="end"/>
      </w:r>
      <w:r>
        <w:rPr>
          <w:rFonts w:ascii="Times New Roman" w:hAnsi="Times New Roman"/>
          <w:sz w:val="24"/>
          <w:szCs w:val="24"/>
        </w:rPr>
        <w:t xml:space="preserve"> </w:t>
      </w:r>
      <w:r w:rsidR="00E16FB9" w:rsidRPr="003600A2">
        <w:rPr>
          <w:rFonts w:ascii="Times New Roman" w:hAnsi="Times New Roman"/>
          <w:sz w:val="24"/>
          <w:szCs w:val="24"/>
        </w:rPr>
        <w:t>lists</w:t>
      </w:r>
      <w:r w:rsidR="00E16FB9" w:rsidRPr="000E6048">
        <w:rPr>
          <w:rFonts w:ascii="Times New Roman" w:hAnsi="Times New Roman"/>
          <w:sz w:val="24"/>
          <w:szCs w:val="24"/>
        </w:rPr>
        <w:t xml:space="preserve"> the Mean-Variance Spanning results for the three sub-periods for D1, D2 and D3 portfolios.  In the first and last sub-periods, spanning is not rejected for any portfolio for any country at a 10 </w:t>
      </w:r>
      <w:r w:rsidR="003B3D51">
        <w:rPr>
          <w:rFonts w:ascii="Times New Roman" w:hAnsi="Times New Roman"/>
          <w:sz w:val="24"/>
          <w:szCs w:val="24"/>
        </w:rPr>
        <w:t>percent</w:t>
      </w:r>
      <w:r w:rsidR="00E16FB9" w:rsidRPr="000E6048">
        <w:rPr>
          <w:rFonts w:ascii="Times New Roman" w:hAnsi="Times New Roman"/>
          <w:sz w:val="24"/>
          <w:szCs w:val="24"/>
        </w:rPr>
        <w:t xml:space="preserve"> critical level, with the exception of Ireland after 2007.  The results for the period 2003 to 2007 are mixed.  Spanning is rejected in this period for 15 D1 portfolios, 16 D2 portfolios and 3 D3 portfolios.  When ADRs, iShares and CCFs are included, it is possible to replicate 34 of the 37 foreign country indices.  Without the inclusion of these products, the D1 and D2 portfolios do not replicate almost half of the foreign country indices.  This result is differ</w:t>
      </w:r>
      <w:r w:rsidR="00E16FB9">
        <w:rPr>
          <w:rFonts w:ascii="Times New Roman" w:hAnsi="Times New Roman"/>
          <w:sz w:val="24"/>
          <w:szCs w:val="24"/>
        </w:rPr>
        <w:t>s</w:t>
      </w:r>
      <w:r w:rsidR="00E16FB9" w:rsidRPr="000E6048">
        <w:rPr>
          <w:rFonts w:ascii="Times New Roman" w:hAnsi="Times New Roman"/>
          <w:sz w:val="24"/>
          <w:szCs w:val="24"/>
        </w:rPr>
        <w:t xml:space="preserve"> to the other two sub-periods, where for 36 of the 37 countries the replicating portfolios convincingly span the foreign country indices</w:t>
      </w:r>
      <w:r w:rsidR="00E16FB9">
        <w:rPr>
          <w:rFonts w:ascii="Times New Roman" w:hAnsi="Times New Roman"/>
          <w:sz w:val="24"/>
          <w:szCs w:val="24"/>
        </w:rPr>
        <w:t xml:space="preserve"> in all cases</w:t>
      </w:r>
      <w:r w:rsidR="00E16FB9" w:rsidRPr="000E6048">
        <w:rPr>
          <w:rFonts w:ascii="Times New Roman" w:hAnsi="Times New Roman"/>
          <w:sz w:val="24"/>
          <w:szCs w:val="24"/>
        </w:rPr>
        <w:t xml:space="preserve">.  When international diversification benefits are at their highest in 2003 to 2007, </w:t>
      </w:r>
      <w:r w:rsidR="00502E34">
        <w:rPr>
          <w:rFonts w:ascii="Times New Roman" w:hAnsi="Times New Roman"/>
          <w:sz w:val="24"/>
          <w:szCs w:val="24"/>
        </w:rPr>
        <w:t xml:space="preserve">the Russell 1000, </w:t>
      </w:r>
      <w:r w:rsidR="00E16FB9" w:rsidRPr="000E6048">
        <w:rPr>
          <w:rFonts w:ascii="Times New Roman" w:hAnsi="Times New Roman"/>
          <w:sz w:val="24"/>
          <w:szCs w:val="24"/>
        </w:rPr>
        <w:t xml:space="preserve">Industry Indices and MNCs do not </w:t>
      </w:r>
      <w:r w:rsidR="00E16FB9">
        <w:rPr>
          <w:rFonts w:ascii="Times New Roman" w:hAnsi="Times New Roman"/>
          <w:sz w:val="24"/>
          <w:szCs w:val="24"/>
        </w:rPr>
        <w:t>exhaust the benefits of</w:t>
      </w:r>
      <w:r w:rsidR="00E16FB9" w:rsidRPr="000E6048">
        <w:rPr>
          <w:rFonts w:ascii="Times New Roman" w:hAnsi="Times New Roman"/>
          <w:sz w:val="24"/>
          <w:szCs w:val="24"/>
        </w:rPr>
        <w:t xml:space="preserve"> investing in the foreign index for all countries.   ADRs, iShares and CCFs are essential in this period to adequately replicate investment in foreign country indices</w:t>
      </w:r>
      <w:r>
        <w:rPr>
          <w:rFonts w:ascii="Times New Roman" w:hAnsi="Times New Roman"/>
          <w:sz w:val="24"/>
          <w:szCs w:val="24"/>
        </w:rPr>
        <w:t xml:space="preserve">.  </w:t>
      </w:r>
      <w:r w:rsidR="00E16FB9" w:rsidRPr="000E6048">
        <w:rPr>
          <w:rFonts w:ascii="Times New Roman" w:hAnsi="Times New Roman"/>
          <w:sz w:val="24"/>
          <w:szCs w:val="24"/>
        </w:rPr>
        <w:t xml:space="preserve">Comprised of US headquartered companies, </w:t>
      </w:r>
      <w:r w:rsidR="00E16FB9">
        <w:rPr>
          <w:rFonts w:ascii="Times New Roman" w:hAnsi="Times New Roman"/>
          <w:sz w:val="24"/>
          <w:szCs w:val="24"/>
        </w:rPr>
        <w:t>Industry Indices and MNC are more highly correlated with the US market than with foreign country indices</w:t>
      </w:r>
      <w:r w:rsidR="00E16FB9" w:rsidRPr="000E6048">
        <w:rPr>
          <w:rFonts w:ascii="Times New Roman" w:hAnsi="Times New Roman"/>
          <w:sz w:val="24"/>
          <w:szCs w:val="24"/>
        </w:rPr>
        <w:t>.</w:t>
      </w:r>
      <w:r w:rsidR="00E16FB9">
        <w:rPr>
          <w:rFonts w:ascii="Times New Roman" w:hAnsi="Times New Roman"/>
          <w:sz w:val="24"/>
          <w:szCs w:val="24"/>
        </w:rPr>
        <w:t xml:space="preserve">  This has the greatest impact in the period 2003 to 2007 when the US underperforms foreign markets.  </w:t>
      </w:r>
      <w:r w:rsidR="00E16FB9" w:rsidRPr="000E6048">
        <w:rPr>
          <w:rFonts w:ascii="Times New Roman" w:hAnsi="Times New Roman"/>
          <w:sz w:val="24"/>
          <w:szCs w:val="24"/>
        </w:rPr>
        <w:t xml:space="preserve">  </w:t>
      </w:r>
    </w:p>
    <w:p w14:paraId="1F4A8768" w14:textId="77777777" w:rsidR="00E16FB9" w:rsidRDefault="00E16FB9" w:rsidP="001F233D">
      <w:pPr>
        <w:spacing w:line="360" w:lineRule="auto"/>
        <w:jc w:val="both"/>
        <w:rPr>
          <w:rFonts w:ascii="Times New Roman" w:hAnsi="Times New Roman"/>
          <w:sz w:val="24"/>
          <w:szCs w:val="24"/>
        </w:rPr>
      </w:pPr>
      <w:r w:rsidRPr="000E6048">
        <w:rPr>
          <w:rFonts w:ascii="Times New Roman" w:hAnsi="Times New Roman"/>
          <w:sz w:val="24"/>
          <w:szCs w:val="24"/>
        </w:rPr>
        <w:t>In o</w:t>
      </w:r>
      <w:r w:rsidR="001472B9">
        <w:rPr>
          <w:rFonts w:ascii="Times New Roman" w:hAnsi="Times New Roman"/>
          <w:sz w:val="24"/>
          <w:szCs w:val="24"/>
        </w:rPr>
        <w:t>rder to test the robustness of our</w:t>
      </w:r>
      <w:r w:rsidRPr="000E6048">
        <w:rPr>
          <w:rFonts w:ascii="Times New Roman" w:hAnsi="Times New Roman"/>
          <w:sz w:val="24"/>
          <w:szCs w:val="24"/>
        </w:rPr>
        <w:t xml:space="preserve"> results, for the 16 D1 portfolios, 15 D2 portfolios and 3 D3 portfolios in the 2003 to 2007 period which do not span their corres</w:t>
      </w:r>
      <w:r w:rsidR="001472B9">
        <w:rPr>
          <w:rFonts w:ascii="Times New Roman" w:hAnsi="Times New Roman"/>
          <w:sz w:val="24"/>
          <w:szCs w:val="24"/>
        </w:rPr>
        <w:t>ponding foreign country index, we</w:t>
      </w:r>
      <w:r w:rsidRPr="000E6048">
        <w:rPr>
          <w:rFonts w:ascii="Times New Roman" w:hAnsi="Times New Roman"/>
          <w:sz w:val="24"/>
          <w:szCs w:val="24"/>
        </w:rPr>
        <w:t xml:space="preserve"> recreat</w:t>
      </w:r>
      <w:r w:rsidR="001472B9">
        <w:rPr>
          <w:rFonts w:ascii="Times New Roman" w:hAnsi="Times New Roman"/>
          <w:sz w:val="24"/>
          <w:szCs w:val="24"/>
        </w:rPr>
        <w:t>e the replicating portfolios.  We</w:t>
      </w:r>
      <w:r w:rsidRPr="000E6048">
        <w:rPr>
          <w:rFonts w:ascii="Times New Roman" w:hAnsi="Times New Roman"/>
          <w:sz w:val="24"/>
          <w:szCs w:val="24"/>
        </w:rPr>
        <w:t xml:space="preserve"> use a 0.20 stepwise regression </w:t>
      </w:r>
      <w:r>
        <w:rPr>
          <w:rFonts w:ascii="Times New Roman" w:hAnsi="Times New Roman"/>
          <w:sz w:val="24"/>
          <w:szCs w:val="24"/>
        </w:rPr>
        <w:t xml:space="preserve">forward </w:t>
      </w:r>
      <w:r w:rsidRPr="000E6048">
        <w:rPr>
          <w:rFonts w:ascii="Times New Roman" w:hAnsi="Times New Roman"/>
          <w:sz w:val="24"/>
          <w:szCs w:val="24"/>
        </w:rPr>
        <w:t>stopping value, which increases the number of independent variables</w:t>
      </w:r>
      <w:r w:rsidR="001472B9">
        <w:rPr>
          <w:rFonts w:ascii="Times New Roman" w:hAnsi="Times New Roman"/>
          <w:sz w:val="24"/>
          <w:szCs w:val="24"/>
        </w:rPr>
        <w:t xml:space="preserve"> included in the regression.  We </w:t>
      </w:r>
      <w:r w:rsidRPr="000E6048">
        <w:rPr>
          <w:rFonts w:ascii="Times New Roman" w:hAnsi="Times New Roman"/>
          <w:sz w:val="24"/>
          <w:szCs w:val="24"/>
        </w:rPr>
        <w:t>also create portfolios with weightings in all of the assets available for each country using a standard OLS regression.  The results are in listed in</w:t>
      </w:r>
      <w:r w:rsidR="001472B9" w:rsidRPr="001472B9">
        <w:rPr>
          <w:rFonts w:ascii="Times New Roman" w:hAnsi="Times New Roman"/>
          <w:sz w:val="24"/>
          <w:szCs w:val="24"/>
        </w:rPr>
        <w:t xml:space="preserve"> </w:t>
      </w:r>
      <w:r w:rsidR="001472B9" w:rsidRPr="001472B9">
        <w:rPr>
          <w:rFonts w:ascii="Times New Roman" w:hAnsi="Times New Roman"/>
          <w:sz w:val="24"/>
          <w:szCs w:val="24"/>
        </w:rPr>
        <w:fldChar w:fldCharType="begin"/>
      </w:r>
      <w:r w:rsidR="001472B9" w:rsidRPr="001472B9">
        <w:rPr>
          <w:rFonts w:ascii="Times New Roman" w:hAnsi="Times New Roman"/>
          <w:sz w:val="24"/>
          <w:szCs w:val="24"/>
        </w:rPr>
        <w:instrText xml:space="preserve"> REF _Ref384643651 \h </w:instrText>
      </w:r>
      <w:r w:rsidR="001472B9">
        <w:rPr>
          <w:rFonts w:ascii="Times New Roman" w:hAnsi="Times New Roman"/>
          <w:sz w:val="24"/>
          <w:szCs w:val="24"/>
        </w:rPr>
        <w:instrText xml:space="preserve"> \* MERGEFORMAT </w:instrText>
      </w:r>
      <w:r w:rsidR="001472B9" w:rsidRPr="001472B9">
        <w:rPr>
          <w:rFonts w:ascii="Times New Roman" w:hAnsi="Times New Roman"/>
          <w:sz w:val="24"/>
          <w:szCs w:val="24"/>
        </w:rPr>
      </w:r>
      <w:r w:rsidR="001472B9" w:rsidRPr="001472B9">
        <w:rPr>
          <w:rFonts w:ascii="Times New Roman" w:hAnsi="Times New Roman"/>
          <w:sz w:val="24"/>
          <w:szCs w:val="24"/>
        </w:rPr>
        <w:fldChar w:fldCharType="separate"/>
      </w:r>
      <w:r w:rsidR="00A0607E" w:rsidRPr="00A0607E">
        <w:rPr>
          <w:rFonts w:ascii="Times New Roman" w:hAnsi="Times New Roman"/>
          <w:sz w:val="24"/>
          <w:szCs w:val="24"/>
        </w:rPr>
        <w:t>Table 11</w:t>
      </w:r>
      <w:r w:rsidR="001472B9" w:rsidRPr="001472B9">
        <w:rPr>
          <w:rFonts w:ascii="Times New Roman" w:hAnsi="Times New Roman"/>
          <w:sz w:val="24"/>
          <w:szCs w:val="24"/>
        </w:rPr>
        <w:fldChar w:fldCharType="end"/>
      </w:r>
      <w:r w:rsidRPr="000E6048">
        <w:rPr>
          <w:rFonts w:ascii="Times New Roman" w:hAnsi="Times New Roman"/>
          <w:sz w:val="24"/>
          <w:szCs w:val="24"/>
        </w:rPr>
        <w:t xml:space="preserve">.    By increasing the threshold for stepwise regression there is in most cases no change in the spanning results.  The results change for 2 of the 3 D3 portfolios, for 2 D2 portfolios and for 1 D1 portfolio, for which spanning is </w:t>
      </w:r>
      <w:r>
        <w:rPr>
          <w:rFonts w:ascii="Times New Roman" w:hAnsi="Times New Roman"/>
          <w:sz w:val="24"/>
          <w:szCs w:val="24"/>
        </w:rPr>
        <w:t>rejected</w:t>
      </w:r>
      <w:r w:rsidRPr="000E6048">
        <w:rPr>
          <w:rFonts w:ascii="Times New Roman" w:hAnsi="Times New Roman"/>
          <w:sz w:val="24"/>
          <w:szCs w:val="24"/>
        </w:rPr>
        <w:t xml:space="preserve">.  </w:t>
      </w:r>
      <w:r>
        <w:rPr>
          <w:rFonts w:ascii="Times New Roman" w:hAnsi="Times New Roman"/>
          <w:sz w:val="24"/>
          <w:szCs w:val="24"/>
        </w:rPr>
        <w:t xml:space="preserve">For example for India, when using a 0.05 stopping value, spanning is rejected for its </w:t>
      </w:r>
      <w:r w:rsidR="00E21ABC">
        <w:rPr>
          <w:rFonts w:ascii="Times New Roman" w:hAnsi="Times New Roman"/>
          <w:sz w:val="24"/>
          <w:szCs w:val="24"/>
        </w:rPr>
        <w:t>D1, D2 and D3 portfolios, with p</w:t>
      </w:r>
      <w:r>
        <w:rPr>
          <w:rFonts w:ascii="Times New Roman" w:hAnsi="Times New Roman"/>
          <w:sz w:val="24"/>
          <w:szCs w:val="24"/>
        </w:rPr>
        <w:t>-values</w:t>
      </w:r>
      <w:r w:rsidR="001472B9">
        <w:rPr>
          <w:rFonts w:ascii="Times New Roman" w:hAnsi="Times New Roman"/>
          <w:sz w:val="24"/>
          <w:szCs w:val="24"/>
        </w:rPr>
        <w:t xml:space="preserve"> of 0.02, 0.02 and 0.04.  When we</w:t>
      </w:r>
      <w:r>
        <w:rPr>
          <w:rFonts w:ascii="Times New Roman" w:hAnsi="Times New Roman"/>
          <w:sz w:val="24"/>
          <w:szCs w:val="24"/>
        </w:rPr>
        <w:t xml:space="preserve"> repeat the stepwise regression using a stopping value of 0.20 and using no stopping value, the results for the D1 and D2 portfolios only increase to 0.03 and 0.04.  The results for the D3 portfolio increas</w:t>
      </w:r>
      <w:r w:rsidR="001472B9">
        <w:rPr>
          <w:rFonts w:ascii="Times New Roman" w:hAnsi="Times New Roman"/>
          <w:sz w:val="24"/>
          <w:szCs w:val="24"/>
        </w:rPr>
        <w:t>e to 0.15 and 0.13.  Therefore we</w:t>
      </w:r>
      <w:r>
        <w:rPr>
          <w:rFonts w:ascii="Times New Roman" w:hAnsi="Times New Roman"/>
          <w:sz w:val="24"/>
          <w:szCs w:val="24"/>
        </w:rPr>
        <w:t xml:space="preserve"> do not reject spanning for the D3 portfolio but the result is unchanged for the D1 and D2 portfolios, spanning is rejected.   </w:t>
      </w:r>
      <w:r w:rsidRPr="000E6048">
        <w:rPr>
          <w:rFonts w:ascii="Times New Roman" w:hAnsi="Times New Roman"/>
          <w:sz w:val="24"/>
          <w:szCs w:val="24"/>
        </w:rPr>
        <w:t xml:space="preserve">By expanding the number of independent variables, the likelihood of spanning </w:t>
      </w:r>
      <w:r>
        <w:rPr>
          <w:rFonts w:ascii="Times New Roman" w:hAnsi="Times New Roman"/>
          <w:sz w:val="24"/>
          <w:szCs w:val="24"/>
        </w:rPr>
        <w:t xml:space="preserve">being not rejected </w:t>
      </w:r>
      <w:r w:rsidRPr="000E6048">
        <w:rPr>
          <w:rFonts w:ascii="Times New Roman" w:hAnsi="Times New Roman"/>
          <w:sz w:val="24"/>
          <w:szCs w:val="24"/>
        </w:rPr>
        <w:t>is either unchanged or increased.  There is no instance of a substantial reduction in the likelihoo</w:t>
      </w:r>
      <w:r w:rsidR="001472B9">
        <w:rPr>
          <w:rFonts w:ascii="Times New Roman" w:hAnsi="Times New Roman"/>
          <w:sz w:val="24"/>
          <w:szCs w:val="24"/>
        </w:rPr>
        <w:t>d of spanning.  This confirms our</w:t>
      </w:r>
      <w:r>
        <w:rPr>
          <w:rFonts w:ascii="Times New Roman" w:hAnsi="Times New Roman"/>
          <w:sz w:val="24"/>
          <w:szCs w:val="24"/>
        </w:rPr>
        <w:t xml:space="preserve"> earlier </w:t>
      </w:r>
      <w:r w:rsidR="00E21ABC">
        <w:rPr>
          <w:rFonts w:ascii="Times New Roman" w:hAnsi="Times New Roman"/>
          <w:sz w:val="24"/>
          <w:szCs w:val="24"/>
        </w:rPr>
        <w:lastRenderedPageBreak/>
        <w:t>analysis that a lower p</w:t>
      </w:r>
      <w:r w:rsidRPr="000E6048">
        <w:rPr>
          <w:rFonts w:ascii="Times New Roman" w:hAnsi="Times New Roman"/>
          <w:sz w:val="24"/>
          <w:szCs w:val="24"/>
        </w:rPr>
        <w:t xml:space="preserve">-value represents a more stringent requirement for the construction of the replicating portfolios.  </w:t>
      </w:r>
    </w:p>
    <w:p w14:paraId="09395C34" w14:textId="77777777" w:rsidR="001472B9" w:rsidRDefault="00E16FB9" w:rsidP="001F233D">
      <w:pPr>
        <w:spacing w:line="360" w:lineRule="auto"/>
        <w:jc w:val="both"/>
        <w:rPr>
          <w:rFonts w:ascii="Times New Roman" w:hAnsi="Times New Roman"/>
          <w:sz w:val="24"/>
          <w:szCs w:val="24"/>
        </w:rPr>
      </w:pPr>
      <w:r w:rsidRPr="00DF2FA7">
        <w:rPr>
          <w:rFonts w:ascii="Times New Roman" w:hAnsi="Times New Roman"/>
          <w:sz w:val="24"/>
          <w:szCs w:val="24"/>
        </w:rPr>
        <w:t>The D1 and D2 portfolios are comprised of Industry Indices, MNCs and the Russell 1000 index.  All contain US headquartered companies only and are counted as domestic equity holdings.  For the full period, these portfolios can replicate 36 of the 37 foreign country indices.  This means that home bias, i.e. holding domestic equity, is not sub</w:t>
      </w:r>
      <w:r w:rsidR="00502E34">
        <w:rPr>
          <w:rFonts w:ascii="Times New Roman" w:hAnsi="Times New Roman"/>
          <w:sz w:val="24"/>
          <w:szCs w:val="24"/>
        </w:rPr>
        <w:t>-</w:t>
      </w:r>
      <w:r w:rsidRPr="00DF2FA7">
        <w:rPr>
          <w:rFonts w:ascii="Times New Roman" w:hAnsi="Times New Roman"/>
          <w:sz w:val="24"/>
          <w:szCs w:val="24"/>
        </w:rPr>
        <w:t>optimal o</w:t>
      </w:r>
      <w:r w:rsidR="001472B9">
        <w:rPr>
          <w:rFonts w:ascii="Times New Roman" w:hAnsi="Times New Roman"/>
          <w:sz w:val="24"/>
          <w:szCs w:val="24"/>
        </w:rPr>
        <w:t>ver this period.  However, in our</w:t>
      </w:r>
      <w:r w:rsidRPr="00DF2FA7">
        <w:rPr>
          <w:rFonts w:ascii="Times New Roman" w:hAnsi="Times New Roman"/>
          <w:sz w:val="24"/>
          <w:szCs w:val="24"/>
        </w:rPr>
        <w:t xml:space="preserve"> sub-period analysis, the D1 and D2 portfolios do not replicate almost half of the foreign country indices in the period 2003 to 2007, demonstrating that home bias can be sub-optimal over shorter time horizons.  </w:t>
      </w:r>
      <w:r>
        <w:rPr>
          <w:rFonts w:ascii="Times New Roman" w:hAnsi="Times New Roman"/>
          <w:sz w:val="24"/>
          <w:szCs w:val="24"/>
        </w:rPr>
        <w:t>However, t</w:t>
      </w:r>
      <w:r w:rsidRPr="000E6048">
        <w:rPr>
          <w:rFonts w:ascii="Times New Roman" w:hAnsi="Times New Roman"/>
          <w:sz w:val="24"/>
          <w:szCs w:val="24"/>
        </w:rPr>
        <w:t xml:space="preserve">he </w:t>
      </w:r>
      <w:r>
        <w:rPr>
          <w:rFonts w:ascii="Times New Roman" w:hAnsi="Times New Roman"/>
          <w:sz w:val="24"/>
          <w:szCs w:val="24"/>
        </w:rPr>
        <w:t xml:space="preserve">consistent </w:t>
      </w:r>
      <w:r w:rsidRPr="000E6048">
        <w:rPr>
          <w:rFonts w:ascii="Times New Roman" w:hAnsi="Times New Roman"/>
          <w:sz w:val="24"/>
          <w:szCs w:val="24"/>
        </w:rPr>
        <w:t xml:space="preserve">results for </w:t>
      </w:r>
      <w:r>
        <w:rPr>
          <w:rFonts w:ascii="Times New Roman" w:hAnsi="Times New Roman"/>
          <w:sz w:val="24"/>
          <w:szCs w:val="24"/>
        </w:rPr>
        <w:t xml:space="preserve">the </w:t>
      </w:r>
      <w:r w:rsidRPr="000E6048">
        <w:rPr>
          <w:rFonts w:ascii="Times New Roman" w:hAnsi="Times New Roman"/>
          <w:sz w:val="24"/>
          <w:szCs w:val="24"/>
        </w:rPr>
        <w:t xml:space="preserve">D3 portfolios should convince any investor that investing in US-traded products only is an adequate diversification strategy.  </w:t>
      </w:r>
    </w:p>
    <w:p w14:paraId="7892EBF0" w14:textId="77777777" w:rsidR="00662849" w:rsidRPr="00CA4E0C" w:rsidRDefault="00F02E1B" w:rsidP="0087397F">
      <w:pPr>
        <w:pStyle w:val="Heading1"/>
        <w:spacing w:line="360" w:lineRule="auto"/>
        <w:rPr>
          <w:rFonts w:ascii="Times New Roman" w:hAnsi="Times New Roman" w:cs="Times New Roman"/>
          <w:sz w:val="24"/>
          <w:szCs w:val="24"/>
        </w:rPr>
      </w:pPr>
      <w:r w:rsidRPr="00CA4E0C">
        <w:rPr>
          <w:rFonts w:ascii="Times New Roman" w:hAnsi="Times New Roman" w:cs="Times New Roman"/>
          <w:sz w:val="24"/>
          <w:szCs w:val="24"/>
        </w:rPr>
        <w:t xml:space="preserve">6. </w:t>
      </w:r>
      <w:r w:rsidR="002D64E4" w:rsidRPr="00CA4E0C">
        <w:rPr>
          <w:rFonts w:ascii="Times New Roman" w:hAnsi="Times New Roman" w:cs="Times New Roman"/>
          <w:sz w:val="24"/>
          <w:szCs w:val="24"/>
        </w:rPr>
        <w:t>Conclusion</w:t>
      </w:r>
    </w:p>
    <w:p w14:paraId="3772471B" w14:textId="77777777" w:rsidR="00E16FB9" w:rsidRDefault="00E16FB9" w:rsidP="00CD4B7C">
      <w:pPr>
        <w:spacing w:line="360" w:lineRule="auto"/>
        <w:jc w:val="both"/>
        <w:rPr>
          <w:rFonts w:ascii="Times New Roman" w:hAnsi="Times New Roman"/>
          <w:sz w:val="24"/>
          <w:szCs w:val="24"/>
        </w:rPr>
      </w:pPr>
      <w:r w:rsidRPr="000E6048">
        <w:rPr>
          <w:rFonts w:ascii="Times New Roman" w:hAnsi="Times New Roman"/>
          <w:sz w:val="24"/>
          <w:szCs w:val="24"/>
        </w:rPr>
        <w:t xml:space="preserve">In this </w:t>
      </w:r>
      <w:r w:rsidR="001472B9">
        <w:rPr>
          <w:rFonts w:ascii="Times New Roman" w:hAnsi="Times New Roman"/>
          <w:sz w:val="24"/>
          <w:szCs w:val="24"/>
        </w:rPr>
        <w:t>paper we</w:t>
      </w:r>
      <w:r w:rsidRPr="000E6048">
        <w:rPr>
          <w:rFonts w:ascii="Times New Roman" w:hAnsi="Times New Roman"/>
          <w:sz w:val="24"/>
          <w:szCs w:val="24"/>
        </w:rPr>
        <w:t xml:space="preserve"> test whether US-traded equity products can replicate the returns of 37 foreign country indices, o</w:t>
      </w:r>
      <w:r w:rsidR="001472B9">
        <w:rPr>
          <w:rFonts w:ascii="Times New Roman" w:hAnsi="Times New Roman"/>
          <w:sz w:val="24"/>
          <w:szCs w:val="24"/>
        </w:rPr>
        <w:t xml:space="preserve">ver the period 1996 to 2011.  We </w:t>
      </w:r>
      <w:r w:rsidRPr="000E6048">
        <w:rPr>
          <w:rFonts w:ascii="Times New Roman" w:hAnsi="Times New Roman"/>
          <w:sz w:val="24"/>
          <w:szCs w:val="24"/>
        </w:rPr>
        <w:t>form three types of replicating portfolios, the first of Industry Indices, the second of the Russell 1000, Industry Indices and MNCs and the third of Russell 1000, Industry Indices, M</w:t>
      </w:r>
      <w:r w:rsidR="001472B9">
        <w:rPr>
          <w:rFonts w:ascii="Times New Roman" w:hAnsi="Times New Roman"/>
          <w:sz w:val="24"/>
          <w:szCs w:val="24"/>
        </w:rPr>
        <w:t>NCs, ADRs, CCFs</w:t>
      </w:r>
      <w:r w:rsidR="00CE6362">
        <w:rPr>
          <w:rFonts w:ascii="Times New Roman" w:hAnsi="Times New Roman"/>
          <w:sz w:val="24"/>
          <w:szCs w:val="24"/>
        </w:rPr>
        <w:t xml:space="preserve"> and iShares</w:t>
      </w:r>
      <w:r w:rsidR="001472B9">
        <w:rPr>
          <w:rFonts w:ascii="Times New Roman" w:hAnsi="Times New Roman"/>
          <w:sz w:val="24"/>
          <w:szCs w:val="24"/>
        </w:rPr>
        <w:t xml:space="preserve">.  We </w:t>
      </w:r>
      <w:r w:rsidRPr="000E6048">
        <w:rPr>
          <w:rFonts w:ascii="Times New Roman" w:hAnsi="Times New Roman"/>
          <w:sz w:val="24"/>
          <w:szCs w:val="24"/>
        </w:rPr>
        <w:t xml:space="preserve">examine the diversification benefits of these portfolios for the full period and three sub-periods, and test whether the benefits of investing overseas can be fully replicated using domestically traded products.  </w:t>
      </w:r>
    </w:p>
    <w:p w14:paraId="361EA675" w14:textId="77777777" w:rsidR="00E16FB9" w:rsidRPr="000E6048" w:rsidRDefault="001472B9" w:rsidP="001F233D">
      <w:pPr>
        <w:spacing w:line="360" w:lineRule="auto"/>
        <w:jc w:val="both"/>
        <w:rPr>
          <w:rFonts w:ascii="Times New Roman" w:hAnsi="Times New Roman"/>
          <w:sz w:val="24"/>
          <w:szCs w:val="24"/>
        </w:rPr>
      </w:pPr>
      <w:r>
        <w:rPr>
          <w:rFonts w:ascii="Times New Roman" w:hAnsi="Times New Roman"/>
          <w:sz w:val="24"/>
          <w:szCs w:val="24"/>
        </w:rPr>
        <w:t>For the full period our</w:t>
      </w:r>
      <w:r w:rsidR="00E16FB9" w:rsidRPr="000E6048">
        <w:rPr>
          <w:rFonts w:ascii="Times New Roman" w:hAnsi="Times New Roman"/>
          <w:sz w:val="24"/>
          <w:szCs w:val="24"/>
        </w:rPr>
        <w:t xml:space="preserve"> results are very conclusive, </w:t>
      </w:r>
      <w:r w:rsidR="00E16FB9">
        <w:rPr>
          <w:rFonts w:ascii="Times New Roman" w:hAnsi="Times New Roman"/>
          <w:sz w:val="24"/>
          <w:szCs w:val="24"/>
        </w:rPr>
        <w:t xml:space="preserve">by investing in </w:t>
      </w:r>
      <w:r w:rsidR="00E16FB9" w:rsidRPr="000E6048">
        <w:rPr>
          <w:rFonts w:ascii="Times New Roman" w:hAnsi="Times New Roman"/>
          <w:sz w:val="24"/>
          <w:szCs w:val="24"/>
        </w:rPr>
        <w:t xml:space="preserve">all three types of replicating portfolios </w:t>
      </w:r>
      <w:r w:rsidR="00E16FB9">
        <w:rPr>
          <w:rFonts w:ascii="Times New Roman" w:hAnsi="Times New Roman"/>
          <w:sz w:val="24"/>
          <w:szCs w:val="24"/>
        </w:rPr>
        <w:t xml:space="preserve">investors can achieve </w:t>
      </w:r>
      <w:r w:rsidR="00E16FB9" w:rsidRPr="000E6048">
        <w:rPr>
          <w:rFonts w:ascii="Times New Roman" w:hAnsi="Times New Roman"/>
          <w:sz w:val="24"/>
          <w:szCs w:val="24"/>
        </w:rPr>
        <w:t xml:space="preserve">most of the benefits of investing directly in foreign equity markets.  </w:t>
      </w:r>
      <w:r w:rsidR="00E16FB9">
        <w:rPr>
          <w:rFonts w:ascii="Times New Roman" w:hAnsi="Times New Roman"/>
          <w:sz w:val="24"/>
          <w:szCs w:val="24"/>
        </w:rPr>
        <w:t xml:space="preserve">When divided into sub-periods, </w:t>
      </w:r>
      <w:r w:rsidR="00502E34">
        <w:rPr>
          <w:rFonts w:ascii="Times New Roman" w:hAnsi="Times New Roman"/>
          <w:sz w:val="24"/>
          <w:szCs w:val="24"/>
        </w:rPr>
        <w:t>the results are more varied.</w:t>
      </w:r>
      <w:r w:rsidR="00E16FB9" w:rsidRPr="000E6048">
        <w:rPr>
          <w:rFonts w:ascii="Times New Roman" w:hAnsi="Times New Roman"/>
          <w:sz w:val="24"/>
          <w:szCs w:val="24"/>
        </w:rPr>
        <w:t xml:space="preserve">  </w:t>
      </w:r>
      <w:r w:rsidR="00502E34">
        <w:rPr>
          <w:rFonts w:ascii="Times New Roman" w:hAnsi="Times New Roman"/>
          <w:sz w:val="24"/>
          <w:szCs w:val="24"/>
        </w:rPr>
        <w:t>In the period 2003 to 2007</w:t>
      </w:r>
      <w:r w:rsidR="00E16FB9" w:rsidRPr="000E6048">
        <w:rPr>
          <w:rFonts w:ascii="Times New Roman" w:hAnsi="Times New Roman"/>
          <w:sz w:val="24"/>
          <w:szCs w:val="24"/>
        </w:rPr>
        <w:t>, the foreign country indices can be replicated for 3</w:t>
      </w:r>
      <w:r w:rsidR="00E16FB9">
        <w:rPr>
          <w:rFonts w:ascii="Times New Roman" w:hAnsi="Times New Roman"/>
          <w:sz w:val="24"/>
          <w:szCs w:val="24"/>
        </w:rPr>
        <w:t>6</w:t>
      </w:r>
      <w:r w:rsidR="00E16FB9" w:rsidRPr="000E6048">
        <w:rPr>
          <w:rFonts w:ascii="Times New Roman" w:hAnsi="Times New Roman"/>
          <w:sz w:val="24"/>
          <w:szCs w:val="24"/>
        </w:rPr>
        <w:t xml:space="preserve"> of the 37 countries, but for nearly half of the countries the addition of ADRs, iShares or CCFs to the portfolio is essential.</w:t>
      </w:r>
      <w:r w:rsidR="00E16FB9">
        <w:rPr>
          <w:rFonts w:ascii="Times New Roman" w:hAnsi="Times New Roman"/>
          <w:sz w:val="24"/>
          <w:szCs w:val="24"/>
        </w:rPr>
        <w:t xml:space="preserve">  In the other sub-periods and in the full period, replicating portfolios comprised of Industry Indices only and of Industry Indices, MNCs and the Russell 1000 can replicate the foreign indices with or without the inclusion of ADRs, iShares and CCFs.</w:t>
      </w:r>
      <w:r w:rsidR="00E16FB9" w:rsidRPr="000E6048">
        <w:rPr>
          <w:rFonts w:ascii="Times New Roman" w:hAnsi="Times New Roman"/>
          <w:sz w:val="24"/>
          <w:szCs w:val="24"/>
        </w:rPr>
        <w:t xml:space="preserve"> </w:t>
      </w:r>
    </w:p>
    <w:p w14:paraId="50E4B390" w14:textId="77777777" w:rsidR="00C921EE" w:rsidRPr="000E6048" w:rsidRDefault="001472B9" w:rsidP="00CD4B7C">
      <w:pPr>
        <w:spacing w:line="360" w:lineRule="auto"/>
        <w:jc w:val="both"/>
        <w:rPr>
          <w:rFonts w:ascii="Times New Roman" w:hAnsi="Times New Roman"/>
          <w:sz w:val="24"/>
          <w:szCs w:val="24"/>
        </w:rPr>
      </w:pPr>
      <w:r>
        <w:rPr>
          <w:rFonts w:ascii="Times New Roman" w:hAnsi="Times New Roman"/>
          <w:sz w:val="24"/>
          <w:szCs w:val="24"/>
        </w:rPr>
        <w:t>We</w:t>
      </w:r>
      <w:r w:rsidR="00E16FB9" w:rsidRPr="000E6048">
        <w:rPr>
          <w:rFonts w:ascii="Times New Roman" w:hAnsi="Times New Roman"/>
          <w:sz w:val="24"/>
          <w:szCs w:val="24"/>
        </w:rPr>
        <w:t xml:space="preserve"> contribute to the earlier findings by </w:t>
      </w:r>
      <w:r w:rsidR="00E16FB9" w:rsidRPr="000E6048">
        <w:rPr>
          <w:rFonts w:ascii="Times New Roman" w:hAnsi="Times New Roman"/>
          <w:sz w:val="24"/>
          <w:szCs w:val="24"/>
        </w:rPr>
        <w:fldChar w:fldCharType="begin" w:fldLock="1"/>
      </w:r>
      <w:r w:rsidR="00CE6362">
        <w:rPr>
          <w:rFonts w:ascii="Times New Roman" w:hAnsi="Times New Roman"/>
          <w:sz w:val="24"/>
          <w:szCs w:val="24"/>
        </w:rPr>
        <w:instrText>ADDIN CSL_CITATION { "citationItems" : [ { "id" : "ITEM-1", "itemData" : { "ISSN" : "0022-1082", "author" : [ { "dropping-particle" : "", "family" : "Errunza", "given" : "Vihang", "non-dropping-particle" : "", "parse-names" : false, "suffix" : "" }, { "dropping-particle" : "", "family" : "Hogan", "given" : "Ked", "non-dropping-particle" : "", "parse-names" : false, "suffix" : "" }, { "dropping-particle" : "", "family" : "Hung", "given" : "Mao-Wei", "non-dropping-particle" : "", "parse-names" : false, "suffix" : "" } ], "container-title" : "The Journal of Finance", "id" : "ITEM-1", "issue" : "6", "issued" : { "date-parts" : [ [ "1999", "12" ] ] }, "note" : "cited by 176", "page" : "2075-2107", "title" : "Can the Gains from International Diversification Be Achieved without Trading Abroad?", "type" : "article-journal", "volume" : "54" }, "uris" : [ "http://www.mendeley.com/documents/?uuid=e8f61226-eced-4e8b-8846-e75b86f009cf" ] } ], "mendeley" : { "manualFormatting" : "Errunza et al. (1999)", "previouslyFormattedCitation" : "(Errunza et al., 1999)" }, "properties" : { "noteIndex" : 0 }, "schema" : "https://github.com/citation-style-language/schema/raw/master/csl-citation.json" }</w:instrText>
      </w:r>
      <w:r w:rsidR="00E16FB9" w:rsidRPr="000E6048">
        <w:rPr>
          <w:rFonts w:ascii="Times New Roman" w:hAnsi="Times New Roman"/>
          <w:sz w:val="24"/>
          <w:szCs w:val="24"/>
        </w:rPr>
        <w:fldChar w:fldCharType="separate"/>
      </w:r>
      <w:r w:rsidR="00E16FB9" w:rsidRPr="000E6048">
        <w:rPr>
          <w:rFonts w:ascii="Times New Roman" w:hAnsi="Times New Roman"/>
          <w:noProof/>
          <w:sz w:val="24"/>
          <w:szCs w:val="24"/>
        </w:rPr>
        <w:t>Errunza et al. (1999)</w:t>
      </w:r>
      <w:r w:rsidR="00E16FB9" w:rsidRPr="000E6048">
        <w:rPr>
          <w:rFonts w:ascii="Times New Roman" w:hAnsi="Times New Roman"/>
          <w:sz w:val="24"/>
          <w:szCs w:val="24"/>
        </w:rPr>
        <w:fldChar w:fldCharType="end"/>
      </w:r>
      <w:r w:rsidR="00E16FB9" w:rsidRPr="000E6048">
        <w:rPr>
          <w:rFonts w:ascii="Times New Roman" w:hAnsi="Times New Roman"/>
          <w:sz w:val="24"/>
          <w:szCs w:val="24"/>
        </w:rPr>
        <w:t xml:space="preserve"> using an expanded dataset which includes more products and countries.  </w:t>
      </w:r>
      <w:r>
        <w:rPr>
          <w:rFonts w:ascii="Times New Roman" w:hAnsi="Times New Roman"/>
          <w:sz w:val="24"/>
          <w:szCs w:val="24"/>
        </w:rPr>
        <w:t>Our</w:t>
      </w:r>
      <w:r w:rsidR="00E16FB9" w:rsidRPr="000E6048">
        <w:rPr>
          <w:rFonts w:ascii="Times New Roman" w:hAnsi="Times New Roman"/>
          <w:sz w:val="24"/>
          <w:szCs w:val="24"/>
        </w:rPr>
        <w:t xml:space="preserve"> results are more robust due to the greater role of industrial diversification, the increasing foreign exposure that can be provided by MNCs, the </w:t>
      </w:r>
      <w:r w:rsidR="00E16FB9" w:rsidRPr="000E6048">
        <w:rPr>
          <w:rFonts w:ascii="Times New Roman" w:hAnsi="Times New Roman"/>
          <w:sz w:val="24"/>
          <w:szCs w:val="24"/>
        </w:rPr>
        <w:lastRenderedPageBreak/>
        <w:t>increase in the availability of ADRs and the introduction of iShares.  US investors who invest only in US-traded products are not forgoing the benefit of in</w:t>
      </w:r>
      <w:r>
        <w:rPr>
          <w:rFonts w:ascii="Times New Roman" w:hAnsi="Times New Roman"/>
          <w:sz w:val="24"/>
          <w:szCs w:val="24"/>
        </w:rPr>
        <w:t xml:space="preserve">ternational diversification.  We </w:t>
      </w:r>
      <w:r w:rsidR="00E16FB9" w:rsidRPr="000E6048">
        <w:rPr>
          <w:rFonts w:ascii="Times New Roman" w:hAnsi="Times New Roman"/>
          <w:sz w:val="24"/>
          <w:szCs w:val="24"/>
        </w:rPr>
        <w:t xml:space="preserve">find that those benefits can be exhausted domestically, negating the need to negotiate foreign equity markets.  </w:t>
      </w:r>
      <w:r w:rsidR="00C921EE">
        <w:rPr>
          <w:rFonts w:ascii="Times New Roman" w:hAnsi="Times New Roman"/>
          <w:sz w:val="24"/>
          <w:szCs w:val="24"/>
        </w:rPr>
        <w:t>Further study will</w:t>
      </w:r>
      <w:r w:rsidR="00C921EE" w:rsidRPr="000E6048">
        <w:rPr>
          <w:rFonts w:ascii="Times New Roman" w:hAnsi="Times New Roman"/>
          <w:sz w:val="24"/>
          <w:szCs w:val="24"/>
        </w:rPr>
        <w:t xml:space="preserve"> </w:t>
      </w:r>
      <w:r w:rsidR="00C921EE">
        <w:rPr>
          <w:rFonts w:ascii="Times New Roman" w:hAnsi="Times New Roman"/>
          <w:sz w:val="24"/>
          <w:szCs w:val="24"/>
        </w:rPr>
        <w:t>extend this analysis</w:t>
      </w:r>
      <w:r w:rsidR="00C921EE" w:rsidRPr="000E6048">
        <w:rPr>
          <w:rFonts w:ascii="Times New Roman" w:hAnsi="Times New Roman"/>
          <w:sz w:val="24"/>
          <w:szCs w:val="24"/>
        </w:rPr>
        <w:t xml:space="preserve"> to other countries with sufficient data, </w:t>
      </w:r>
      <w:r w:rsidR="00C921EE">
        <w:rPr>
          <w:rFonts w:ascii="Times New Roman" w:hAnsi="Times New Roman"/>
          <w:sz w:val="24"/>
          <w:szCs w:val="24"/>
        </w:rPr>
        <w:t xml:space="preserve">such as Eurozone countries or Japan, </w:t>
      </w:r>
      <w:r w:rsidR="00C921EE" w:rsidRPr="000E6048">
        <w:rPr>
          <w:rFonts w:ascii="Times New Roman" w:hAnsi="Times New Roman"/>
          <w:sz w:val="24"/>
          <w:szCs w:val="24"/>
        </w:rPr>
        <w:t xml:space="preserve">to test whether investing only in domestically traded products is an optimal strategy in countries other than the US and the UK.  </w:t>
      </w:r>
    </w:p>
    <w:p w14:paraId="70C98C14" w14:textId="77777777" w:rsidR="00C921EE" w:rsidRPr="00CA4E0C" w:rsidRDefault="00C921EE" w:rsidP="001472B9">
      <w:pPr>
        <w:spacing w:line="360" w:lineRule="auto"/>
        <w:rPr>
          <w:rFonts w:ascii="Times New Roman" w:hAnsi="Times New Roman" w:cs="Times New Roman"/>
          <w:sz w:val="24"/>
          <w:szCs w:val="24"/>
        </w:rPr>
      </w:pPr>
    </w:p>
    <w:p w14:paraId="7F0FC343" w14:textId="77777777" w:rsidR="001472B9" w:rsidRDefault="001472B9">
      <w:pPr>
        <w:rPr>
          <w:rFonts w:asciiTheme="majorHAnsi" w:eastAsiaTheme="majorEastAsia" w:hAnsiTheme="majorHAnsi" w:cstheme="majorBidi"/>
          <w:b/>
          <w:bCs/>
          <w:color w:val="365F91" w:themeColor="accent1" w:themeShade="BF"/>
          <w:sz w:val="28"/>
          <w:szCs w:val="28"/>
        </w:rPr>
      </w:pPr>
      <w:r>
        <w:br w:type="page"/>
      </w:r>
    </w:p>
    <w:p w14:paraId="1AC2E60A" w14:textId="77777777" w:rsidR="00662849" w:rsidRDefault="00F02E1B" w:rsidP="00662849">
      <w:pPr>
        <w:pStyle w:val="Heading1"/>
      </w:pPr>
      <w:r>
        <w:lastRenderedPageBreak/>
        <w:t xml:space="preserve">7. </w:t>
      </w:r>
      <w:r w:rsidR="001F4DDE">
        <w:t>Bibliography</w:t>
      </w:r>
    </w:p>
    <w:p w14:paraId="41FFDB7C" w14:textId="77777777" w:rsidR="00CE6362" w:rsidRPr="00CE6362" w:rsidRDefault="00AF6859">
      <w:pPr>
        <w:pStyle w:val="NormalWeb"/>
        <w:ind w:left="480" w:hanging="480"/>
        <w:divId w:val="1410807615"/>
        <w:rPr>
          <w:rFonts w:ascii="Calibri" w:hAnsi="Calibri"/>
          <w:noProof/>
          <w:sz w:val="22"/>
        </w:rPr>
      </w:pPr>
      <w:r>
        <w:fldChar w:fldCharType="begin" w:fldLock="1"/>
      </w:r>
      <w:r>
        <w:instrText xml:space="preserve">ADDIN Mendeley Bibliography CSL_BIBLIOGRAPHY </w:instrText>
      </w:r>
      <w:r>
        <w:fldChar w:fldCharType="separate"/>
      </w:r>
      <w:r w:rsidR="00CE6362" w:rsidRPr="00CE6362">
        <w:rPr>
          <w:rFonts w:ascii="Calibri" w:hAnsi="Calibri"/>
          <w:noProof/>
          <w:sz w:val="22"/>
        </w:rPr>
        <w:t xml:space="preserve">Agmon, T., &amp; Lessard, D. R. (1977). Investor Recognition of Corporate International Diversification. </w:t>
      </w:r>
      <w:r w:rsidR="00CE6362" w:rsidRPr="00CE6362">
        <w:rPr>
          <w:rFonts w:ascii="Calibri" w:hAnsi="Calibri"/>
          <w:i/>
          <w:iCs/>
          <w:noProof/>
          <w:sz w:val="22"/>
        </w:rPr>
        <w:t>The Journal of Finance</w:t>
      </w:r>
      <w:r w:rsidR="00CE6362" w:rsidRPr="00CE6362">
        <w:rPr>
          <w:rFonts w:ascii="Calibri" w:hAnsi="Calibri"/>
          <w:noProof/>
          <w:sz w:val="22"/>
        </w:rPr>
        <w:t xml:space="preserve">, </w:t>
      </w:r>
      <w:r w:rsidR="00CE6362" w:rsidRPr="00CE6362">
        <w:rPr>
          <w:rFonts w:ascii="Calibri" w:hAnsi="Calibri"/>
          <w:i/>
          <w:iCs/>
          <w:noProof/>
          <w:sz w:val="22"/>
        </w:rPr>
        <w:t>32</w:t>
      </w:r>
      <w:r w:rsidR="00CE6362" w:rsidRPr="00CE6362">
        <w:rPr>
          <w:rFonts w:ascii="Calibri" w:hAnsi="Calibri"/>
          <w:noProof/>
          <w:sz w:val="22"/>
        </w:rPr>
        <w:t>(4), 1049 – 1055.</w:t>
      </w:r>
    </w:p>
    <w:p w14:paraId="0F93F353"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Ahearne, A. G., Griever, W. L., &amp; Warnock, F. E. (2004). Information costs and home bias: an analysis of US holdings of foreign equities. </w:t>
      </w:r>
      <w:r w:rsidRPr="00CE6362">
        <w:rPr>
          <w:rFonts w:ascii="Calibri" w:hAnsi="Calibri"/>
          <w:i/>
          <w:iCs/>
          <w:noProof/>
          <w:sz w:val="22"/>
        </w:rPr>
        <w:t>Journal of International Economics</w:t>
      </w:r>
      <w:r w:rsidRPr="00CE6362">
        <w:rPr>
          <w:rFonts w:ascii="Calibri" w:hAnsi="Calibri"/>
          <w:noProof/>
          <w:sz w:val="22"/>
        </w:rPr>
        <w:t xml:space="preserve">, </w:t>
      </w:r>
      <w:r w:rsidRPr="00CE6362">
        <w:rPr>
          <w:rFonts w:ascii="Calibri" w:hAnsi="Calibri"/>
          <w:i/>
          <w:iCs/>
          <w:noProof/>
          <w:sz w:val="22"/>
        </w:rPr>
        <w:t>62</w:t>
      </w:r>
      <w:r w:rsidRPr="00CE6362">
        <w:rPr>
          <w:rFonts w:ascii="Calibri" w:hAnsi="Calibri"/>
          <w:noProof/>
          <w:sz w:val="22"/>
        </w:rPr>
        <w:t>(2), 313–336.</w:t>
      </w:r>
    </w:p>
    <w:p w14:paraId="39EA715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Antoniou, A., Olusi, O., &amp; Paudyal, K. (2010). Equity Home-Bias: A Suboptimal Choice for UK investors? </w:t>
      </w:r>
      <w:r w:rsidRPr="00CE6362">
        <w:rPr>
          <w:rFonts w:ascii="Calibri" w:hAnsi="Calibri"/>
          <w:i/>
          <w:iCs/>
          <w:noProof/>
          <w:sz w:val="22"/>
        </w:rPr>
        <w:t>European Financial Management</w:t>
      </w:r>
      <w:r w:rsidRPr="00CE6362">
        <w:rPr>
          <w:rFonts w:ascii="Calibri" w:hAnsi="Calibri"/>
          <w:noProof/>
          <w:sz w:val="22"/>
        </w:rPr>
        <w:t xml:space="preserve">, </w:t>
      </w:r>
      <w:r w:rsidRPr="00CE6362">
        <w:rPr>
          <w:rFonts w:ascii="Calibri" w:hAnsi="Calibri"/>
          <w:i/>
          <w:iCs/>
          <w:noProof/>
          <w:sz w:val="22"/>
        </w:rPr>
        <w:t>16</w:t>
      </w:r>
      <w:r w:rsidRPr="00CE6362">
        <w:rPr>
          <w:rFonts w:ascii="Calibri" w:hAnsi="Calibri"/>
          <w:noProof/>
          <w:sz w:val="22"/>
        </w:rPr>
        <w:t>(3), 449–479.</w:t>
      </w:r>
    </w:p>
    <w:p w14:paraId="720C2885"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Asness, C. S., Israelov, R. and, &amp; Liew, J. M. (2011). International Diversification Works (Eventually). </w:t>
      </w:r>
      <w:r w:rsidRPr="00CE6362">
        <w:rPr>
          <w:rFonts w:ascii="Calibri" w:hAnsi="Calibri"/>
          <w:i/>
          <w:iCs/>
          <w:noProof/>
          <w:sz w:val="22"/>
        </w:rPr>
        <w:t>Financial Analysts Journal</w:t>
      </w:r>
      <w:r w:rsidRPr="00CE6362">
        <w:rPr>
          <w:rFonts w:ascii="Calibri" w:hAnsi="Calibri"/>
          <w:noProof/>
          <w:sz w:val="22"/>
        </w:rPr>
        <w:t xml:space="preserve">, </w:t>
      </w:r>
      <w:r w:rsidRPr="00CE6362">
        <w:rPr>
          <w:rFonts w:ascii="Calibri" w:hAnsi="Calibri"/>
          <w:i/>
          <w:iCs/>
          <w:noProof/>
          <w:sz w:val="22"/>
        </w:rPr>
        <w:t>67</w:t>
      </w:r>
      <w:r w:rsidRPr="00CE6362">
        <w:rPr>
          <w:rFonts w:ascii="Calibri" w:hAnsi="Calibri"/>
          <w:noProof/>
          <w:sz w:val="22"/>
        </w:rPr>
        <w:t>(3), 24–38.</w:t>
      </w:r>
    </w:p>
    <w:p w14:paraId="577B5C71"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Baca, S. P., Garbe, B. L., &amp; Weiss, R. A. (2000). The Rise of Sector Effects in Major Equity Markets. </w:t>
      </w:r>
      <w:r w:rsidRPr="00CE6362">
        <w:rPr>
          <w:rFonts w:ascii="Calibri" w:hAnsi="Calibri"/>
          <w:i/>
          <w:iCs/>
          <w:noProof/>
          <w:sz w:val="22"/>
        </w:rPr>
        <w:t>Financial Analysts Journal</w:t>
      </w:r>
      <w:r w:rsidRPr="00CE6362">
        <w:rPr>
          <w:rFonts w:ascii="Calibri" w:hAnsi="Calibri"/>
          <w:noProof/>
          <w:sz w:val="22"/>
        </w:rPr>
        <w:t xml:space="preserve">, </w:t>
      </w:r>
      <w:r w:rsidRPr="00CE6362">
        <w:rPr>
          <w:rFonts w:ascii="Calibri" w:hAnsi="Calibri"/>
          <w:i/>
          <w:iCs/>
          <w:noProof/>
          <w:sz w:val="22"/>
        </w:rPr>
        <w:t>56</w:t>
      </w:r>
      <w:r w:rsidRPr="00CE6362">
        <w:rPr>
          <w:rFonts w:ascii="Calibri" w:hAnsi="Calibri"/>
          <w:noProof/>
          <w:sz w:val="22"/>
        </w:rPr>
        <w:t>(5), 34 – 40.</w:t>
      </w:r>
    </w:p>
    <w:p w14:paraId="32964B1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Baxter, M., &amp; Jermann, U. J. (1997). The International Diversification Puzzle Is Worse Than You Think. </w:t>
      </w:r>
      <w:r w:rsidRPr="00CE6362">
        <w:rPr>
          <w:rFonts w:ascii="Calibri" w:hAnsi="Calibri"/>
          <w:i/>
          <w:iCs/>
          <w:noProof/>
          <w:sz w:val="22"/>
        </w:rPr>
        <w:t>The American Economic Review</w:t>
      </w:r>
      <w:r w:rsidRPr="00CE6362">
        <w:rPr>
          <w:rFonts w:ascii="Calibri" w:hAnsi="Calibri"/>
          <w:noProof/>
          <w:sz w:val="22"/>
        </w:rPr>
        <w:t xml:space="preserve">, </w:t>
      </w:r>
      <w:r w:rsidRPr="00CE6362">
        <w:rPr>
          <w:rFonts w:ascii="Calibri" w:hAnsi="Calibri"/>
          <w:i/>
          <w:iCs/>
          <w:noProof/>
          <w:sz w:val="22"/>
        </w:rPr>
        <w:t>87</w:t>
      </w:r>
      <w:r w:rsidRPr="00CE6362">
        <w:rPr>
          <w:rFonts w:ascii="Calibri" w:hAnsi="Calibri"/>
          <w:noProof/>
          <w:sz w:val="22"/>
        </w:rPr>
        <w:t>(1), 170 – 180.</w:t>
      </w:r>
    </w:p>
    <w:p w14:paraId="4ACABA38"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Baxter, M., &amp; Kouparitsas, M. (2005). Determinants of business cycle comovement: a robust analysis. </w:t>
      </w:r>
      <w:r w:rsidRPr="00CE6362">
        <w:rPr>
          <w:rFonts w:ascii="Calibri" w:hAnsi="Calibri"/>
          <w:i/>
          <w:iCs/>
          <w:noProof/>
          <w:sz w:val="22"/>
        </w:rPr>
        <w:t>Journal of Monetary Economics</w:t>
      </w:r>
      <w:r w:rsidRPr="00CE6362">
        <w:rPr>
          <w:rFonts w:ascii="Calibri" w:hAnsi="Calibri"/>
          <w:noProof/>
          <w:sz w:val="22"/>
        </w:rPr>
        <w:t xml:space="preserve">, </w:t>
      </w:r>
      <w:r w:rsidRPr="00CE6362">
        <w:rPr>
          <w:rFonts w:ascii="Calibri" w:hAnsi="Calibri"/>
          <w:i/>
          <w:iCs/>
          <w:noProof/>
          <w:sz w:val="22"/>
        </w:rPr>
        <w:t>52</w:t>
      </w:r>
      <w:r w:rsidRPr="00CE6362">
        <w:rPr>
          <w:rFonts w:ascii="Calibri" w:hAnsi="Calibri"/>
          <w:noProof/>
          <w:sz w:val="22"/>
        </w:rPr>
        <w:t>(1), 113–157.</w:t>
      </w:r>
    </w:p>
    <w:p w14:paraId="5E56D786"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Bekaert, G., Hodrick, R. J., &amp; Zhang, X. (2009). International Stock Return Comovements.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64</w:t>
      </w:r>
      <w:r w:rsidRPr="00CE6362">
        <w:rPr>
          <w:rFonts w:ascii="Calibri" w:hAnsi="Calibri"/>
          <w:noProof/>
          <w:sz w:val="22"/>
        </w:rPr>
        <w:t>(6), 2591–2626.</w:t>
      </w:r>
    </w:p>
    <w:p w14:paraId="4497201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Bekaert, G., &amp; Urias, M. S. (1996). Diversification , Integration and Emerging Market Closed-End Funds.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51</w:t>
      </w:r>
      <w:r w:rsidRPr="00CE6362">
        <w:rPr>
          <w:rFonts w:ascii="Calibri" w:hAnsi="Calibri"/>
          <w:noProof/>
          <w:sz w:val="22"/>
        </w:rPr>
        <w:t>(3), 835–869.</w:t>
      </w:r>
    </w:p>
    <w:p w14:paraId="74B63E0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Bekaert, G., &amp; Urias, M. S. (1999). Is There a Free Lunch in Emerging Market Equities? </w:t>
      </w:r>
      <w:r w:rsidRPr="00CE6362">
        <w:rPr>
          <w:rFonts w:ascii="Calibri" w:hAnsi="Calibri"/>
          <w:i/>
          <w:iCs/>
          <w:noProof/>
          <w:sz w:val="22"/>
        </w:rPr>
        <w:t>The Journal of Portfolio Management</w:t>
      </w:r>
      <w:r w:rsidRPr="00CE6362">
        <w:rPr>
          <w:rFonts w:ascii="Calibri" w:hAnsi="Calibri"/>
          <w:noProof/>
          <w:sz w:val="22"/>
        </w:rPr>
        <w:t xml:space="preserve">, </w:t>
      </w:r>
      <w:r w:rsidRPr="00CE6362">
        <w:rPr>
          <w:rFonts w:ascii="Calibri" w:hAnsi="Calibri"/>
          <w:i/>
          <w:iCs/>
          <w:noProof/>
          <w:sz w:val="22"/>
        </w:rPr>
        <w:t>25</w:t>
      </w:r>
      <w:r w:rsidRPr="00CE6362">
        <w:rPr>
          <w:rFonts w:ascii="Calibri" w:hAnsi="Calibri"/>
          <w:noProof/>
          <w:sz w:val="22"/>
        </w:rPr>
        <w:t>(3), 83–95.</w:t>
      </w:r>
    </w:p>
    <w:p w14:paraId="0E77B865"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Bendel, R. B., &amp; Afifi, A. A. (1977). Comparison of Stopping Rules in Forward “Stepwise” Regression. </w:t>
      </w:r>
      <w:r w:rsidRPr="00CE6362">
        <w:rPr>
          <w:rFonts w:ascii="Calibri" w:hAnsi="Calibri"/>
          <w:i/>
          <w:iCs/>
          <w:noProof/>
          <w:sz w:val="22"/>
        </w:rPr>
        <w:t>Journal of the American Statistical Association</w:t>
      </w:r>
      <w:r w:rsidRPr="00CE6362">
        <w:rPr>
          <w:rFonts w:ascii="Calibri" w:hAnsi="Calibri"/>
          <w:noProof/>
          <w:sz w:val="22"/>
        </w:rPr>
        <w:t xml:space="preserve">, </w:t>
      </w:r>
      <w:r w:rsidRPr="00CE6362">
        <w:rPr>
          <w:rFonts w:ascii="Calibri" w:hAnsi="Calibri"/>
          <w:i/>
          <w:iCs/>
          <w:noProof/>
          <w:sz w:val="22"/>
        </w:rPr>
        <w:t>72</w:t>
      </w:r>
      <w:r w:rsidRPr="00CE6362">
        <w:rPr>
          <w:rFonts w:ascii="Calibri" w:hAnsi="Calibri"/>
          <w:noProof/>
          <w:sz w:val="22"/>
        </w:rPr>
        <w:t>(357), 46–53.</w:t>
      </w:r>
    </w:p>
    <w:p w14:paraId="21E9A06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Berrill, J., &amp; Kearney, C. (2010). Firm-level internationalisation and the home bias puzzle. </w:t>
      </w:r>
      <w:r w:rsidRPr="00CE6362">
        <w:rPr>
          <w:rFonts w:ascii="Calibri" w:hAnsi="Calibri"/>
          <w:i/>
          <w:iCs/>
          <w:noProof/>
          <w:sz w:val="22"/>
        </w:rPr>
        <w:t>Journal of Economics and Business</w:t>
      </w:r>
      <w:r w:rsidRPr="00CE6362">
        <w:rPr>
          <w:rFonts w:ascii="Calibri" w:hAnsi="Calibri"/>
          <w:noProof/>
          <w:sz w:val="22"/>
        </w:rPr>
        <w:t xml:space="preserve">, </w:t>
      </w:r>
      <w:r w:rsidRPr="00CE6362">
        <w:rPr>
          <w:rFonts w:ascii="Calibri" w:hAnsi="Calibri"/>
          <w:i/>
          <w:iCs/>
          <w:noProof/>
          <w:sz w:val="22"/>
        </w:rPr>
        <w:t>62</w:t>
      </w:r>
      <w:r w:rsidRPr="00CE6362">
        <w:rPr>
          <w:rFonts w:ascii="Calibri" w:hAnsi="Calibri"/>
          <w:noProof/>
          <w:sz w:val="22"/>
        </w:rPr>
        <w:t>(4), 235–256.</w:t>
      </w:r>
    </w:p>
    <w:p w14:paraId="1ABA9117"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Bodurtha, J. N., Kim, D. S., &amp; Lee, C. (1995). Closed-end country funds and U.S. market sentiment. </w:t>
      </w:r>
      <w:r w:rsidRPr="00CE6362">
        <w:rPr>
          <w:rFonts w:ascii="Calibri" w:hAnsi="Calibri"/>
          <w:i/>
          <w:iCs/>
          <w:noProof/>
          <w:sz w:val="22"/>
        </w:rPr>
        <w:t>Review of Financial Studies</w:t>
      </w:r>
      <w:r w:rsidRPr="00CE6362">
        <w:rPr>
          <w:rFonts w:ascii="Calibri" w:hAnsi="Calibri"/>
          <w:noProof/>
          <w:sz w:val="22"/>
        </w:rPr>
        <w:t xml:space="preserve">, </w:t>
      </w:r>
      <w:r w:rsidRPr="00CE6362">
        <w:rPr>
          <w:rFonts w:ascii="Calibri" w:hAnsi="Calibri"/>
          <w:i/>
          <w:iCs/>
          <w:noProof/>
          <w:sz w:val="22"/>
        </w:rPr>
        <w:t>8</w:t>
      </w:r>
      <w:r w:rsidRPr="00CE6362">
        <w:rPr>
          <w:rFonts w:ascii="Calibri" w:hAnsi="Calibri"/>
          <w:noProof/>
          <w:sz w:val="22"/>
        </w:rPr>
        <w:t>(3), 879–918.</w:t>
      </w:r>
    </w:p>
    <w:p w14:paraId="025CEFC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Brewer, H. L. (1981). Investor Benefits from Corporate International Diversification. </w:t>
      </w:r>
      <w:r w:rsidRPr="00CE6362">
        <w:rPr>
          <w:rFonts w:ascii="Calibri" w:hAnsi="Calibri"/>
          <w:i/>
          <w:iCs/>
          <w:noProof/>
          <w:sz w:val="22"/>
        </w:rPr>
        <w:t>The Journal of Financial and Quantitative Analysis</w:t>
      </w:r>
      <w:r w:rsidRPr="00CE6362">
        <w:rPr>
          <w:rFonts w:ascii="Calibri" w:hAnsi="Calibri"/>
          <w:noProof/>
          <w:sz w:val="22"/>
        </w:rPr>
        <w:t xml:space="preserve">, </w:t>
      </w:r>
      <w:r w:rsidRPr="00CE6362">
        <w:rPr>
          <w:rFonts w:ascii="Calibri" w:hAnsi="Calibri"/>
          <w:i/>
          <w:iCs/>
          <w:noProof/>
          <w:sz w:val="22"/>
        </w:rPr>
        <w:t>16</w:t>
      </w:r>
      <w:r w:rsidRPr="00CE6362">
        <w:rPr>
          <w:rFonts w:ascii="Calibri" w:hAnsi="Calibri"/>
          <w:noProof/>
          <w:sz w:val="22"/>
        </w:rPr>
        <w:t>(1), 113 – 126.</w:t>
      </w:r>
    </w:p>
    <w:p w14:paraId="4266952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Buraschi, A., Porchia, P., &amp; Trojani, F. (2010). Correlation Risk and Optimal Portfolio Choice.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65</w:t>
      </w:r>
      <w:r w:rsidRPr="00CE6362">
        <w:rPr>
          <w:rFonts w:ascii="Calibri" w:hAnsi="Calibri"/>
          <w:noProof/>
          <w:sz w:val="22"/>
        </w:rPr>
        <w:t>(1), 393–420.</w:t>
      </w:r>
    </w:p>
    <w:p w14:paraId="747400E8"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lastRenderedPageBreak/>
        <w:t xml:space="preserve">Cai, F., &amp; Warnock, F. E. (2012). Foreign exposure through domestic equities. </w:t>
      </w:r>
      <w:r w:rsidRPr="00CE6362">
        <w:rPr>
          <w:rFonts w:ascii="Calibri" w:hAnsi="Calibri"/>
          <w:i/>
          <w:iCs/>
          <w:noProof/>
          <w:sz w:val="22"/>
        </w:rPr>
        <w:t>Finance Research Letters</w:t>
      </w:r>
      <w:r w:rsidRPr="00CE6362">
        <w:rPr>
          <w:rFonts w:ascii="Calibri" w:hAnsi="Calibri"/>
          <w:noProof/>
          <w:sz w:val="22"/>
        </w:rPr>
        <w:t xml:space="preserve">, </w:t>
      </w:r>
      <w:r w:rsidRPr="00CE6362">
        <w:rPr>
          <w:rFonts w:ascii="Calibri" w:hAnsi="Calibri"/>
          <w:i/>
          <w:iCs/>
          <w:noProof/>
          <w:sz w:val="22"/>
        </w:rPr>
        <w:t>9</w:t>
      </w:r>
      <w:r w:rsidRPr="00CE6362">
        <w:rPr>
          <w:rFonts w:ascii="Calibri" w:hAnsi="Calibri"/>
          <w:noProof/>
          <w:sz w:val="22"/>
        </w:rPr>
        <w:t>(1), 8–20.</w:t>
      </w:r>
    </w:p>
    <w:p w14:paraId="2153C709"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Cavaglia, S., Brightman, C., &amp; Aked, M. (2000). The Increasing Importance of Industry Factors. </w:t>
      </w:r>
      <w:r w:rsidRPr="00CE6362">
        <w:rPr>
          <w:rFonts w:ascii="Calibri" w:hAnsi="Calibri"/>
          <w:i/>
          <w:iCs/>
          <w:noProof/>
          <w:sz w:val="22"/>
        </w:rPr>
        <w:t>Financial Analysts Journal</w:t>
      </w:r>
      <w:r w:rsidRPr="00CE6362">
        <w:rPr>
          <w:rFonts w:ascii="Calibri" w:hAnsi="Calibri"/>
          <w:noProof/>
          <w:sz w:val="22"/>
        </w:rPr>
        <w:t xml:space="preserve">, </w:t>
      </w:r>
      <w:r w:rsidRPr="00CE6362">
        <w:rPr>
          <w:rFonts w:ascii="Calibri" w:hAnsi="Calibri"/>
          <w:i/>
          <w:iCs/>
          <w:noProof/>
          <w:sz w:val="22"/>
        </w:rPr>
        <w:t>56</w:t>
      </w:r>
      <w:r w:rsidRPr="00CE6362">
        <w:rPr>
          <w:rFonts w:ascii="Calibri" w:hAnsi="Calibri"/>
          <w:noProof/>
          <w:sz w:val="22"/>
        </w:rPr>
        <w:t>(5), 41 – 54.</w:t>
      </w:r>
    </w:p>
    <w:p w14:paraId="26075666"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Chan, K., Covrig, V., &amp; Ng, L. (2005). What Determines the Domestic Bias and Foreign Bias? Evidence from Mutual Fund Equity Allocations Worldwide.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60</w:t>
      </w:r>
      <w:r w:rsidRPr="00CE6362">
        <w:rPr>
          <w:rFonts w:ascii="Calibri" w:hAnsi="Calibri"/>
          <w:noProof/>
          <w:sz w:val="22"/>
        </w:rPr>
        <w:t>(3), 1495–1534.</w:t>
      </w:r>
    </w:p>
    <w:p w14:paraId="028A4E64"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Chang, E., Eun, C. S., &amp; Kolodny, R. (1995). International Diversification through Closed-End Country Funds. </w:t>
      </w:r>
      <w:r w:rsidRPr="00CE6362">
        <w:rPr>
          <w:rFonts w:ascii="Calibri" w:hAnsi="Calibri"/>
          <w:i/>
          <w:iCs/>
          <w:noProof/>
          <w:sz w:val="22"/>
        </w:rPr>
        <w:t>Journal of Banking &amp; Finance</w:t>
      </w:r>
      <w:r w:rsidRPr="00CE6362">
        <w:rPr>
          <w:rFonts w:ascii="Calibri" w:hAnsi="Calibri"/>
          <w:noProof/>
          <w:sz w:val="22"/>
        </w:rPr>
        <w:t xml:space="preserve">, </w:t>
      </w:r>
      <w:r w:rsidRPr="00CE6362">
        <w:rPr>
          <w:rFonts w:ascii="Calibri" w:hAnsi="Calibri"/>
          <w:i/>
          <w:iCs/>
          <w:noProof/>
          <w:sz w:val="22"/>
        </w:rPr>
        <w:t>19</w:t>
      </w:r>
      <w:r w:rsidRPr="00CE6362">
        <w:rPr>
          <w:rFonts w:ascii="Calibri" w:hAnsi="Calibri"/>
          <w:noProof/>
          <w:sz w:val="22"/>
        </w:rPr>
        <w:t>(7), 1237–1263.</w:t>
      </w:r>
    </w:p>
    <w:p w14:paraId="0EEE02C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Charitou, A., Makris, A., &amp; Nishiotis, G. P. (2006). Closed-End Country Funds and International Diversification. </w:t>
      </w:r>
      <w:r w:rsidRPr="00CE6362">
        <w:rPr>
          <w:rFonts w:ascii="Calibri" w:hAnsi="Calibri"/>
          <w:i/>
          <w:iCs/>
          <w:noProof/>
          <w:sz w:val="22"/>
        </w:rPr>
        <w:t>Multinational Finance Journal</w:t>
      </w:r>
      <w:r w:rsidRPr="00CE6362">
        <w:rPr>
          <w:rFonts w:ascii="Calibri" w:hAnsi="Calibri"/>
          <w:noProof/>
          <w:sz w:val="22"/>
        </w:rPr>
        <w:t xml:space="preserve">, </w:t>
      </w:r>
      <w:r w:rsidRPr="00CE6362">
        <w:rPr>
          <w:rFonts w:ascii="Calibri" w:hAnsi="Calibri"/>
          <w:i/>
          <w:iCs/>
          <w:noProof/>
          <w:sz w:val="22"/>
        </w:rPr>
        <w:t>10</w:t>
      </w:r>
      <w:r w:rsidRPr="00CE6362">
        <w:rPr>
          <w:rFonts w:ascii="Calibri" w:hAnsi="Calibri"/>
          <w:noProof/>
          <w:sz w:val="22"/>
        </w:rPr>
        <w:t>(3), 251–276.</w:t>
      </w:r>
    </w:p>
    <w:p w14:paraId="5BEE86A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Chen, H., Morse, J. N., &amp; Nguyen, H. H. (2009). Changes in the liquidity of closed-end country funds after the introduction of World Equity Benchmarks. </w:t>
      </w:r>
      <w:r w:rsidRPr="00CE6362">
        <w:rPr>
          <w:rFonts w:ascii="Calibri" w:hAnsi="Calibri"/>
          <w:i/>
          <w:iCs/>
          <w:noProof/>
          <w:sz w:val="22"/>
        </w:rPr>
        <w:t>The Quarterly Review of Economics and Finance</w:t>
      </w:r>
      <w:r w:rsidRPr="00CE6362">
        <w:rPr>
          <w:rFonts w:ascii="Calibri" w:hAnsi="Calibri"/>
          <w:noProof/>
          <w:sz w:val="22"/>
        </w:rPr>
        <w:t xml:space="preserve">, </w:t>
      </w:r>
      <w:r w:rsidRPr="00CE6362">
        <w:rPr>
          <w:rFonts w:ascii="Calibri" w:hAnsi="Calibri"/>
          <w:i/>
          <w:iCs/>
          <w:noProof/>
          <w:sz w:val="22"/>
        </w:rPr>
        <w:t>49</w:t>
      </w:r>
      <w:r w:rsidRPr="00CE6362">
        <w:rPr>
          <w:rFonts w:ascii="Calibri" w:hAnsi="Calibri"/>
          <w:noProof/>
          <w:sz w:val="22"/>
        </w:rPr>
        <w:t>(3), 1081–1094.</w:t>
      </w:r>
    </w:p>
    <w:p w14:paraId="68B1BCFE"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Chow, G. (1960). Tests of Equality Between Sets of Coefficients in Two Linear Regressions. </w:t>
      </w:r>
      <w:r w:rsidRPr="00CE6362">
        <w:rPr>
          <w:rFonts w:ascii="Calibri" w:hAnsi="Calibri"/>
          <w:i/>
          <w:iCs/>
          <w:noProof/>
          <w:sz w:val="22"/>
        </w:rPr>
        <w:t>Econometrica</w:t>
      </w:r>
      <w:r w:rsidRPr="00CE6362">
        <w:rPr>
          <w:rFonts w:ascii="Calibri" w:hAnsi="Calibri"/>
          <w:noProof/>
          <w:sz w:val="22"/>
        </w:rPr>
        <w:t xml:space="preserve">, </w:t>
      </w:r>
      <w:r w:rsidRPr="00CE6362">
        <w:rPr>
          <w:rFonts w:ascii="Calibri" w:hAnsi="Calibri"/>
          <w:i/>
          <w:iCs/>
          <w:noProof/>
          <w:sz w:val="22"/>
        </w:rPr>
        <w:t>28</w:t>
      </w:r>
      <w:r w:rsidRPr="00CE6362">
        <w:rPr>
          <w:rFonts w:ascii="Calibri" w:hAnsi="Calibri"/>
          <w:noProof/>
          <w:sz w:val="22"/>
        </w:rPr>
        <w:t>(3), 591–605.</w:t>
      </w:r>
    </w:p>
    <w:p w14:paraId="05AC38D0"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Christoffersen, P., Errunza, V., Jacobs, K., &amp; Langlois, H. (2012). Is the Potential for International Diversification Disappearing? A Dynamic Copula Approach. </w:t>
      </w:r>
      <w:r w:rsidRPr="00CE6362">
        <w:rPr>
          <w:rFonts w:ascii="Calibri" w:hAnsi="Calibri"/>
          <w:i/>
          <w:iCs/>
          <w:noProof/>
          <w:sz w:val="22"/>
        </w:rPr>
        <w:t>Review of Financial Studies</w:t>
      </w:r>
      <w:r w:rsidRPr="00CE6362">
        <w:rPr>
          <w:rFonts w:ascii="Calibri" w:hAnsi="Calibri"/>
          <w:noProof/>
          <w:sz w:val="22"/>
        </w:rPr>
        <w:t xml:space="preserve">, </w:t>
      </w:r>
      <w:r w:rsidRPr="00CE6362">
        <w:rPr>
          <w:rFonts w:ascii="Calibri" w:hAnsi="Calibri"/>
          <w:i/>
          <w:iCs/>
          <w:noProof/>
          <w:sz w:val="22"/>
        </w:rPr>
        <w:t>25</w:t>
      </w:r>
      <w:r w:rsidRPr="00CE6362">
        <w:rPr>
          <w:rFonts w:ascii="Calibri" w:hAnsi="Calibri"/>
          <w:noProof/>
          <w:sz w:val="22"/>
        </w:rPr>
        <w:t>(12), 3711–3751.</w:t>
      </w:r>
    </w:p>
    <w:p w14:paraId="3B0C438D"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Coe, T. S. (2002). International Portfolio Diversification: A Comparison of ADRs and Closed-End Country Funds. </w:t>
      </w:r>
      <w:r w:rsidRPr="00CE6362">
        <w:rPr>
          <w:rFonts w:ascii="Calibri" w:hAnsi="Calibri"/>
          <w:i/>
          <w:iCs/>
          <w:noProof/>
          <w:sz w:val="22"/>
        </w:rPr>
        <w:t>Journal of Emerging Market Finance</w:t>
      </w:r>
      <w:r w:rsidRPr="00CE6362">
        <w:rPr>
          <w:rFonts w:ascii="Calibri" w:hAnsi="Calibri"/>
          <w:noProof/>
          <w:sz w:val="22"/>
        </w:rPr>
        <w:t xml:space="preserve">, </w:t>
      </w:r>
      <w:r w:rsidRPr="00CE6362">
        <w:rPr>
          <w:rFonts w:ascii="Calibri" w:hAnsi="Calibri"/>
          <w:i/>
          <w:iCs/>
          <w:noProof/>
          <w:sz w:val="22"/>
        </w:rPr>
        <w:t>1</w:t>
      </w:r>
      <w:r w:rsidRPr="00CE6362">
        <w:rPr>
          <w:rFonts w:ascii="Calibri" w:hAnsi="Calibri"/>
          <w:noProof/>
          <w:sz w:val="22"/>
        </w:rPr>
        <w:t>(1), 31–46.</w:t>
      </w:r>
    </w:p>
    <w:p w14:paraId="608856B5"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De Moor, L., &amp; Sercu, P. (2011). Country versus sector factors in equity returns: The roles of non-unit exposures. </w:t>
      </w:r>
      <w:r w:rsidRPr="00CE6362">
        <w:rPr>
          <w:rFonts w:ascii="Calibri" w:hAnsi="Calibri"/>
          <w:i/>
          <w:iCs/>
          <w:noProof/>
          <w:sz w:val="22"/>
        </w:rPr>
        <w:t>Journal of Empirical Finance</w:t>
      </w:r>
      <w:r w:rsidRPr="00CE6362">
        <w:rPr>
          <w:rFonts w:ascii="Calibri" w:hAnsi="Calibri"/>
          <w:noProof/>
          <w:sz w:val="22"/>
        </w:rPr>
        <w:t xml:space="preserve">, </w:t>
      </w:r>
      <w:r w:rsidRPr="00CE6362">
        <w:rPr>
          <w:rFonts w:ascii="Calibri" w:hAnsi="Calibri"/>
          <w:i/>
          <w:iCs/>
          <w:noProof/>
          <w:sz w:val="22"/>
        </w:rPr>
        <w:t>18</w:t>
      </w:r>
      <w:r w:rsidRPr="00CE6362">
        <w:rPr>
          <w:rFonts w:ascii="Calibri" w:hAnsi="Calibri"/>
          <w:noProof/>
          <w:sz w:val="22"/>
        </w:rPr>
        <w:t>(1), 64–77.</w:t>
      </w:r>
    </w:p>
    <w:p w14:paraId="69733977"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De Santis, G., &amp; Gerard, B. (1997). International Asset Pricing and Portfolio Diversification with Time-Varying Risk. </w:t>
      </w:r>
      <w:r w:rsidRPr="00CE6362">
        <w:rPr>
          <w:rFonts w:ascii="Calibri" w:hAnsi="Calibri"/>
          <w:i/>
          <w:iCs/>
          <w:noProof/>
          <w:sz w:val="22"/>
        </w:rPr>
        <w:t>Journal of Finance</w:t>
      </w:r>
      <w:r w:rsidRPr="00CE6362">
        <w:rPr>
          <w:rFonts w:ascii="Calibri" w:hAnsi="Calibri"/>
          <w:noProof/>
          <w:sz w:val="22"/>
        </w:rPr>
        <w:t xml:space="preserve">, </w:t>
      </w:r>
      <w:r w:rsidRPr="00CE6362">
        <w:rPr>
          <w:rFonts w:ascii="Calibri" w:hAnsi="Calibri"/>
          <w:i/>
          <w:iCs/>
          <w:noProof/>
          <w:sz w:val="22"/>
        </w:rPr>
        <w:t>52</w:t>
      </w:r>
      <w:r w:rsidRPr="00CE6362">
        <w:rPr>
          <w:rFonts w:ascii="Calibri" w:hAnsi="Calibri"/>
          <w:noProof/>
          <w:sz w:val="22"/>
        </w:rPr>
        <w:t>(5), 1881–1912.</w:t>
      </w:r>
    </w:p>
    <w:p w14:paraId="047070A9"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Driessen, J., &amp; Laeven, L. (2007). International portfolio diversification benefits: Cross-country evidence from a local perspective. </w:t>
      </w:r>
      <w:r w:rsidRPr="00CE6362">
        <w:rPr>
          <w:rFonts w:ascii="Calibri" w:hAnsi="Calibri"/>
          <w:i/>
          <w:iCs/>
          <w:noProof/>
          <w:sz w:val="22"/>
        </w:rPr>
        <w:t>Journal of Banking &amp; Finance</w:t>
      </w:r>
      <w:r w:rsidRPr="00CE6362">
        <w:rPr>
          <w:rFonts w:ascii="Calibri" w:hAnsi="Calibri"/>
          <w:noProof/>
          <w:sz w:val="22"/>
        </w:rPr>
        <w:t xml:space="preserve">, </w:t>
      </w:r>
      <w:r w:rsidRPr="00CE6362">
        <w:rPr>
          <w:rFonts w:ascii="Calibri" w:hAnsi="Calibri"/>
          <w:i/>
          <w:iCs/>
          <w:noProof/>
          <w:sz w:val="22"/>
        </w:rPr>
        <w:t>31</w:t>
      </w:r>
      <w:r w:rsidRPr="00CE6362">
        <w:rPr>
          <w:rFonts w:ascii="Calibri" w:hAnsi="Calibri"/>
          <w:noProof/>
          <w:sz w:val="22"/>
        </w:rPr>
        <w:t>(6), 1693–1712.</w:t>
      </w:r>
    </w:p>
    <w:p w14:paraId="689EC27B"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Errunza, V., Hogan, K., &amp; Hung, M.-W. (1999). Can the Gains from International Diversification Be Achieved without Trading Abroad?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54</w:t>
      </w:r>
      <w:r w:rsidRPr="00CE6362">
        <w:rPr>
          <w:rFonts w:ascii="Calibri" w:hAnsi="Calibri"/>
          <w:noProof/>
          <w:sz w:val="22"/>
        </w:rPr>
        <w:t>(6), 2075–2107.</w:t>
      </w:r>
    </w:p>
    <w:p w14:paraId="2D97E6A4"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Fang, H., &amp; Loo, J. C. H. (2002). Pricing of American Depositary Receipts under Market Segmentation. </w:t>
      </w:r>
      <w:r w:rsidRPr="00CE6362">
        <w:rPr>
          <w:rFonts w:ascii="Calibri" w:hAnsi="Calibri"/>
          <w:i/>
          <w:iCs/>
          <w:noProof/>
          <w:sz w:val="22"/>
        </w:rPr>
        <w:t>Global Finance Journal</w:t>
      </w:r>
      <w:r w:rsidRPr="00CE6362">
        <w:rPr>
          <w:rFonts w:ascii="Calibri" w:hAnsi="Calibri"/>
          <w:noProof/>
          <w:sz w:val="22"/>
        </w:rPr>
        <w:t xml:space="preserve">, </w:t>
      </w:r>
      <w:r w:rsidRPr="00CE6362">
        <w:rPr>
          <w:rFonts w:ascii="Calibri" w:hAnsi="Calibri"/>
          <w:i/>
          <w:iCs/>
          <w:noProof/>
          <w:sz w:val="22"/>
        </w:rPr>
        <w:t>13</w:t>
      </w:r>
      <w:r w:rsidRPr="00CE6362">
        <w:rPr>
          <w:rFonts w:ascii="Calibri" w:hAnsi="Calibri"/>
          <w:noProof/>
          <w:sz w:val="22"/>
        </w:rPr>
        <w:t>(2), 237–252.</w:t>
      </w:r>
    </w:p>
    <w:p w14:paraId="3777E204"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Favre, L., &amp; Galeano, J.-A. (2002). Mean-Modified Value-at-Risk Optimization with Hedge Funds. </w:t>
      </w:r>
      <w:r w:rsidRPr="00CE6362">
        <w:rPr>
          <w:rFonts w:ascii="Calibri" w:hAnsi="Calibri"/>
          <w:i/>
          <w:iCs/>
          <w:noProof/>
          <w:sz w:val="22"/>
        </w:rPr>
        <w:t>The Journal of Alternative Investments</w:t>
      </w:r>
      <w:r w:rsidRPr="00CE6362">
        <w:rPr>
          <w:rFonts w:ascii="Calibri" w:hAnsi="Calibri"/>
          <w:noProof/>
          <w:sz w:val="22"/>
        </w:rPr>
        <w:t xml:space="preserve">, </w:t>
      </w:r>
      <w:r w:rsidRPr="00CE6362">
        <w:rPr>
          <w:rFonts w:ascii="Calibri" w:hAnsi="Calibri"/>
          <w:i/>
          <w:iCs/>
          <w:noProof/>
          <w:sz w:val="22"/>
        </w:rPr>
        <w:t>5</w:t>
      </w:r>
      <w:r w:rsidRPr="00CE6362">
        <w:rPr>
          <w:rFonts w:ascii="Calibri" w:hAnsi="Calibri"/>
          <w:noProof/>
          <w:sz w:val="22"/>
        </w:rPr>
        <w:t>(2), 21–25.</w:t>
      </w:r>
    </w:p>
    <w:p w14:paraId="0D269563"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lastRenderedPageBreak/>
        <w:t xml:space="preserve">Ferreira, M. A., &amp; Ferreira, M. A. (2006). The Importance of Industry and Country Effects in the EMU Equity Markets. </w:t>
      </w:r>
      <w:r w:rsidRPr="00CE6362">
        <w:rPr>
          <w:rFonts w:ascii="Calibri" w:hAnsi="Calibri"/>
          <w:i/>
          <w:iCs/>
          <w:noProof/>
          <w:sz w:val="22"/>
        </w:rPr>
        <w:t>European Financial Management</w:t>
      </w:r>
      <w:r w:rsidRPr="00CE6362">
        <w:rPr>
          <w:rFonts w:ascii="Calibri" w:hAnsi="Calibri"/>
          <w:noProof/>
          <w:sz w:val="22"/>
        </w:rPr>
        <w:t xml:space="preserve">, </w:t>
      </w:r>
      <w:r w:rsidRPr="00CE6362">
        <w:rPr>
          <w:rFonts w:ascii="Calibri" w:hAnsi="Calibri"/>
          <w:i/>
          <w:iCs/>
          <w:noProof/>
          <w:sz w:val="22"/>
        </w:rPr>
        <w:t>12</w:t>
      </w:r>
      <w:r w:rsidRPr="00CE6362">
        <w:rPr>
          <w:rFonts w:ascii="Calibri" w:hAnsi="Calibri"/>
          <w:noProof/>
          <w:sz w:val="22"/>
        </w:rPr>
        <w:t>(3), 341–373.</w:t>
      </w:r>
    </w:p>
    <w:p w14:paraId="1C3DB9F4"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Flavin, T. J. (2004a). The effect of the Euro on country versus industry portfolio diversification. </w:t>
      </w:r>
      <w:r w:rsidRPr="00CE6362">
        <w:rPr>
          <w:rFonts w:ascii="Calibri" w:hAnsi="Calibri"/>
          <w:i/>
          <w:iCs/>
          <w:noProof/>
          <w:sz w:val="22"/>
        </w:rPr>
        <w:t>Journal of International Money and Finance</w:t>
      </w:r>
      <w:r w:rsidRPr="00CE6362">
        <w:rPr>
          <w:rFonts w:ascii="Calibri" w:hAnsi="Calibri"/>
          <w:noProof/>
          <w:sz w:val="22"/>
        </w:rPr>
        <w:t xml:space="preserve">, </w:t>
      </w:r>
      <w:r w:rsidRPr="00CE6362">
        <w:rPr>
          <w:rFonts w:ascii="Calibri" w:hAnsi="Calibri"/>
          <w:i/>
          <w:iCs/>
          <w:noProof/>
          <w:sz w:val="22"/>
        </w:rPr>
        <w:t>23</w:t>
      </w:r>
      <w:r w:rsidRPr="00CE6362">
        <w:rPr>
          <w:rFonts w:ascii="Calibri" w:hAnsi="Calibri"/>
          <w:noProof/>
          <w:sz w:val="22"/>
        </w:rPr>
        <w:t>(7-8), 1137–1158.</w:t>
      </w:r>
    </w:p>
    <w:p w14:paraId="071387F5"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Flavin, T. J. (2004b). The effect of the Euro on country versus industry portfolio diversification. </w:t>
      </w:r>
      <w:r w:rsidRPr="00CE6362">
        <w:rPr>
          <w:rFonts w:ascii="Calibri" w:hAnsi="Calibri"/>
          <w:i/>
          <w:iCs/>
          <w:noProof/>
          <w:sz w:val="22"/>
        </w:rPr>
        <w:t>Journal of International Money and Finance</w:t>
      </w:r>
      <w:r w:rsidRPr="00CE6362">
        <w:rPr>
          <w:rFonts w:ascii="Calibri" w:hAnsi="Calibri"/>
          <w:noProof/>
          <w:sz w:val="22"/>
        </w:rPr>
        <w:t xml:space="preserve">, </w:t>
      </w:r>
      <w:r w:rsidRPr="00CE6362">
        <w:rPr>
          <w:rFonts w:ascii="Calibri" w:hAnsi="Calibri"/>
          <w:i/>
          <w:iCs/>
          <w:noProof/>
          <w:sz w:val="22"/>
        </w:rPr>
        <w:t>23</w:t>
      </w:r>
      <w:r w:rsidRPr="00CE6362">
        <w:rPr>
          <w:rFonts w:ascii="Calibri" w:hAnsi="Calibri"/>
          <w:noProof/>
          <w:sz w:val="22"/>
        </w:rPr>
        <w:t>(7-8), 1137–1158.</w:t>
      </w:r>
    </w:p>
    <w:p w14:paraId="13536BF8"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French, K. R., &amp; Poterba, J. M. (1991). Investor Diversification and International Equity Markets. </w:t>
      </w:r>
      <w:r w:rsidRPr="00CE6362">
        <w:rPr>
          <w:rFonts w:ascii="Calibri" w:hAnsi="Calibri"/>
          <w:i/>
          <w:iCs/>
          <w:noProof/>
          <w:sz w:val="22"/>
        </w:rPr>
        <w:t>The American Economic Review</w:t>
      </w:r>
      <w:r w:rsidRPr="00CE6362">
        <w:rPr>
          <w:rFonts w:ascii="Calibri" w:hAnsi="Calibri"/>
          <w:noProof/>
          <w:sz w:val="22"/>
        </w:rPr>
        <w:t xml:space="preserve">, </w:t>
      </w:r>
      <w:r w:rsidRPr="00CE6362">
        <w:rPr>
          <w:rFonts w:ascii="Calibri" w:hAnsi="Calibri"/>
          <w:i/>
          <w:iCs/>
          <w:noProof/>
          <w:sz w:val="22"/>
        </w:rPr>
        <w:t>81</w:t>
      </w:r>
      <w:r w:rsidRPr="00CE6362">
        <w:rPr>
          <w:rFonts w:ascii="Calibri" w:hAnsi="Calibri"/>
          <w:noProof/>
          <w:sz w:val="22"/>
        </w:rPr>
        <w:t>(2), 222 – 226.</w:t>
      </w:r>
    </w:p>
    <w:p w14:paraId="0261B1C9"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Gagnon, L., &amp; Karolyi, A. (2010). Multi-market trading and arbitrage. </w:t>
      </w:r>
      <w:r w:rsidRPr="00CE6362">
        <w:rPr>
          <w:rFonts w:ascii="Calibri" w:hAnsi="Calibri"/>
          <w:i/>
          <w:iCs/>
          <w:noProof/>
          <w:sz w:val="22"/>
        </w:rPr>
        <w:t>Journal of Financial Economics</w:t>
      </w:r>
      <w:r w:rsidRPr="00CE6362">
        <w:rPr>
          <w:rFonts w:ascii="Calibri" w:hAnsi="Calibri"/>
          <w:noProof/>
          <w:sz w:val="22"/>
        </w:rPr>
        <w:t xml:space="preserve">, </w:t>
      </w:r>
      <w:r w:rsidRPr="00CE6362">
        <w:rPr>
          <w:rFonts w:ascii="Calibri" w:hAnsi="Calibri"/>
          <w:i/>
          <w:iCs/>
          <w:noProof/>
          <w:sz w:val="22"/>
        </w:rPr>
        <w:t>97</w:t>
      </w:r>
      <w:r w:rsidRPr="00CE6362">
        <w:rPr>
          <w:rFonts w:ascii="Calibri" w:hAnsi="Calibri"/>
          <w:noProof/>
          <w:sz w:val="22"/>
        </w:rPr>
        <w:t>(1), 53–80.</w:t>
      </w:r>
    </w:p>
    <w:p w14:paraId="78EE1155"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Goetzmann, W. N., Li, L., &amp; Rouwenhorst, K. G. (2001). (2001). Long-Term Global Market Correlations. </w:t>
      </w:r>
      <w:r w:rsidRPr="00CE6362">
        <w:rPr>
          <w:rFonts w:ascii="Calibri" w:hAnsi="Calibri"/>
          <w:i/>
          <w:iCs/>
          <w:noProof/>
          <w:sz w:val="22"/>
        </w:rPr>
        <w:t>NBER Working Paper No. 8612</w:t>
      </w:r>
      <w:r w:rsidRPr="00CE6362">
        <w:rPr>
          <w:rFonts w:ascii="Calibri" w:hAnsi="Calibri"/>
          <w:noProof/>
          <w:sz w:val="22"/>
        </w:rPr>
        <w:t>.</w:t>
      </w:r>
    </w:p>
    <w:p w14:paraId="601BD540"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Grubel, H. G. (1968). Internationally Diversified Portfolios: Welfare Gains and Capital Flows. </w:t>
      </w:r>
      <w:r w:rsidRPr="00CE6362">
        <w:rPr>
          <w:rFonts w:ascii="Calibri" w:hAnsi="Calibri"/>
          <w:i/>
          <w:iCs/>
          <w:noProof/>
          <w:sz w:val="22"/>
        </w:rPr>
        <w:t>The American Economic Review</w:t>
      </w:r>
      <w:r w:rsidRPr="00CE6362">
        <w:rPr>
          <w:rFonts w:ascii="Calibri" w:hAnsi="Calibri"/>
          <w:noProof/>
          <w:sz w:val="22"/>
        </w:rPr>
        <w:t xml:space="preserve">, </w:t>
      </w:r>
      <w:r w:rsidRPr="00CE6362">
        <w:rPr>
          <w:rFonts w:ascii="Calibri" w:hAnsi="Calibri"/>
          <w:i/>
          <w:iCs/>
          <w:noProof/>
          <w:sz w:val="22"/>
        </w:rPr>
        <w:t>58</w:t>
      </w:r>
      <w:r w:rsidRPr="00CE6362">
        <w:rPr>
          <w:rFonts w:ascii="Calibri" w:hAnsi="Calibri"/>
          <w:noProof/>
          <w:sz w:val="22"/>
        </w:rPr>
        <w:t>(5), 1299 – 1314.</w:t>
      </w:r>
    </w:p>
    <w:p w14:paraId="26D0F44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Harper, J. T., Madura, J., &amp; Schnusenberg, O. (2006). Performance comparison between exchange-traded funds and closed-end country funds. </w:t>
      </w:r>
      <w:r w:rsidRPr="00CE6362">
        <w:rPr>
          <w:rFonts w:ascii="Calibri" w:hAnsi="Calibri"/>
          <w:i/>
          <w:iCs/>
          <w:noProof/>
          <w:sz w:val="22"/>
        </w:rPr>
        <w:t>Journal of International Financial Markets, Institutions and Money</w:t>
      </w:r>
      <w:r w:rsidRPr="00CE6362">
        <w:rPr>
          <w:rFonts w:ascii="Calibri" w:hAnsi="Calibri"/>
          <w:noProof/>
          <w:sz w:val="22"/>
        </w:rPr>
        <w:t xml:space="preserve">, </w:t>
      </w:r>
      <w:r w:rsidRPr="00CE6362">
        <w:rPr>
          <w:rFonts w:ascii="Calibri" w:hAnsi="Calibri"/>
          <w:i/>
          <w:iCs/>
          <w:noProof/>
          <w:sz w:val="22"/>
        </w:rPr>
        <w:t>16</w:t>
      </w:r>
      <w:r w:rsidRPr="00CE6362">
        <w:rPr>
          <w:rFonts w:ascii="Calibri" w:hAnsi="Calibri"/>
          <w:noProof/>
          <w:sz w:val="22"/>
        </w:rPr>
        <w:t>(2), 104–122.</w:t>
      </w:r>
    </w:p>
    <w:p w14:paraId="3937530E"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Huang, M.-Y., &amp; Lin, J.-B. (2011). Do ETFs provide effective international diversification? </w:t>
      </w:r>
      <w:r w:rsidRPr="00CE6362">
        <w:rPr>
          <w:rFonts w:ascii="Calibri" w:hAnsi="Calibri"/>
          <w:i/>
          <w:iCs/>
          <w:noProof/>
          <w:sz w:val="22"/>
        </w:rPr>
        <w:t>Research in International Business and Finance</w:t>
      </w:r>
      <w:r w:rsidRPr="00CE6362">
        <w:rPr>
          <w:rFonts w:ascii="Calibri" w:hAnsi="Calibri"/>
          <w:noProof/>
          <w:sz w:val="22"/>
        </w:rPr>
        <w:t xml:space="preserve">, </w:t>
      </w:r>
      <w:r w:rsidRPr="00CE6362">
        <w:rPr>
          <w:rFonts w:ascii="Calibri" w:hAnsi="Calibri"/>
          <w:i/>
          <w:iCs/>
          <w:noProof/>
          <w:sz w:val="22"/>
        </w:rPr>
        <w:t>25</w:t>
      </w:r>
      <w:r w:rsidRPr="00CE6362">
        <w:rPr>
          <w:rFonts w:ascii="Calibri" w:hAnsi="Calibri"/>
          <w:noProof/>
          <w:sz w:val="22"/>
        </w:rPr>
        <w:t>(3), 335 – 344.</w:t>
      </w:r>
    </w:p>
    <w:p w14:paraId="1A7A1A14"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Huberman, G., &amp; Kandel, S. (1987). Mean-Variance Spanning.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42</w:t>
      </w:r>
      <w:r w:rsidRPr="00CE6362">
        <w:rPr>
          <w:rFonts w:ascii="Calibri" w:hAnsi="Calibri"/>
          <w:noProof/>
          <w:sz w:val="22"/>
        </w:rPr>
        <w:t>(4), 873 – 888.</w:t>
      </w:r>
    </w:p>
    <w:p w14:paraId="59472A8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Jacquillat, B., &amp; Solnik, B. H. (1978). Multinationals are poor tools for diversification. </w:t>
      </w:r>
      <w:r w:rsidRPr="00CE6362">
        <w:rPr>
          <w:rFonts w:ascii="Calibri" w:hAnsi="Calibri"/>
          <w:i/>
          <w:iCs/>
          <w:noProof/>
          <w:sz w:val="22"/>
        </w:rPr>
        <w:t>Journal of Portfolio Management</w:t>
      </w:r>
      <w:r w:rsidRPr="00CE6362">
        <w:rPr>
          <w:rFonts w:ascii="Calibri" w:hAnsi="Calibri"/>
          <w:noProof/>
          <w:sz w:val="22"/>
        </w:rPr>
        <w:t xml:space="preserve">, </w:t>
      </w:r>
      <w:r w:rsidRPr="00CE6362">
        <w:rPr>
          <w:rFonts w:ascii="Calibri" w:hAnsi="Calibri"/>
          <w:i/>
          <w:iCs/>
          <w:noProof/>
          <w:sz w:val="22"/>
        </w:rPr>
        <w:t>4</w:t>
      </w:r>
      <w:r w:rsidRPr="00CE6362">
        <w:rPr>
          <w:rFonts w:ascii="Calibri" w:hAnsi="Calibri"/>
          <w:noProof/>
          <w:sz w:val="22"/>
        </w:rPr>
        <w:t>(2), 8–12.</w:t>
      </w:r>
    </w:p>
    <w:p w14:paraId="1A36B4BD"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Jiang, C. X. (1998). Diversification with American Depository Receipts: The Dynamics and the Pricing Factors. </w:t>
      </w:r>
      <w:r w:rsidRPr="00CE6362">
        <w:rPr>
          <w:rFonts w:ascii="Calibri" w:hAnsi="Calibri"/>
          <w:i/>
          <w:iCs/>
          <w:noProof/>
          <w:sz w:val="22"/>
        </w:rPr>
        <w:t>Journal of Business Finance &amp; Accounting</w:t>
      </w:r>
      <w:r w:rsidRPr="00CE6362">
        <w:rPr>
          <w:rFonts w:ascii="Calibri" w:hAnsi="Calibri"/>
          <w:noProof/>
          <w:sz w:val="22"/>
        </w:rPr>
        <w:t xml:space="preserve">, </w:t>
      </w:r>
      <w:r w:rsidRPr="00CE6362">
        <w:rPr>
          <w:rFonts w:ascii="Calibri" w:hAnsi="Calibri"/>
          <w:i/>
          <w:iCs/>
          <w:noProof/>
          <w:sz w:val="22"/>
        </w:rPr>
        <w:t>25</w:t>
      </w:r>
      <w:r w:rsidRPr="00CE6362">
        <w:rPr>
          <w:rFonts w:ascii="Calibri" w:hAnsi="Calibri"/>
          <w:noProof/>
          <w:sz w:val="22"/>
        </w:rPr>
        <w:t>(5&amp;6), 683–699.</w:t>
      </w:r>
    </w:p>
    <w:p w14:paraId="3FC085A3"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Kabir, M. H., Hassan, M. K., &amp; Maroney, N. (2011). International diversification with American Depository Receipts (ADRs). </w:t>
      </w:r>
      <w:r w:rsidRPr="00CE6362">
        <w:rPr>
          <w:rFonts w:ascii="Calibri" w:hAnsi="Calibri"/>
          <w:i/>
          <w:iCs/>
          <w:noProof/>
          <w:sz w:val="22"/>
        </w:rPr>
        <w:t>Pacific-Basin Finance Journal</w:t>
      </w:r>
      <w:r w:rsidRPr="00CE6362">
        <w:rPr>
          <w:rFonts w:ascii="Calibri" w:hAnsi="Calibri"/>
          <w:noProof/>
          <w:sz w:val="22"/>
        </w:rPr>
        <w:t xml:space="preserve">, </w:t>
      </w:r>
      <w:r w:rsidRPr="00CE6362">
        <w:rPr>
          <w:rFonts w:ascii="Calibri" w:hAnsi="Calibri"/>
          <w:i/>
          <w:iCs/>
          <w:noProof/>
          <w:sz w:val="22"/>
        </w:rPr>
        <w:t>19</w:t>
      </w:r>
      <w:r w:rsidRPr="00CE6362">
        <w:rPr>
          <w:rFonts w:ascii="Calibri" w:hAnsi="Calibri"/>
          <w:noProof/>
          <w:sz w:val="22"/>
        </w:rPr>
        <w:t>(1), 98–114.</w:t>
      </w:r>
    </w:p>
    <w:p w14:paraId="57D382EC"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Kan, R., &amp; Zhou, G. (2012). Tests of Mean-Variance Spanning. </w:t>
      </w:r>
      <w:r w:rsidRPr="00CE6362">
        <w:rPr>
          <w:rFonts w:ascii="Calibri" w:hAnsi="Calibri"/>
          <w:i/>
          <w:iCs/>
          <w:noProof/>
          <w:sz w:val="22"/>
        </w:rPr>
        <w:t>Annals of Economics and Finance</w:t>
      </w:r>
      <w:r w:rsidRPr="00CE6362">
        <w:rPr>
          <w:rFonts w:ascii="Calibri" w:hAnsi="Calibri"/>
          <w:noProof/>
          <w:sz w:val="22"/>
        </w:rPr>
        <w:t xml:space="preserve">, </w:t>
      </w:r>
      <w:r w:rsidRPr="00CE6362">
        <w:rPr>
          <w:rFonts w:ascii="Calibri" w:hAnsi="Calibri"/>
          <w:i/>
          <w:iCs/>
          <w:noProof/>
          <w:sz w:val="22"/>
        </w:rPr>
        <w:t>13</w:t>
      </w:r>
      <w:r w:rsidRPr="00CE6362">
        <w:rPr>
          <w:rFonts w:ascii="Calibri" w:hAnsi="Calibri"/>
          <w:noProof/>
          <w:sz w:val="22"/>
        </w:rPr>
        <w:t>(1), 139–187.</w:t>
      </w:r>
    </w:p>
    <w:p w14:paraId="6852873A"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Lee, C.-C., Chen, M.-P., Li, C.-A., &amp; Chang, C.-H. (2011). Determinants of ADR Returns before and after Domestic Stock Seasoned Equity Offerings: Evidence from Asian and Latin American Emerging Markets. </w:t>
      </w:r>
      <w:r w:rsidRPr="00CE6362">
        <w:rPr>
          <w:rFonts w:ascii="Calibri" w:hAnsi="Calibri"/>
          <w:i/>
          <w:iCs/>
          <w:noProof/>
          <w:sz w:val="22"/>
        </w:rPr>
        <w:t>Journal of Business Economics and Management</w:t>
      </w:r>
      <w:r w:rsidRPr="00CE6362">
        <w:rPr>
          <w:rFonts w:ascii="Calibri" w:hAnsi="Calibri"/>
          <w:noProof/>
          <w:sz w:val="22"/>
        </w:rPr>
        <w:t xml:space="preserve">, </w:t>
      </w:r>
      <w:r w:rsidRPr="00CE6362">
        <w:rPr>
          <w:rFonts w:ascii="Calibri" w:hAnsi="Calibri"/>
          <w:i/>
          <w:iCs/>
          <w:noProof/>
          <w:sz w:val="22"/>
        </w:rPr>
        <w:t>12</w:t>
      </w:r>
      <w:r w:rsidRPr="00CE6362">
        <w:rPr>
          <w:rFonts w:ascii="Calibri" w:hAnsi="Calibri"/>
          <w:noProof/>
          <w:sz w:val="22"/>
        </w:rPr>
        <w:t>(2), 248–277.</w:t>
      </w:r>
    </w:p>
    <w:p w14:paraId="411AA0B3"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lastRenderedPageBreak/>
        <w:t xml:space="preserve">Lee, M. H., &amp; Hooy, C. W. (2012). Country Versus Industry Diversification in ASEAN-5. </w:t>
      </w:r>
      <w:r w:rsidRPr="00CE6362">
        <w:rPr>
          <w:rFonts w:ascii="Calibri" w:hAnsi="Calibri"/>
          <w:i/>
          <w:iCs/>
          <w:noProof/>
          <w:sz w:val="22"/>
        </w:rPr>
        <w:t>SSRN Electronic Journal</w:t>
      </w:r>
      <w:r w:rsidRPr="00CE6362">
        <w:rPr>
          <w:rFonts w:ascii="Calibri" w:hAnsi="Calibri"/>
          <w:noProof/>
          <w:sz w:val="22"/>
        </w:rPr>
        <w:t>.</w:t>
      </w:r>
    </w:p>
    <w:p w14:paraId="3593CAB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Lessard, D. R. (1974). World, National, and Industry Factors in Equity Returns.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29</w:t>
      </w:r>
      <w:r w:rsidRPr="00CE6362">
        <w:rPr>
          <w:rFonts w:ascii="Calibri" w:hAnsi="Calibri"/>
          <w:noProof/>
          <w:sz w:val="22"/>
        </w:rPr>
        <w:t>(2), 379 – 391.</w:t>
      </w:r>
    </w:p>
    <w:p w14:paraId="01D3D613"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Levy, H., &amp; Sarnat, M. (1970). International Diversification of Investment Portfolios. </w:t>
      </w:r>
      <w:r w:rsidRPr="00CE6362">
        <w:rPr>
          <w:rFonts w:ascii="Calibri" w:hAnsi="Calibri"/>
          <w:i/>
          <w:iCs/>
          <w:noProof/>
          <w:sz w:val="22"/>
        </w:rPr>
        <w:t>The American Economic Review</w:t>
      </w:r>
      <w:r w:rsidRPr="00CE6362">
        <w:rPr>
          <w:rFonts w:ascii="Calibri" w:hAnsi="Calibri"/>
          <w:noProof/>
          <w:sz w:val="22"/>
        </w:rPr>
        <w:t xml:space="preserve">, </w:t>
      </w:r>
      <w:r w:rsidRPr="00CE6362">
        <w:rPr>
          <w:rFonts w:ascii="Calibri" w:hAnsi="Calibri"/>
          <w:i/>
          <w:iCs/>
          <w:noProof/>
          <w:sz w:val="22"/>
        </w:rPr>
        <w:t>60</w:t>
      </w:r>
      <w:r w:rsidRPr="00CE6362">
        <w:rPr>
          <w:rFonts w:ascii="Calibri" w:hAnsi="Calibri"/>
          <w:noProof/>
          <w:sz w:val="22"/>
        </w:rPr>
        <w:t>(4), 668 – 675.</w:t>
      </w:r>
    </w:p>
    <w:p w14:paraId="36C84E5A"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Logue, D. E. . (1982). An experiment in international diversification. </w:t>
      </w:r>
      <w:r w:rsidRPr="00CE6362">
        <w:rPr>
          <w:rFonts w:ascii="Calibri" w:hAnsi="Calibri"/>
          <w:i/>
          <w:iCs/>
          <w:noProof/>
          <w:sz w:val="22"/>
        </w:rPr>
        <w:t>The Journal of Portfolio Management</w:t>
      </w:r>
      <w:r w:rsidRPr="00CE6362">
        <w:rPr>
          <w:rFonts w:ascii="Calibri" w:hAnsi="Calibri"/>
          <w:noProof/>
          <w:sz w:val="22"/>
        </w:rPr>
        <w:t xml:space="preserve">, </w:t>
      </w:r>
      <w:r w:rsidRPr="00CE6362">
        <w:rPr>
          <w:rFonts w:ascii="Calibri" w:hAnsi="Calibri"/>
          <w:i/>
          <w:iCs/>
          <w:noProof/>
          <w:sz w:val="22"/>
        </w:rPr>
        <w:t>9</w:t>
      </w:r>
      <w:r w:rsidRPr="00CE6362">
        <w:rPr>
          <w:rFonts w:ascii="Calibri" w:hAnsi="Calibri"/>
          <w:noProof/>
          <w:sz w:val="22"/>
        </w:rPr>
        <w:t>(1), 22–27.</w:t>
      </w:r>
    </w:p>
    <w:p w14:paraId="3D72960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Marcelo, J. L. M., Quirós, J. L. M., &amp; Martins, J. L. (2013). The role of country and industry factors during volatile times. </w:t>
      </w:r>
      <w:r w:rsidRPr="00CE6362">
        <w:rPr>
          <w:rFonts w:ascii="Calibri" w:hAnsi="Calibri"/>
          <w:i/>
          <w:iCs/>
          <w:noProof/>
          <w:sz w:val="22"/>
        </w:rPr>
        <w:t>Journal of International Financial Markets, Institutions and Money</w:t>
      </w:r>
      <w:r w:rsidRPr="00CE6362">
        <w:rPr>
          <w:rFonts w:ascii="Calibri" w:hAnsi="Calibri"/>
          <w:noProof/>
          <w:sz w:val="22"/>
        </w:rPr>
        <w:t xml:space="preserve">, </w:t>
      </w:r>
      <w:r w:rsidRPr="00CE6362">
        <w:rPr>
          <w:rFonts w:ascii="Calibri" w:hAnsi="Calibri"/>
          <w:i/>
          <w:iCs/>
          <w:noProof/>
          <w:sz w:val="22"/>
        </w:rPr>
        <w:t>26</w:t>
      </w:r>
      <w:r w:rsidRPr="00CE6362">
        <w:rPr>
          <w:rFonts w:ascii="Calibri" w:hAnsi="Calibri"/>
          <w:noProof/>
          <w:sz w:val="22"/>
        </w:rPr>
        <w:t>, 273–290.</w:t>
      </w:r>
    </w:p>
    <w:p w14:paraId="6FF3933D"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Michel, A., &amp; Shaked, I. (1986). Multinational Corporations vs. Domestic Corporations: Financial Performance and Characteristics. </w:t>
      </w:r>
      <w:r w:rsidRPr="00CE6362">
        <w:rPr>
          <w:rFonts w:ascii="Calibri" w:hAnsi="Calibri"/>
          <w:i/>
          <w:iCs/>
          <w:noProof/>
          <w:sz w:val="22"/>
        </w:rPr>
        <w:t>Journal of International Business Studies</w:t>
      </w:r>
      <w:r w:rsidRPr="00CE6362">
        <w:rPr>
          <w:rFonts w:ascii="Calibri" w:hAnsi="Calibri"/>
          <w:noProof/>
          <w:sz w:val="22"/>
        </w:rPr>
        <w:t xml:space="preserve">, </w:t>
      </w:r>
      <w:r w:rsidRPr="00CE6362">
        <w:rPr>
          <w:rFonts w:ascii="Calibri" w:hAnsi="Calibri"/>
          <w:i/>
          <w:iCs/>
          <w:noProof/>
          <w:sz w:val="22"/>
        </w:rPr>
        <w:t>17</w:t>
      </w:r>
      <w:r w:rsidRPr="00CE6362">
        <w:rPr>
          <w:rFonts w:ascii="Calibri" w:hAnsi="Calibri"/>
          <w:noProof/>
          <w:sz w:val="22"/>
        </w:rPr>
        <w:t>(3), 89 – 100.</w:t>
      </w:r>
    </w:p>
    <w:p w14:paraId="6E648A89"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Miffre, J. (2007). Country-specific ETFs: An efficient approach to global asset allocation. </w:t>
      </w:r>
      <w:r w:rsidRPr="00CE6362">
        <w:rPr>
          <w:rFonts w:ascii="Calibri" w:hAnsi="Calibri"/>
          <w:i/>
          <w:iCs/>
          <w:noProof/>
          <w:sz w:val="22"/>
        </w:rPr>
        <w:t>Journal of Asset Management</w:t>
      </w:r>
      <w:r w:rsidRPr="00CE6362">
        <w:rPr>
          <w:rFonts w:ascii="Calibri" w:hAnsi="Calibri"/>
          <w:noProof/>
          <w:sz w:val="22"/>
        </w:rPr>
        <w:t xml:space="preserve">, </w:t>
      </w:r>
      <w:r w:rsidRPr="00CE6362">
        <w:rPr>
          <w:rFonts w:ascii="Calibri" w:hAnsi="Calibri"/>
          <w:i/>
          <w:iCs/>
          <w:noProof/>
          <w:sz w:val="22"/>
        </w:rPr>
        <w:t>8</w:t>
      </w:r>
      <w:r w:rsidRPr="00CE6362">
        <w:rPr>
          <w:rFonts w:ascii="Calibri" w:hAnsi="Calibri"/>
          <w:noProof/>
          <w:sz w:val="22"/>
        </w:rPr>
        <w:t>(2), 112–122.</w:t>
      </w:r>
    </w:p>
    <w:p w14:paraId="2223A1E2"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Mikhail, A. D., &amp; Shawky, H. A. (1979). Investment Performance of U. S.-Based Multinational Corporations. </w:t>
      </w:r>
      <w:r w:rsidRPr="00CE6362">
        <w:rPr>
          <w:rFonts w:ascii="Calibri" w:hAnsi="Calibri"/>
          <w:i/>
          <w:iCs/>
          <w:noProof/>
          <w:sz w:val="22"/>
        </w:rPr>
        <w:t>Journal of International Business Studies</w:t>
      </w:r>
      <w:r w:rsidRPr="00CE6362">
        <w:rPr>
          <w:rFonts w:ascii="Calibri" w:hAnsi="Calibri"/>
          <w:noProof/>
          <w:sz w:val="22"/>
        </w:rPr>
        <w:t xml:space="preserve">, </w:t>
      </w:r>
      <w:r w:rsidRPr="00CE6362">
        <w:rPr>
          <w:rFonts w:ascii="Calibri" w:hAnsi="Calibri"/>
          <w:i/>
          <w:iCs/>
          <w:noProof/>
          <w:sz w:val="22"/>
        </w:rPr>
        <w:t>10</w:t>
      </w:r>
      <w:r w:rsidRPr="00CE6362">
        <w:rPr>
          <w:rFonts w:ascii="Calibri" w:hAnsi="Calibri"/>
          <w:noProof/>
          <w:sz w:val="22"/>
        </w:rPr>
        <w:t>(1), 53 – 66.</w:t>
      </w:r>
    </w:p>
    <w:p w14:paraId="4C06152C"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Moerman, G. A. (2008). Diversification in euro area stock markets: Country versus industry. </w:t>
      </w:r>
      <w:r w:rsidRPr="00CE6362">
        <w:rPr>
          <w:rFonts w:ascii="Calibri" w:hAnsi="Calibri"/>
          <w:i/>
          <w:iCs/>
          <w:noProof/>
          <w:sz w:val="22"/>
        </w:rPr>
        <w:t>Journal of International Money and Finance</w:t>
      </w:r>
      <w:r w:rsidRPr="00CE6362">
        <w:rPr>
          <w:rFonts w:ascii="Calibri" w:hAnsi="Calibri"/>
          <w:noProof/>
          <w:sz w:val="22"/>
        </w:rPr>
        <w:t xml:space="preserve">, </w:t>
      </w:r>
      <w:r w:rsidRPr="00CE6362">
        <w:rPr>
          <w:rFonts w:ascii="Calibri" w:hAnsi="Calibri"/>
          <w:i/>
          <w:iCs/>
          <w:noProof/>
          <w:sz w:val="22"/>
        </w:rPr>
        <w:t>27</w:t>
      </w:r>
      <w:r w:rsidRPr="00CE6362">
        <w:rPr>
          <w:rFonts w:ascii="Calibri" w:hAnsi="Calibri"/>
          <w:noProof/>
          <w:sz w:val="22"/>
        </w:rPr>
        <w:t>(7), 1122–1134.</w:t>
      </w:r>
    </w:p>
    <w:p w14:paraId="20670A0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Morse, A., &amp; Shive, S. (2011). Patriotism in Your Portfolio. </w:t>
      </w:r>
      <w:r w:rsidRPr="00CE6362">
        <w:rPr>
          <w:rFonts w:ascii="Calibri" w:hAnsi="Calibri"/>
          <w:i/>
          <w:iCs/>
          <w:noProof/>
          <w:sz w:val="22"/>
        </w:rPr>
        <w:t>Journal of Financial Markets</w:t>
      </w:r>
      <w:r w:rsidRPr="00CE6362">
        <w:rPr>
          <w:rFonts w:ascii="Calibri" w:hAnsi="Calibri"/>
          <w:noProof/>
          <w:sz w:val="22"/>
        </w:rPr>
        <w:t xml:space="preserve">, </w:t>
      </w:r>
      <w:r w:rsidRPr="00CE6362">
        <w:rPr>
          <w:rFonts w:ascii="Calibri" w:hAnsi="Calibri"/>
          <w:i/>
          <w:iCs/>
          <w:noProof/>
          <w:sz w:val="22"/>
        </w:rPr>
        <w:t>14</w:t>
      </w:r>
      <w:r w:rsidRPr="00CE6362">
        <w:rPr>
          <w:rFonts w:ascii="Calibri" w:hAnsi="Calibri"/>
          <w:noProof/>
          <w:sz w:val="22"/>
        </w:rPr>
        <w:t>(2), 411–440.</w:t>
      </w:r>
    </w:p>
    <w:p w14:paraId="2BF9A975"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Officer, D., &amp; Hoffmeister, J. R. (1987). ADRs: A Substitute for the Real Thing? </w:t>
      </w:r>
      <w:r w:rsidRPr="00CE6362">
        <w:rPr>
          <w:rFonts w:ascii="Calibri" w:hAnsi="Calibri"/>
          <w:i/>
          <w:iCs/>
          <w:noProof/>
          <w:sz w:val="22"/>
        </w:rPr>
        <w:t>The Journal of Portfolio Management</w:t>
      </w:r>
      <w:r w:rsidRPr="00CE6362">
        <w:rPr>
          <w:rFonts w:ascii="Calibri" w:hAnsi="Calibri"/>
          <w:noProof/>
          <w:sz w:val="22"/>
        </w:rPr>
        <w:t xml:space="preserve">, </w:t>
      </w:r>
      <w:r w:rsidRPr="00CE6362">
        <w:rPr>
          <w:rFonts w:ascii="Calibri" w:hAnsi="Calibri"/>
          <w:i/>
          <w:iCs/>
          <w:noProof/>
          <w:sz w:val="22"/>
        </w:rPr>
        <w:t>13</w:t>
      </w:r>
      <w:r w:rsidRPr="00CE6362">
        <w:rPr>
          <w:rFonts w:ascii="Calibri" w:hAnsi="Calibri"/>
          <w:noProof/>
          <w:sz w:val="22"/>
        </w:rPr>
        <w:t>(2), 61–65.</w:t>
      </w:r>
    </w:p>
    <w:p w14:paraId="23E6B656"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Omer, K., Durr, D., Siegel, P. H., &amp; Khursheed, O. (1998). Degree of Multinationality and Financial Performance: A Study of U.S.-Based Multinational Corporations. </w:t>
      </w:r>
      <w:r w:rsidRPr="00CE6362">
        <w:rPr>
          <w:rFonts w:ascii="Calibri" w:hAnsi="Calibri"/>
          <w:i/>
          <w:iCs/>
          <w:noProof/>
          <w:sz w:val="22"/>
        </w:rPr>
        <w:t>Review of Quantitative Finance and Accounting</w:t>
      </w:r>
      <w:r w:rsidRPr="00CE6362">
        <w:rPr>
          <w:rFonts w:ascii="Calibri" w:hAnsi="Calibri"/>
          <w:noProof/>
          <w:sz w:val="22"/>
        </w:rPr>
        <w:t xml:space="preserve">, </w:t>
      </w:r>
      <w:r w:rsidRPr="00CE6362">
        <w:rPr>
          <w:rFonts w:ascii="Calibri" w:hAnsi="Calibri"/>
          <w:i/>
          <w:iCs/>
          <w:noProof/>
          <w:sz w:val="22"/>
        </w:rPr>
        <w:t>11</w:t>
      </w:r>
      <w:r w:rsidRPr="00CE6362">
        <w:rPr>
          <w:rFonts w:ascii="Calibri" w:hAnsi="Calibri"/>
          <w:noProof/>
          <w:sz w:val="22"/>
        </w:rPr>
        <w:t>(1), 63–68.</w:t>
      </w:r>
    </w:p>
    <w:p w14:paraId="64EDC9F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Patro, D. K. (2001). Measuring performance of international closed-end funds. </w:t>
      </w:r>
      <w:r w:rsidRPr="00CE6362">
        <w:rPr>
          <w:rFonts w:ascii="Calibri" w:hAnsi="Calibri"/>
          <w:i/>
          <w:iCs/>
          <w:noProof/>
          <w:sz w:val="22"/>
        </w:rPr>
        <w:t>Journal of Banking &amp; Finance</w:t>
      </w:r>
      <w:r w:rsidRPr="00CE6362">
        <w:rPr>
          <w:rFonts w:ascii="Calibri" w:hAnsi="Calibri"/>
          <w:noProof/>
          <w:sz w:val="22"/>
        </w:rPr>
        <w:t xml:space="preserve">, </w:t>
      </w:r>
      <w:r w:rsidRPr="00CE6362">
        <w:rPr>
          <w:rFonts w:ascii="Calibri" w:hAnsi="Calibri"/>
          <w:i/>
          <w:iCs/>
          <w:noProof/>
          <w:sz w:val="22"/>
        </w:rPr>
        <w:t>25</w:t>
      </w:r>
      <w:r w:rsidRPr="00CE6362">
        <w:rPr>
          <w:rFonts w:ascii="Calibri" w:hAnsi="Calibri"/>
          <w:noProof/>
          <w:sz w:val="22"/>
        </w:rPr>
        <w:t>(9), 1741–1767.</w:t>
      </w:r>
    </w:p>
    <w:p w14:paraId="116B23CA"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Patro, K. (2000). Return behavior and pricing of American depositary receipts. </w:t>
      </w:r>
      <w:r w:rsidRPr="00CE6362">
        <w:rPr>
          <w:rFonts w:ascii="Calibri" w:hAnsi="Calibri"/>
          <w:i/>
          <w:iCs/>
          <w:noProof/>
          <w:sz w:val="22"/>
        </w:rPr>
        <w:t>Journal of International Financial Markets, Institutions and Money</w:t>
      </w:r>
      <w:r w:rsidRPr="00CE6362">
        <w:rPr>
          <w:rFonts w:ascii="Calibri" w:hAnsi="Calibri"/>
          <w:noProof/>
          <w:sz w:val="22"/>
        </w:rPr>
        <w:t xml:space="preserve">, </w:t>
      </w:r>
      <w:r w:rsidRPr="00CE6362">
        <w:rPr>
          <w:rFonts w:ascii="Calibri" w:hAnsi="Calibri"/>
          <w:i/>
          <w:iCs/>
          <w:noProof/>
          <w:sz w:val="22"/>
        </w:rPr>
        <w:t>10</w:t>
      </w:r>
      <w:r w:rsidRPr="00CE6362">
        <w:rPr>
          <w:rFonts w:ascii="Calibri" w:hAnsi="Calibri"/>
          <w:noProof/>
          <w:sz w:val="22"/>
        </w:rPr>
        <w:t>(1), 43–67.</w:t>
      </w:r>
    </w:p>
    <w:p w14:paraId="5648C24A"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Pennathur, A. K., Delcoure, N., &amp; Anderson, D. (2002). Diversification Benefits of iShares and Closed-End Country Funds. </w:t>
      </w:r>
      <w:r w:rsidRPr="00CE6362">
        <w:rPr>
          <w:rFonts w:ascii="Calibri" w:hAnsi="Calibri"/>
          <w:i/>
          <w:iCs/>
          <w:noProof/>
          <w:sz w:val="22"/>
        </w:rPr>
        <w:t>Journal of Financial Research</w:t>
      </w:r>
      <w:r w:rsidRPr="00CE6362">
        <w:rPr>
          <w:rFonts w:ascii="Calibri" w:hAnsi="Calibri"/>
          <w:noProof/>
          <w:sz w:val="22"/>
        </w:rPr>
        <w:t xml:space="preserve">, </w:t>
      </w:r>
      <w:r w:rsidRPr="00CE6362">
        <w:rPr>
          <w:rFonts w:ascii="Calibri" w:hAnsi="Calibri"/>
          <w:i/>
          <w:iCs/>
          <w:noProof/>
          <w:sz w:val="22"/>
        </w:rPr>
        <w:t>25</w:t>
      </w:r>
      <w:r w:rsidRPr="00CE6362">
        <w:rPr>
          <w:rFonts w:ascii="Calibri" w:hAnsi="Calibri"/>
          <w:noProof/>
          <w:sz w:val="22"/>
        </w:rPr>
        <w:t>(4), 541–557.</w:t>
      </w:r>
    </w:p>
    <w:p w14:paraId="40527CC8"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Peterburgsky, S., &amp; Yang, Y. (2013). Diversification potential of ADRs , country funds and underlying stocks across economic conditions. </w:t>
      </w:r>
      <w:r w:rsidRPr="00CE6362">
        <w:rPr>
          <w:rFonts w:ascii="Calibri" w:hAnsi="Calibri"/>
          <w:i/>
          <w:iCs/>
          <w:noProof/>
          <w:sz w:val="22"/>
        </w:rPr>
        <w:t>Applied Financial Economics</w:t>
      </w:r>
      <w:r w:rsidRPr="00CE6362">
        <w:rPr>
          <w:rFonts w:ascii="Calibri" w:hAnsi="Calibri"/>
          <w:noProof/>
          <w:sz w:val="22"/>
        </w:rPr>
        <w:t>, (June), 37–41.</w:t>
      </w:r>
    </w:p>
    <w:p w14:paraId="3789CDB6"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lastRenderedPageBreak/>
        <w:t xml:space="preserve">Peterson, C. A., &amp; O’Shaughnessy, K. C. (2000). Financial investment via ADRs in Mexico and South America. </w:t>
      </w:r>
      <w:r w:rsidRPr="00CE6362">
        <w:rPr>
          <w:rFonts w:ascii="Calibri" w:hAnsi="Calibri"/>
          <w:i/>
          <w:iCs/>
          <w:noProof/>
          <w:sz w:val="22"/>
        </w:rPr>
        <w:t>International Journal of Public Administration</w:t>
      </w:r>
      <w:r w:rsidRPr="00CE6362">
        <w:rPr>
          <w:rFonts w:ascii="Calibri" w:hAnsi="Calibri"/>
          <w:noProof/>
          <w:sz w:val="22"/>
        </w:rPr>
        <w:t xml:space="preserve">, </w:t>
      </w:r>
      <w:r w:rsidRPr="00CE6362">
        <w:rPr>
          <w:rFonts w:ascii="Calibri" w:hAnsi="Calibri"/>
          <w:i/>
          <w:iCs/>
          <w:noProof/>
          <w:sz w:val="22"/>
        </w:rPr>
        <w:t>23</w:t>
      </w:r>
      <w:r w:rsidRPr="00CE6362">
        <w:rPr>
          <w:rFonts w:ascii="Calibri" w:hAnsi="Calibri"/>
          <w:noProof/>
          <w:sz w:val="22"/>
        </w:rPr>
        <w:t>(5-8), 1229–1252.</w:t>
      </w:r>
    </w:p>
    <w:p w14:paraId="3CA59CC7"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Phengpis, C., &amp; Swanson, P. E. (2009). iShares and the US Market Risk Exposure. </w:t>
      </w:r>
      <w:r w:rsidRPr="00CE6362">
        <w:rPr>
          <w:rFonts w:ascii="Calibri" w:hAnsi="Calibri"/>
          <w:i/>
          <w:iCs/>
          <w:noProof/>
          <w:sz w:val="22"/>
        </w:rPr>
        <w:t>Journal of Business Finance Accounting</w:t>
      </w:r>
      <w:r w:rsidRPr="00CE6362">
        <w:rPr>
          <w:rFonts w:ascii="Calibri" w:hAnsi="Calibri"/>
          <w:noProof/>
          <w:sz w:val="22"/>
        </w:rPr>
        <w:t xml:space="preserve">, </w:t>
      </w:r>
      <w:r w:rsidRPr="00CE6362">
        <w:rPr>
          <w:rFonts w:ascii="Calibri" w:hAnsi="Calibri"/>
          <w:i/>
          <w:iCs/>
          <w:noProof/>
          <w:sz w:val="22"/>
        </w:rPr>
        <w:t>36</w:t>
      </w:r>
      <w:r w:rsidRPr="00CE6362">
        <w:rPr>
          <w:rFonts w:ascii="Calibri" w:hAnsi="Calibri"/>
          <w:noProof/>
          <w:sz w:val="22"/>
        </w:rPr>
        <w:t>(7-8), 972–986.</w:t>
      </w:r>
    </w:p>
    <w:p w14:paraId="387C5A15"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Phylaktis, K., &amp; Xia, L. (2006). Sources of firms’ industry and country effects in emerging markets. </w:t>
      </w:r>
      <w:r w:rsidRPr="00CE6362">
        <w:rPr>
          <w:rFonts w:ascii="Calibri" w:hAnsi="Calibri"/>
          <w:i/>
          <w:iCs/>
          <w:noProof/>
          <w:sz w:val="22"/>
        </w:rPr>
        <w:t>Journal of International Money and Finance</w:t>
      </w:r>
      <w:r w:rsidRPr="00CE6362">
        <w:rPr>
          <w:rFonts w:ascii="Calibri" w:hAnsi="Calibri"/>
          <w:noProof/>
          <w:sz w:val="22"/>
        </w:rPr>
        <w:t xml:space="preserve">, </w:t>
      </w:r>
      <w:r w:rsidRPr="00CE6362">
        <w:rPr>
          <w:rFonts w:ascii="Calibri" w:hAnsi="Calibri"/>
          <w:i/>
          <w:iCs/>
          <w:noProof/>
          <w:sz w:val="22"/>
        </w:rPr>
        <w:t>25</w:t>
      </w:r>
      <w:r w:rsidRPr="00CE6362">
        <w:rPr>
          <w:rFonts w:ascii="Calibri" w:hAnsi="Calibri"/>
          <w:noProof/>
          <w:sz w:val="22"/>
        </w:rPr>
        <w:t>(3), 459–475.</w:t>
      </w:r>
    </w:p>
    <w:p w14:paraId="15989EAA"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Roll, R. (1992). Industrial Structure and the Comparative Behavior of International Stock Market Indices.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47</w:t>
      </w:r>
      <w:r w:rsidRPr="00CE6362">
        <w:rPr>
          <w:rFonts w:ascii="Calibri" w:hAnsi="Calibri"/>
          <w:noProof/>
          <w:sz w:val="22"/>
        </w:rPr>
        <w:t>(1), 3 – 41.</w:t>
      </w:r>
    </w:p>
    <w:p w14:paraId="1B0B9ABB"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Rowland, P. F., &amp; Tesar, L. L. (2004). Multinationals and the gains from international diversification. </w:t>
      </w:r>
      <w:r w:rsidRPr="00CE6362">
        <w:rPr>
          <w:rFonts w:ascii="Calibri" w:hAnsi="Calibri"/>
          <w:i/>
          <w:iCs/>
          <w:noProof/>
          <w:sz w:val="22"/>
        </w:rPr>
        <w:t>Review of Economic Dynamics</w:t>
      </w:r>
      <w:r w:rsidRPr="00CE6362">
        <w:rPr>
          <w:rFonts w:ascii="Calibri" w:hAnsi="Calibri"/>
          <w:noProof/>
          <w:sz w:val="22"/>
        </w:rPr>
        <w:t xml:space="preserve">, </w:t>
      </w:r>
      <w:r w:rsidRPr="00CE6362">
        <w:rPr>
          <w:rFonts w:ascii="Calibri" w:hAnsi="Calibri"/>
          <w:i/>
          <w:iCs/>
          <w:noProof/>
          <w:sz w:val="22"/>
        </w:rPr>
        <w:t>7</w:t>
      </w:r>
      <w:r w:rsidRPr="00CE6362">
        <w:rPr>
          <w:rFonts w:ascii="Calibri" w:hAnsi="Calibri"/>
          <w:noProof/>
          <w:sz w:val="22"/>
        </w:rPr>
        <w:t>(4), 789–826.</w:t>
      </w:r>
    </w:p>
    <w:p w14:paraId="273BA98A"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Salehizadeh, M. (2003). U.S. multinationals and the home bias puzzle: an empirical analysis. </w:t>
      </w:r>
      <w:r w:rsidRPr="00CE6362">
        <w:rPr>
          <w:rFonts w:ascii="Calibri" w:hAnsi="Calibri"/>
          <w:i/>
          <w:iCs/>
          <w:noProof/>
          <w:sz w:val="22"/>
        </w:rPr>
        <w:t>Global Finance Journal</w:t>
      </w:r>
      <w:r w:rsidRPr="00CE6362">
        <w:rPr>
          <w:rFonts w:ascii="Calibri" w:hAnsi="Calibri"/>
          <w:noProof/>
          <w:sz w:val="22"/>
        </w:rPr>
        <w:t xml:space="preserve">, </w:t>
      </w:r>
      <w:r w:rsidRPr="00CE6362">
        <w:rPr>
          <w:rFonts w:ascii="Calibri" w:hAnsi="Calibri"/>
          <w:i/>
          <w:iCs/>
          <w:noProof/>
          <w:sz w:val="22"/>
        </w:rPr>
        <w:t>14</w:t>
      </w:r>
      <w:r w:rsidRPr="00CE6362">
        <w:rPr>
          <w:rFonts w:ascii="Calibri" w:hAnsi="Calibri"/>
          <w:noProof/>
          <w:sz w:val="22"/>
        </w:rPr>
        <w:t>(3), 303–318.</w:t>
      </w:r>
    </w:p>
    <w:p w14:paraId="36E3D00D"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Sercu, P. M., &amp; Vanpee, R. (2007). Home Bias in International Equity Portfolios: A Review. </w:t>
      </w:r>
      <w:r w:rsidRPr="00CE6362">
        <w:rPr>
          <w:rFonts w:ascii="Calibri" w:hAnsi="Calibri"/>
          <w:i/>
          <w:iCs/>
          <w:noProof/>
          <w:sz w:val="22"/>
        </w:rPr>
        <w:t>K.U.Leuven - Faculty of Economics and Applied Economics</w:t>
      </w:r>
      <w:r w:rsidRPr="00CE6362">
        <w:rPr>
          <w:rFonts w:ascii="Calibri" w:hAnsi="Calibri"/>
          <w:noProof/>
          <w:sz w:val="22"/>
        </w:rPr>
        <w:t>.</w:t>
      </w:r>
    </w:p>
    <w:p w14:paraId="5CB1500C"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Serra, A. P. (2000). Country and industry factors in returns: evidence from emerging markets’ stocks. </w:t>
      </w:r>
      <w:r w:rsidRPr="00CE6362">
        <w:rPr>
          <w:rFonts w:ascii="Calibri" w:hAnsi="Calibri"/>
          <w:i/>
          <w:iCs/>
          <w:noProof/>
          <w:sz w:val="22"/>
        </w:rPr>
        <w:t>Emerging Markets Review</w:t>
      </w:r>
      <w:r w:rsidRPr="00CE6362">
        <w:rPr>
          <w:rFonts w:ascii="Calibri" w:hAnsi="Calibri"/>
          <w:noProof/>
          <w:sz w:val="22"/>
        </w:rPr>
        <w:t xml:space="preserve">, </w:t>
      </w:r>
      <w:r w:rsidRPr="00CE6362">
        <w:rPr>
          <w:rFonts w:ascii="Calibri" w:hAnsi="Calibri"/>
          <w:i/>
          <w:iCs/>
          <w:noProof/>
          <w:sz w:val="22"/>
        </w:rPr>
        <w:t>1</w:t>
      </w:r>
      <w:r w:rsidRPr="00CE6362">
        <w:rPr>
          <w:rFonts w:ascii="Calibri" w:hAnsi="Calibri"/>
          <w:noProof/>
          <w:sz w:val="22"/>
        </w:rPr>
        <w:t>(2), 127–151.</w:t>
      </w:r>
    </w:p>
    <w:p w14:paraId="1958C796"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Solnik, B. H. (1974). Why Not Diversify Internationally Rather than Domestically? </w:t>
      </w:r>
      <w:r w:rsidRPr="00CE6362">
        <w:rPr>
          <w:rFonts w:ascii="Calibri" w:hAnsi="Calibri"/>
          <w:i/>
          <w:iCs/>
          <w:noProof/>
          <w:sz w:val="22"/>
        </w:rPr>
        <w:t>Financial Analysts Journal</w:t>
      </w:r>
      <w:r w:rsidRPr="00CE6362">
        <w:rPr>
          <w:rFonts w:ascii="Calibri" w:hAnsi="Calibri"/>
          <w:noProof/>
          <w:sz w:val="22"/>
        </w:rPr>
        <w:t xml:space="preserve">, </w:t>
      </w:r>
      <w:r w:rsidRPr="00CE6362">
        <w:rPr>
          <w:rFonts w:ascii="Calibri" w:hAnsi="Calibri"/>
          <w:i/>
          <w:iCs/>
          <w:noProof/>
          <w:sz w:val="22"/>
        </w:rPr>
        <w:t>30</w:t>
      </w:r>
      <w:r w:rsidRPr="00CE6362">
        <w:rPr>
          <w:rFonts w:ascii="Calibri" w:hAnsi="Calibri"/>
          <w:noProof/>
          <w:sz w:val="22"/>
        </w:rPr>
        <w:t>(4), 48–52.</w:t>
      </w:r>
    </w:p>
    <w:p w14:paraId="7DED7631"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Suh, J. (2005). Home bias among institutional investors: a study of the Quarterly Portfolio Poll. </w:t>
      </w:r>
      <w:r w:rsidRPr="00CE6362">
        <w:rPr>
          <w:rFonts w:ascii="Calibri" w:hAnsi="Calibri"/>
          <w:i/>
          <w:iCs/>
          <w:noProof/>
          <w:sz w:val="22"/>
        </w:rPr>
        <w:t>Journal of the Japanese and International Economies</w:t>
      </w:r>
      <w:r w:rsidRPr="00CE6362">
        <w:rPr>
          <w:rFonts w:ascii="Calibri" w:hAnsi="Calibri"/>
          <w:noProof/>
          <w:sz w:val="22"/>
        </w:rPr>
        <w:t xml:space="preserve">, </w:t>
      </w:r>
      <w:r w:rsidRPr="00CE6362">
        <w:rPr>
          <w:rFonts w:ascii="Calibri" w:hAnsi="Calibri"/>
          <w:i/>
          <w:iCs/>
          <w:noProof/>
          <w:sz w:val="22"/>
        </w:rPr>
        <w:t>19</w:t>
      </w:r>
      <w:r w:rsidRPr="00CE6362">
        <w:rPr>
          <w:rFonts w:ascii="Calibri" w:hAnsi="Calibri"/>
          <w:noProof/>
          <w:sz w:val="22"/>
        </w:rPr>
        <w:t>(1), 72–95.</w:t>
      </w:r>
    </w:p>
    <w:p w14:paraId="19DC388E"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Tesar, L. L., &amp; Werner, I. M. (1995a). Home Bias and the High Turnover. </w:t>
      </w:r>
      <w:r w:rsidRPr="00CE6362">
        <w:rPr>
          <w:rFonts w:ascii="Calibri" w:hAnsi="Calibri"/>
          <w:i/>
          <w:iCs/>
          <w:noProof/>
          <w:sz w:val="22"/>
        </w:rPr>
        <w:t>Journal of International Money and Finance</w:t>
      </w:r>
      <w:r w:rsidRPr="00CE6362">
        <w:rPr>
          <w:rFonts w:ascii="Calibri" w:hAnsi="Calibri"/>
          <w:noProof/>
          <w:sz w:val="22"/>
        </w:rPr>
        <w:t xml:space="preserve">, </w:t>
      </w:r>
      <w:r w:rsidRPr="00CE6362">
        <w:rPr>
          <w:rFonts w:ascii="Calibri" w:hAnsi="Calibri"/>
          <w:i/>
          <w:iCs/>
          <w:noProof/>
          <w:sz w:val="22"/>
        </w:rPr>
        <w:t>14</w:t>
      </w:r>
      <w:r w:rsidRPr="00CE6362">
        <w:rPr>
          <w:rFonts w:ascii="Calibri" w:hAnsi="Calibri"/>
          <w:noProof/>
          <w:sz w:val="22"/>
        </w:rPr>
        <w:t>, 467–493.</w:t>
      </w:r>
    </w:p>
    <w:p w14:paraId="307251B7"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Tesar, L. L., &amp; Werner, I. M. (1995b). U.S. Equity Investment in Emerging Stock Markets. </w:t>
      </w:r>
      <w:r w:rsidRPr="00CE6362">
        <w:rPr>
          <w:rFonts w:ascii="Calibri" w:hAnsi="Calibri"/>
          <w:i/>
          <w:iCs/>
          <w:noProof/>
          <w:sz w:val="22"/>
        </w:rPr>
        <w:t>World Bank Econ. Rev.</w:t>
      </w:r>
      <w:r w:rsidRPr="00CE6362">
        <w:rPr>
          <w:rFonts w:ascii="Calibri" w:hAnsi="Calibri"/>
          <w:noProof/>
          <w:sz w:val="22"/>
        </w:rPr>
        <w:t xml:space="preserve">, </w:t>
      </w:r>
      <w:r w:rsidRPr="00CE6362">
        <w:rPr>
          <w:rFonts w:ascii="Calibri" w:hAnsi="Calibri"/>
          <w:i/>
          <w:iCs/>
          <w:noProof/>
          <w:sz w:val="22"/>
        </w:rPr>
        <w:t>9</w:t>
      </w:r>
      <w:r w:rsidRPr="00CE6362">
        <w:rPr>
          <w:rFonts w:ascii="Calibri" w:hAnsi="Calibri"/>
          <w:noProof/>
          <w:sz w:val="22"/>
        </w:rPr>
        <w:t>(1), 109–129.</w:t>
      </w:r>
    </w:p>
    <w:p w14:paraId="2CB5A0D0"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Tsai, P.-J., &amp; Swanson, P. E. (2009). The comparative role of iShares and country funds in internationally diversified portfolios. </w:t>
      </w:r>
      <w:r w:rsidRPr="00CE6362">
        <w:rPr>
          <w:rFonts w:ascii="Calibri" w:hAnsi="Calibri"/>
          <w:i/>
          <w:iCs/>
          <w:noProof/>
          <w:sz w:val="22"/>
        </w:rPr>
        <w:t>Journal of Economics and Business</w:t>
      </w:r>
      <w:r w:rsidRPr="00CE6362">
        <w:rPr>
          <w:rFonts w:ascii="Calibri" w:hAnsi="Calibri"/>
          <w:noProof/>
          <w:sz w:val="22"/>
        </w:rPr>
        <w:t xml:space="preserve">, </w:t>
      </w:r>
      <w:r w:rsidRPr="00CE6362">
        <w:rPr>
          <w:rFonts w:ascii="Calibri" w:hAnsi="Calibri"/>
          <w:i/>
          <w:iCs/>
          <w:noProof/>
          <w:sz w:val="22"/>
        </w:rPr>
        <w:t>61</w:t>
      </w:r>
      <w:r w:rsidRPr="00CE6362">
        <w:rPr>
          <w:rFonts w:ascii="Calibri" w:hAnsi="Calibri"/>
          <w:noProof/>
          <w:sz w:val="22"/>
        </w:rPr>
        <w:t>(6), 472–494.</w:t>
      </w:r>
    </w:p>
    <w:p w14:paraId="4EE72267"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VanNieuwerburgh, S., &amp; Veldkamp, L. (2009). Information Immobility and the Home Bias Puzzle. </w:t>
      </w:r>
      <w:r w:rsidRPr="00CE6362">
        <w:rPr>
          <w:rFonts w:ascii="Calibri" w:hAnsi="Calibri"/>
          <w:i/>
          <w:iCs/>
          <w:noProof/>
          <w:sz w:val="22"/>
        </w:rPr>
        <w:t>The Journal of Finance</w:t>
      </w:r>
      <w:r w:rsidRPr="00CE6362">
        <w:rPr>
          <w:rFonts w:ascii="Calibri" w:hAnsi="Calibri"/>
          <w:noProof/>
          <w:sz w:val="22"/>
        </w:rPr>
        <w:t xml:space="preserve">, </w:t>
      </w:r>
      <w:r w:rsidRPr="00CE6362">
        <w:rPr>
          <w:rFonts w:ascii="Calibri" w:hAnsi="Calibri"/>
          <w:i/>
          <w:iCs/>
          <w:noProof/>
          <w:sz w:val="22"/>
        </w:rPr>
        <w:t>64</w:t>
      </w:r>
      <w:r w:rsidRPr="00CE6362">
        <w:rPr>
          <w:rFonts w:ascii="Calibri" w:hAnsi="Calibri"/>
          <w:noProof/>
          <w:sz w:val="22"/>
        </w:rPr>
        <w:t>(3), 1187–1215.</w:t>
      </w:r>
    </w:p>
    <w:p w14:paraId="141FB744"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Wahab, M., &amp; Khandwala, A. (1993). Why Not Diversify Internationally With ADRs? </w:t>
      </w:r>
      <w:r w:rsidRPr="00CE6362">
        <w:rPr>
          <w:rFonts w:ascii="Calibri" w:hAnsi="Calibri"/>
          <w:i/>
          <w:iCs/>
          <w:noProof/>
          <w:sz w:val="22"/>
        </w:rPr>
        <w:t>The Journal of Portfolio Management</w:t>
      </w:r>
      <w:r w:rsidRPr="00CE6362">
        <w:rPr>
          <w:rFonts w:ascii="Calibri" w:hAnsi="Calibri"/>
          <w:noProof/>
          <w:sz w:val="22"/>
        </w:rPr>
        <w:t xml:space="preserve">, </w:t>
      </w:r>
      <w:r w:rsidRPr="00CE6362">
        <w:rPr>
          <w:rFonts w:ascii="Calibri" w:hAnsi="Calibri"/>
          <w:i/>
          <w:iCs/>
          <w:noProof/>
          <w:sz w:val="22"/>
        </w:rPr>
        <w:t>19</w:t>
      </w:r>
      <w:r w:rsidRPr="00CE6362">
        <w:rPr>
          <w:rFonts w:ascii="Calibri" w:hAnsi="Calibri"/>
          <w:noProof/>
          <w:sz w:val="22"/>
        </w:rPr>
        <w:t>(2), 75–82.</w:t>
      </w:r>
    </w:p>
    <w:p w14:paraId="1FC66A1F"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Webb, S. E., Officer, D. T., &amp; Boyd, B. E. (1995). An examination of international equity markets using American Depository Receipts (ADRs). </w:t>
      </w:r>
      <w:r w:rsidRPr="00CE6362">
        <w:rPr>
          <w:rFonts w:ascii="Calibri" w:hAnsi="Calibri"/>
          <w:i/>
          <w:iCs/>
          <w:noProof/>
          <w:sz w:val="22"/>
        </w:rPr>
        <w:t>Journal of Business Finance &amp; Accounting</w:t>
      </w:r>
      <w:r w:rsidRPr="00CE6362">
        <w:rPr>
          <w:rFonts w:ascii="Calibri" w:hAnsi="Calibri"/>
          <w:noProof/>
          <w:sz w:val="22"/>
        </w:rPr>
        <w:t xml:space="preserve">, </w:t>
      </w:r>
      <w:r w:rsidRPr="00CE6362">
        <w:rPr>
          <w:rFonts w:ascii="Calibri" w:hAnsi="Calibri"/>
          <w:i/>
          <w:iCs/>
          <w:noProof/>
          <w:sz w:val="22"/>
        </w:rPr>
        <w:t>22</w:t>
      </w:r>
      <w:r w:rsidRPr="00CE6362">
        <w:rPr>
          <w:rFonts w:ascii="Calibri" w:hAnsi="Calibri"/>
          <w:noProof/>
          <w:sz w:val="22"/>
        </w:rPr>
        <w:t>(3), 415–430.</w:t>
      </w:r>
    </w:p>
    <w:p w14:paraId="19E1E681"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lastRenderedPageBreak/>
        <w:t xml:space="preserve">You, L., &amp; Daigler, R. T. (2010). Is international diversification really beneficial? </w:t>
      </w:r>
      <w:r w:rsidRPr="00CE6362">
        <w:rPr>
          <w:rFonts w:ascii="Calibri" w:hAnsi="Calibri"/>
          <w:i/>
          <w:iCs/>
          <w:noProof/>
          <w:sz w:val="22"/>
        </w:rPr>
        <w:t>Journal of Banking &amp; Finance</w:t>
      </w:r>
      <w:r w:rsidRPr="00CE6362">
        <w:rPr>
          <w:rFonts w:ascii="Calibri" w:hAnsi="Calibri"/>
          <w:noProof/>
          <w:sz w:val="22"/>
        </w:rPr>
        <w:t xml:space="preserve">, </w:t>
      </w:r>
      <w:r w:rsidRPr="00CE6362">
        <w:rPr>
          <w:rFonts w:ascii="Calibri" w:hAnsi="Calibri"/>
          <w:i/>
          <w:iCs/>
          <w:noProof/>
          <w:sz w:val="22"/>
        </w:rPr>
        <w:t>34</w:t>
      </w:r>
      <w:r w:rsidRPr="00CE6362">
        <w:rPr>
          <w:rFonts w:ascii="Calibri" w:hAnsi="Calibri"/>
          <w:noProof/>
          <w:sz w:val="22"/>
        </w:rPr>
        <w:t>(1), 163–173.</w:t>
      </w:r>
    </w:p>
    <w:p w14:paraId="0A54A208" w14:textId="77777777" w:rsidR="00CE6362" w:rsidRPr="00CE6362" w:rsidRDefault="00CE6362">
      <w:pPr>
        <w:pStyle w:val="NormalWeb"/>
        <w:ind w:left="480" w:hanging="480"/>
        <w:divId w:val="1410807615"/>
        <w:rPr>
          <w:rFonts w:ascii="Calibri" w:hAnsi="Calibri"/>
          <w:noProof/>
          <w:sz w:val="22"/>
        </w:rPr>
      </w:pPr>
      <w:r w:rsidRPr="00CE6362">
        <w:rPr>
          <w:rFonts w:ascii="Calibri" w:hAnsi="Calibri"/>
          <w:noProof/>
          <w:sz w:val="22"/>
        </w:rPr>
        <w:t xml:space="preserve">Zhong, M., &amp; Yang, H. (2005). Risk Exposures and International Diversification: Evidence from iShares. </w:t>
      </w:r>
      <w:r w:rsidRPr="00CE6362">
        <w:rPr>
          <w:rFonts w:ascii="Calibri" w:hAnsi="Calibri"/>
          <w:i/>
          <w:iCs/>
          <w:noProof/>
          <w:sz w:val="22"/>
        </w:rPr>
        <w:t>Journal of Business Finance &amp; Accounting</w:t>
      </w:r>
      <w:r w:rsidRPr="00CE6362">
        <w:rPr>
          <w:rFonts w:ascii="Calibri" w:hAnsi="Calibri"/>
          <w:noProof/>
          <w:sz w:val="22"/>
        </w:rPr>
        <w:t xml:space="preserve">, </w:t>
      </w:r>
      <w:r w:rsidRPr="00CE6362">
        <w:rPr>
          <w:rFonts w:ascii="Calibri" w:hAnsi="Calibri"/>
          <w:i/>
          <w:iCs/>
          <w:noProof/>
          <w:sz w:val="22"/>
        </w:rPr>
        <w:t>32</w:t>
      </w:r>
      <w:r w:rsidRPr="00CE6362">
        <w:rPr>
          <w:rFonts w:ascii="Calibri" w:hAnsi="Calibri"/>
          <w:noProof/>
          <w:sz w:val="22"/>
        </w:rPr>
        <w:t>(3-4), 737–772.</w:t>
      </w:r>
    </w:p>
    <w:p w14:paraId="6BD8C51A" w14:textId="77777777" w:rsidR="00AF6859" w:rsidRDefault="00AF6859" w:rsidP="00CE6362">
      <w:pPr>
        <w:pStyle w:val="NormalWeb"/>
        <w:ind w:left="480" w:hanging="480"/>
        <w:divId w:val="1136219607"/>
      </w:pPr>
      <w:r>
        <w:fldChar w:fldCharType="end"/>
      </w:r>
    </w:p>
    <w:p w14:paraId="760E591F" w14:textId="77777777" w:rsidR="00662849" w:rsidRDefault="00662849" w:rsidP="00AF6859">
      <w:pPr>
        <w:pStyle w:val="NormalWeb"/>
        <w:ind w:left="480" w:hanging="480"/>
        <w:divId w:val="1348100982"/>
      </w:pPr>
    </w:p>
    <w:p w14:paraId="1F7E0302" w14:textId="77777777" w:rsidR="00837EF2" w:rsidRDefault="00837EF2">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14:paraId="40462A3C" w14:textId="77777777" w:rsidR="00837EF2" w:rsidRPr="005F19E2" w:rsidRDefault="00FA671B" w:rsidP="00E043A8">
      <w:pPr>
        <w:pStyle w:val="Caption"/>
      </w:pPr>
      <w:bookmarkStart w:id="5" w:name="_Ref384650662"/>
      <w:bookmarkStart w:id="6" w:name="_Ref361828044"/>
      <w:r w:rsidRPr="005F19E2">
        <w:lastRenderedPageBreak/>
        <w:t xml:space="preserve">Table </w:t>
      </w:r>
      <w:r w:rsidR="00CD4B7C">
        <w:fldChar w:fldCharType="begin"/>
      </w:r>
      <w:r w:rsidR="00CD4B7C">
        <w:instrText xml:space="preserve"> SEQ Table \* ARABIC </w:instrText>
      </w:r>
      <w:r w:rsidR="00CD4B7C">
        <w:fldChar w:fldCharType="separate"/>
      </w:r>
      <w:r w:rsidRPr="005F19E2">
        <w:rPr>
          <w:noProof/>
        </w:rPr>
        <w:t>1</w:t>
      </w:r>
      <w:r w:rsidR="00CD4B7C">
        <w:rPr>
          <w:noProof/>
        </w:rPr>
        <w:fldChar w:fldCharType="end"/>
      </w:r>
      <w:bookmarkEnd w:id="5"/>
      <w:r w:rsidR="00837EF2" w:rsidRPr="005F19E2">
        <w:t xml:space="preserve"> US</w:t>
      </w:r>
      <w:r w:rsidR="00991889" w:rsidRPr="005F19E2">
        <w:t xml:space="preserve"> </w:t>
      </w:r>
      <w:bookmarkEnd w:id="6"/>
      <w:r w:rsidR="00991889" w:rsidRPr="005F19E2">
        <w:t>Holdings of Foreign Equity</w:t>
      </w:r>
    </w:p>
    <w:tbl>
      <w:tblPr>
        <w:tblStyle w:val="LightShading"/>
        <w:tblW w:w="9923" w:type="dxa"/>
        <w:tblInd w:w="108" w:type="dxa"/>
        <w:tblLook w:val="06A0" w:firstRow="1" w:lastRow="0" w:firstColumn="1" w:lastColumn="0" w:noHBand="1" w:noVBand="1"/>
      </w:tblPr>
      <w:tblGrid>
        <w:gridCol w:w="2977"/>
        <w:gridCol w:w="656"/>
        <w:gridCol w:w="765"/>
        <w:gridCol w:w="765"/>
        <w:gridCol w:w="765"/>
        <w:gridCol w:w="766"/>
        <w:gridCol w:w="766"/>
        <w:gridCol w:w="766"/>
        <w:gridCol w:w="766"/>
        <w:gridCol w:w="931"/>
      </w:tblGrid>
      <w:tr w:rsidR="00837EF2" w:rsidRPr="00CA4E0C" w14:paraId="5850F4E3" w14:textId="77777777" w:rsidTr="001000B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ECF16B6" w14:textId="77777777" w:rsidR="00837EF2" w:rsidRPr="00CA4E0C" w:rsidRDefault="00837EF2" w:rsidP="00C906EA">
            <w:pPr>
              <w:rPr>
                <w:rFonts w:ascii="Times New Roman" w:eastAsia="Times New Roman" w:hAnsi="Times New Roman" w:cs="Times New Roman"/>
                <w:color w:val="000000"/>
                <w:sz w:val="16"/>
                <w:szCs w:val="16"/>
                <w:lang w:eastAsia="en-IE"/>
              </w:rPr>
            </w:pPr>
          </w:p>
        </w:tc>
        <w:tc>
          <w:tcPr>
            <w:tcW w:w="514" w:type="dxa"/>
            <w:noWrap/>
            <w:hideMark/>
          </w:tcPr>
          <w:p w14:paraId="49A738EE"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2003</w:t>
            </w:r>
          </w:p>
        </w:tc>
        <w:tc>
          <w:tcPr>
            <w:tcW w:w="0" w:type="auto"/>
            <w:noWrap/>
            <w:hideMark/>
          </w:tcPr>
          <w:p w14:paraId="2F3FE31F"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2004</w:t>
            </w:r>
          </w:p>
        </w:tc>
        <w:tc>
          <w:tcPr>
            <w:tcW w:w="0" w:type="auto"/>
            <w:noWrap/>
            <w:hideMark/>
          </w:tcPr>
          <w:p w14:paraId="40F8DBE0"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2005</w:t>
            </w:r>
          </w:p>
        </w:tc>
        <w:tc>
          <w:tcPr>
            <w:tcW w:w="0" w:type="auto"/>
            <w:noWrap/>
            <w:hideMark/>
          </w:tcPr>
          <w:p w14:paraId="26180262"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2006</w:t>
            </w:r>
          </w:p>
        </w:tc>
        <w:tc>
          <w:tcPr>
            <w:tcW w:w="0" w:type="auto"/>
            <w:noWrap/>
            <w:hideMark/>
          </w:tcPr>
          <w:p w14:paraId="0220338F"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2007</w:t>
            </w:r>
          </w:p>
        </w:tc>
        <w:tc>
          <w:tcPr>
            <w:tcW w:w="0" w:type="auto"/>
            <w:noWrap/>
            <w:hideMark/>
          </w:tcPr>
          <w:p w14:paraId="2866B324"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2008</w:t>
            </w:r>
          </w:p>
        </w:tc>
        <w:tc>
          <w:tcPr>
            <w:tcW w:w="0" w:type="auto"/>
            <w:noWrap/>
            <w:hideMark/>
          </w:tcPr>
          <w:p w14:paraId="06F33CC8"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2009</w:t>
            </w:r>
          </w:p>
        </w:tc>
        <w:tc>
          <w:tcPr>
            <w:tcW w:w="0" w:type="auto"/>
            <w:noWrap/>
            <w:hideMark/>
          </w:tcPr>
          <w:p w14:paraId="3C6F80D3"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2010</w:t>
            </w:r>
          </w:p>
        </w:tc>
        <w:tc>
          <w:tcPr>
            <w:tcW w:w="931" w:type="dxa"/>
            <w:noWrap/>
            <w:hideMark/>
          </w:tcPr>
          <w:p w14:paraId="1CADF306" w14:textId="77777777" w:rsidR="00837EF2" w:rsidRPr="00CA4E0C" w:rsidRDefault="00837EF2" w:rsidP="00C906E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2011</w:t>
            </w:r>
          </w:p>
        </w:tc>
      </w:tr>
      <w:tr w:rsidR="00837EF2" w:rsidRPr="00CA4E0C" w14:paraId="3A92F130"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4CF7BC9" w14:textId="77777777" w:rsidR="00837EF2" w:rsidRPr="00CA4E0C" w:rsidRDefault="00837EF2" w:rsidP="00C906EA">
            <w:pPr>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 US foreign equity holdings</w:t>
            </w:r>
            <w:r w:rsidRPr="00CA4E0C">
              <w:rPr>
                <w:rStyle w:val="FootnoteReference"/>
                <w:rFonts w:ascii="Times New Roman" w:eastAsia="Times New Roman" w:hAnsi="Times New Roman" w:cs="Times New Roman"/>
                <w:color w:val="000000"/>
                <w:sz w:val="16"/>
                <w:szCs w:val="16"/>
                <w:lang w:eastAsia="en-IE"/>
              </w:rPr>
              <w:footnoteReference w:id="12"/>
            </w:r>
          </w:p>
        </w:tc>
        <w:tc>
          <w:tcPr>
            <w:tcW w:w="514" w:type="dxa"/>
            <w:noWrap/>
            <w:hideMark/>
          </w:tcPr>
          <w:p w14:paraId="16CCA743"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2,079</w:t>
            </w:r>
          </w:p>
        </w:tc>
        <w:tc>
          <w:tcPr>
            <w:tcW w:w="0" w:type="auto"/>
            <w:noWrap/>
            <w:hideMark/>
          </w:tcPr>
          <w:p w14:paraId="443975A1"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2,560</w:t>
            </w:r>
          </w:p>
        </w:tc>
        <w:tc>
          <w:tcPr>
            <w:tcW w:w="0" w:type="auto"/>
            <w:noWrap/>
            <w:hideMark/>
          </w:tcPr>
          <w:p w14:paraId="6B62757B"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3,318</w:t>
            </w:r>
          </w:p>
        </w:tc>
        <w:tc>
          <w:tcPr>
            <w:tcW w:w="0" w:type="auto"/>
            <w:noWrap/>
            <w:hideMark/>
          </w:tcPr>
          <w:p w14:paraId="3B41E147"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4,329</w:t>
            </w:r>
          </w:p>
        </w:tc>
        <w:tc>
          <w:tcPr>
            <w:tcW w:w="0" w:type="auto"/>
            <w:noWrap/>
            <w:hideMark/>
          </w:tcPr>
          <w:p w14:paraId="696C225A"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5,253</w:t>
            </w:r>
          </w:p>
        </w:tc>
        <w:tc>
          <w:tcPr>
            <w:tcW w:w="0" w:type="auto"/>
            <w:noWrap/>
            <w:hideMark/>
          </w:tcPr>
          <w:p w14:paraId="746ED46C"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2,748</w:t>
            </w:r>
          </w:p>
        </w:tc>
        <w:tc>
          <w:tcPr>
            <w:tcW w:w="0" w:type="auto"/>
            <w:noWrap/>
            <w:hideMark/>
          </w:tcPr>
          <w:p w14:paraId="5AD82B7E"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3,995</w:t>
            </w:r>
          </w:p>
        </w:tc>
        <w:tc>
          <w:tcPr>
            <w:tcW w:w="0" w:type="auto"/>
            <w:noWrap/>
            <w:hideMark/>
          </w:tcPr>
          <w:p w14:paraId="32096F25"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4,647</w:t>
            </w:r>
          </w:p>
        </w:tc>
        <w:tc>
          <w:tcPr>
            <w:tcW w:w="931" w:type="dxa"/>
            <w:noWrap/>
            <w:hideMark/>
          </w:tcPr>
          <w:p w14:paraId="2EF9A746"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4,501</w:t>
            </w:r>
          </w:p>
        </w:tc>
      </w:tr>
      <w:tr w:rsidR="00837EF2" w:rsidRPr="00CA4E0C" w14:paraId="077A4A25"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2977" w:type="dxa"/>
            <w:noWrap/>
            <w:hideMark/>
          </w:tcPr>
          <w:p w14:paraId="323B803A" w14:textId="77777777" w:rsidR="00837EF2" w:rsidRPr="00CA4E0C" w:rsidRDefault="00837EF2" w:rsidP="00C906EA">
            <w:pPr>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 Market cap of US firms</w:t>
            </w:r>
            <w:r w:rsidRPr="00CA4E0C">
              <w:rPr>
                <w:rStyle w:val="FootnoteReference"/>
                <w:rFonts w:ascii="Times New Roman" w:eastAsia="Times New Roman" w:hAnsi="Times New Roman" w:cs="Times New Roman"/>
                <w:color w:val="000000"/>
                <w:sz w:val="16"/>
                <w:szCs w:val="16"/>
                <w:lang w:eastAsia="en-IE"/>
              </w:rPr>
              <w:footnoteReference w:id="13"/>
            </w:r>
          </w:p>
        </w:tc>
        <w:tc>
          <w:tcPr>
            <w:tcW w:w="514" w:type="dxa"/>
            <w:noWrap/>
            <w:hideMark/>
          </w:tcPr>
          <w:p w14:paraId="2FB2F6FB"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17,941</w:t>
            </w:r>
          </w:p>
        </w:tc>
        <w:tc>
          <w:tcPr>
            <w:tcW w:w="0" w:type="auto"/>
            <w:noWrap/>
            <w:hideMark/>
          </w:tcPr>
          <w:p w14:paraId="7FB9C0B7"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22,002</w:t>
            </w:r>
          </w:p>
        </w:tc>
        <w:tc>
          <w:tcPr>
            <w:tcW w:w="0" w:type="auto"/>
            <w:noWrap/>
            <w:hideMark/>
          </w:tcPr>
          <w:p w14:paraId="14231BE7"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23,941</w:t>
            </w:r>
          </w:p>
        </w:tc>
        <w:tc>
          <w:tcPr>
            <w:tcW w:w="0" w:type="auto"/>
            <w:noWrap/>
            <w:hideMark/>
          </w:tcPr>
          <w:p w14:paraId="21F2244B"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26,508</w:t>
            </w:r>
          </w:p>
        </w:tc>
        <w:tc>
          <w:tcPr>
            <w:tcW w:w="0" w:type="auto"/>
            <w:noWrap/>
            <w:hideMark/>
          </w:tcPr>
          <w:p w14:paraId="61670DA3"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31,710</w:t>
            </w:r>
          </w:p>
        </w:tc>
        <w:tc>
          <w:tcPr>
            <w:tcW w:w="0" w:type="auto"/>
            <w:noWrap/>
            <w:hideMark/>
          </w:tcPr>
          <w:p w14:paraId="49830F7D"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28,714</w:t>
            </w:r>
          </w:p>
        </w:tc>
        <w:tc>
          <w:tcPr>
            <w:tcW w:w="0" w:type="auto"/>
            <w:noWrap/>
            <w:hideMark/>
          </w:tcPr>
          <w:p w14:paraId="43F6101E"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22,647</w:t>
            </w:r>
          </w:p>
        </w:tc>
        <w:tc>
          <w:tcPr>
            <w:tcW w:w="0" w:type="auto"/>
            <w:noWrap/>
            <w:hideMark/>
          </w:tcPr>
          <w:p w14:paraId="51D52358"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24,633</w:t>
            </w:r>
          </w:p>
        </w:tc>
        <w:tc>
          <w:tcPr>
            <w:tcW w:w="931" w:type="dxa"/>
            <w:noWrap/>
            <w:hideMark/>
          </w:tcPr>
          <w:p w14:paraId="78B9B5A4"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30,998</w:t>
            </w:r>
          </w:p>
        </w:tc>
      </w:tr>
      <w:tr w:rsidR="00837EF2" w:rsidRPr="00CA4E0C" w14:paraId="2710FE25"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2977" w:type="dxa"/>
            <w:noWrap/>
            <w:hideMark/>
          </w:tcPr>
          <w:p w14:paraId="797B20C4" w14:textId="77777777" w:rsidR="00837EF2" w:rsidRPr="00CA4E0C" w:rsidRDefault="00837EF2" w:rsidP="00C906EA">
            <w:pPr>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 Foreign holdings of US firms</w:t>
            </w:r>
            <w:r w:rsidRPr="00CA4E0C">
              <w:rPr>
                <w:rStyle w:val="FootnoteReference"/>
                <w:rFonts w:ascii="Times New Roman" w:eastAsia="Times New Roman" w:hAnsi="Times New Roman" w:cs="Times New Roman"/>
                <w:color w:val="000000"/>
                <w:sz w:val="16"/>
                <w:szCs w:val="16"/>
                <w:lang w:eastAsia="en-IE"/>
              </w:rPr>
              <w:footnoteReference w:id="14"/>
            </w:r>
          </w:p>
        </w:tc>
        <w:tc>
          <w:tcPr>
            <w:tcW w:w="514" w:type="dxa"/>
            <w:noWrap/>
            <w:hideMark/>
          </w:tcPr>
          <w:p w14:paraId="03A4E94E"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1,564</w:t>
            </w:r>
          </w:p>
        </w:tc>
        <w:tc>
          <w:tcPr>
            <w:tcW w:w="0" w:type="auto"/>
            <w:noWrap/>
            <w:hideMark/>
          </w:tcPr>
          <w:p w14:paraId="6897109A"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1,930</w:t>
            </w:r>
          </w:p>
        </w:tc>
        <w:tc>
          <w:tcPr>
            <w:tcW w:w="0" w:type="auto"/>
            <w:noWrap/>
            <w:hideMark/>
          </w:tcPr>
          <w:p w14:paraId="0664D7CA"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2,144</w:t>
            </w:r>
          </w:p>
        </w:tc>
        <w:tc>
          <w:tcPr>
            <w:tcW w:w="0" w:type="auto"/>
            <w:noWrap/>
            <w:hideMark/>
          </w:tcPr>
          <w:p w14:paraId="65B70CD0"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2,430</w:t>
            </w:r>
          </w:p>
        </w:tc>
        <w:tc>
          <w:tcPr>
            <w:tcW w:w="0" w:type="auto"/>
            <w:noWrap/>
            <w:hideMark/>
          </w:tcPr>
          <w:p w14:paraId="3A737CC0"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3,130</w:t>
            </w:r>
          </w:p>
        </w:tc>
        <w:tc>
          <w:tcPr>
            <w:tcW w:w="0" w:type="auto"/>
            <w:noWrap/>
            <w:hideMark/>
          </w:tcPr>
          <w:p w14:paraId="7B85AEE2"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2,969</w:t>
            </w:r>
          </w:p>
        </w:tc>
        <w:tc>
          <w:tcPr>
            <w:tcW w:w="0" w:type="auto"/>
            <w:noWrap/>
            <w:hideMark/>
          </w:tcPr>
          <w:p w14:paraId="52930BD6"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2,252</w:t>
            </w:r>
          </w:p>
        </w:tc>
        <w:tc>
          <w:tcPr>
            <w:tcW w:w="0" w:type="auto"/>
            <w:noWrap/>
            <w:hideMark/>
          </w:tcPr>
          <w:p w14:paraId="6E39F4C5"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2,814</w:t>
            </w:r>
          </w:p>
        </w:tc>
        <w:tc>
          <w:tcPr>
            <w:tcW w:w="931" w:type="dxa"/>
            <w:noWrap/>
            <w:hideMark/>
          </w:tcPr>
          <w:p w14:paraId="40701636"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3,830</w:t>
            </w:r>
          </w:p>
        </w:tc>
      </w:tr>
      <w:tr w:rsidR="00837EF2" w:rsidRPr="00CA4E0C" w14:paraId="0EB91073"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2977" w:type="dxa"/>
            <w:noWrap/>
            <w:hideMark/>
          </w:tcPr>
          <w:p w14:paraId="51F293D4" w14:textId="77777777" w:rsidR="00837EF2" w:rsidRPr="00CA4E0C" w:rsidRDefault="00837EF2" w:rsidP="00C906EA">
            <w:pPr>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4. US total equity holdings = 1. + 2. - 3.</w:t>
            </w:r>
          </w:p>
        </w:tc>
        <w:tc>
          <w:tcPr>
            <w:tcW w:w="514" w:type="dxa"/>
            <w:noWrap/>
            <w:hideMark/>
          </w:tcPr>
          <w:p w14:paraId="621E034E"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18,456</w:t>
            </w:r>
          </w:p>
        </w:tc>
        <w:tc>
          <w:tcPr>
            <w:tcW w:w="0" w:type="auto"/>
            <w:noWrap/>
            <w:hideMark/>
          </w:tcPr>
          <w:p w14:paraId="3471B8A1"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22,632</w:t>
            </w:r>
          </w:p>
        </w:tc>
        <w:tc>
          <w:tcPr>
            <w:tcW w:w="0" w:type="auto"/>
            <w:noWrap/>
            <w:hideMark/>
          </w:tcPr>
          <w:p w14:paraId="09C4C48B"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25,115</w:t>
            </w:r>
          </w:p>
        </w:tc>
        <w:tc>
          <w:tcPr>
            <w:tcW w:w="0" w:type="auto"/>
            <w:noWrap/>
            <w:hideMark/>
          </w:tcPr>
          <w:p w14:paraId="5CB4C9FB"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28,407</w:t>
            </w:r>
          </w:p>
        </w:tc>
        <w:tc>
          <w:tcPr>
            <w:tcW w:w="0" w:type="auto"/>
            <w:noWrap/>
            <w:hideMark/>
          </w:tcPr>
          <w:p w14:paraId="1EB598F3"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33,833</w:t>
            </w:r>
          </w:p>
        </w:tc>
        <w:tc>
          <w:tcPr>
            <w:tcW w:w="0" w:type="auto"/>
            <w:noWrap/>
            <w:hideMark/>
          </w:tcPr>
          <w:p w14:paraId="37B951EF"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28,493</w:t>
            </w:r>
          </w:p>
        </w:tc>
        <w:tc>
          <w:tcPr>
            <w:tcW w:w="0" w:type="auto"/>
            <w:noWrap/>
            <w:hideMark/>
          </w:tcPr>
          <w:p w14:paraId="5B890561"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24,390</w:t>
            </w:r>
          </w:p>
        </w:tc>
        <w:tc>
          <w:tcPr>
            <w:tcW w:w="0" w:type="auto"/>
            <w:noWrap/>
            <w:hideMark/>
          </w:tcPr>
          <w:p w14:paraId="32A045FC"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26,466</w:t>
            </w:r>
          </w:p>
        </w:tc>
        <w:tc>
          <w:tcPr>
            <w:tcW w:w="931" w:type="dxa"/>
            <w:noWrap/>
            <w:hideMark/>
          </w:tcPr>
          <w:p w14:paraId="49A9B607"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31,669</w:t>
            </w:r>
          </w:p>
        </w:tc>
      </w:tr>
      <w:tr w:rsidR="00837EF2" w:rsidRPr="00CA4E0C" w14:paraId="71A54B7F"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CB8C073" w14:textId="77777777" w:rsidR="00837EF2" w:rsidRPr="00CA4E0C" w:rsidRDefault="00837EF2" w:rsidP="00C906EA">
            <w:pPr>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 foreign holdings = 1./4.</w:t>
            </w:r>
          </w:p>
        </w:tc>
        <w:tc>
          <w:tcPr>
            <w:tcW w:w="514" w:type="dxa"/>
            <w:noWrap/>
            <w:hideMark/>
          </w:tcPr>
          <w:p w14:paraId="06BBF038"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11%</w:t>
            </w:r>
          </w:p>
        </w:tc>
        <w:tc>
          <w:tcPr>
            <w:tcW w:w="0" w:type="auto"/>
            <w:noWrap/>
            <w:hideMark/>
          </w:tcPr>
          <w:p w14:paraId="72FB524F"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11%</w:t>
            </w:r>
          </w:p>
        </w:tc>
        <w:tc>
          <w:tcPr>
            <w:tcW w:w="0" w:type="auto"/>
            <w:noWrap/>
            <w:hideMark/>
          </w:tcPr>
          <w:p w14:paraId="2E9182DB"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13%</w:t>
            </w:r>
          </w:p>
        </w:tc>
        <w:tc>
          <w:tcPr>
            <w:tcW w:w="0" w:type="auto"/>
            <w:noWrap/>
            <w:hideMark/>
          </w:tcPr>
          <w:p w14:paraId="1F55E39A"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15%</w:t>
            </w:r>
          </w:p>
        </w:tc>
        <w:tc>
          <w:tcPr>
            <w:tcW w:w="0" w:type="auto"/>
            <w:noWrap/>
            <w:hideMark/>
          </w:tcPr>
          <w:p w14:paraId="3D094ED5"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16%</w:t>
            </w:r>
          </w:p>
        </w:tc>
        <w:tc>
          <w:tcPr>
            <w:tcW w:w="0" w:type="auto"/>
            <w:noWrap/>
            <w:hideMark/>
          </w:tcPr>
          <w:p w14:paraId="29220A96"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10%</w:t>
            </w:r>
          </w:p>
        </w:tc>
        <w:tc>
          <w:tcPr>
            <w:tcW w:w="0" w:type="auto"/>
            <w:noWrap/>
            <w:hideMark/>
          </w:tcPr>
          <w:p w14:paraId="19FCE1BB"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16%</w:t>
            </w:r>
          </w:p>
        </w:tc>
        <w:tc>
          <w:tcPr>
            <w:tcW w:w="0" w:type="auto"/>
            <w:noWrap/>
            <w:hideMark/>
          </w:tcPr>
          <w:p w14:paraId="156C701E"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18%</w:t>
            </w:r>
          </w:p>
        </w:tc>
        <w:tc>
          <w:tcPr>
            <w:tcW w:w="931" w:type="dxa"/>
            <w:noWrap/>
            <w:hideMark/>
          </w:tcPr>
          <w:p w14:paraId="7C15F6AD" w14:textId="77777777" w:rsidR="00837EF2" w:rsidRPr="00CA4E0C" w:rsidRDefault="00837EF2" w:rsidP="00C906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E"/>
              </w:rPr>
            </w:pPr>
            <w:r w:rsidRPr="00CA4E0C">
              <w:rPr>
                <w:rFonts w:ascii="Times New Roman" w:eastAsia="Times New Roman" w:hAnsi="Times New Roman" w:cs="Times New Roman"/>
                <w:color w:val="000000"/>
                <w:sz w:val="16"/>
                <w:szCs w:val="16"/>
                <w:lang w:eastAsia="en-IE"/>
              </w:rPr>
              <w:t>14%</w:t>
            </w:r>
          </w:p>
        </w:tc>
      </w:tr>
    </w:tbl>
    <w:p w14:paraId="6D4E42B1" w14:textId="77777777" w:rsidR="00837EF2" w:rsidRPr="00CA4E0C" w:rsidRDefault="00837EF2" w:rsidP="00837EF2">
      <w:pPr>
        <w:spacing w:line="240" w:lineRule="auto"/>
        <w:rPr>
          <w:rFonts w:ascii="Times New Roman" w:hAnsi="Times New Roman" w:cs="Times New Roman"/>
          <w:sz w:val="20"/>
          <w:szCs w:val="20"/>
        </w:rPr>
      </w:pPr>
      <w:r w:rsidRPr="001000B2">
        <w:rPr>
          <w:rFonts w:ascii="Times New Roman" w:hAnsi="Times New Roman" w:cs="Times New Roman"/>
          <w:sz w:val="20"/>
          <w:szCs w:val="20"/>
        </w:rPr>
        <w:t>Notes:</w:t>
      </w:r>
      <w:r w:rsidRPr="00CA4E0C">
        <w:rPr>
          <w:rFonts w:ascii="Times New Roman" w:hAnsi="Times New Roman" w:cs="Times New Roman"/>
          <w:sz w:val="20"/>
          <w:szCs w:val="20"/>
        </w:rPr>
        <w:t xml:space="preserve"> This table calculates the holdings by US investors of foreign equities as a percentage of their total equity holdings.  The total equity holding is the market capitalisation of all US firms less the amount of that which is held by foreign investors plus foreign equity holdings by US investors.  </w:t>
      </w:r>
    </w:p>
    <w:p w14:paraId="6E616E5E" w14:textId="77777777" w:rsidR="00837EF2" w:rsidRDefault="00837EF2" w:rsidP="00837EF2">
      <w:r>
        <w:br w:type="page"/>
      </w:r>
    </w:p>
    <w:p w14:paraId="2AD405E9" w14:textId="77777777" w:rsidR="001F4DDE" w:rsidRPr="00991889" w:rsidRDefault="008E6C2C" w:rsidP="005817F4">
      <w:pPr>
        <w:pStyle w:val="Caption"/>
      </w:pPr>
      <w:bookmarkStart w:id="7" w:name="_Ref384910769"/>
      <w:bookmarkStart w:id="8" w:name="_Toc383428874"/>
      <w:r w:rsidRPr="00991889">
        <w:lastRenderedPageBreak/>
        <w:t xml:space="preserve">Table </w:t>
      </w:r>
      <w:r w:rsidR="00CD4B7C">
        <w:fldChar w:fldCharType="begin"/>
      </w:r>
      <w:r w:rsidR="00CD4B7C">
        <w:instrText xml:space="preserve"> SEQ Table \* ARABIC </w:instrText>
      </w:r>
      <w:r w:rsidR="00CD4B7C">
        <w:fldChar w:fldCharType="separate"/>
      </w:r>
      <w:r w:rsidR="00FA671B">
        <w:rPr>
          <w:noProof/>
        </w:rPr>
        <w:t>2</w:t>
      </w:r>
      <w:r w:rsidR="00CD4B7C">
        <w:rPr>
          <w:noProof/>
        </w:rPr>
        <w:fldChar w:fldCharType="end"/>
      </w:r>
      <w:bookmarkEnd w:id="7"/>
      <w:r w:rsidRPr="00991889">
        <w:t xml:space="preserve"> </w:t>
      </w:r>
      <w:r w:rsidR="001F4DDE" w:rsidRPr="00991889">
        <w:t>List of US-Traded Products for each Country</w:t>
      </w:r>
      <w:bookmarkEnd w:id="8"/>
    </w:p>
    <w:tbl>
      <w:tblPr>
        <w:tblStyle w:val="TableClassic1"/>
        <w:tblW w:w="0" w:type="auto"/>
        <w:tblLook w:val="06A0" w:firstRow="1" w:lastRow="0" w:firstColumn="1" w:lastColumn="0" w:noHBand="1" w:noVBand="1"/>
      </w:tblPr>
      <w:tblGrid>
        <w:gridCol w:w="1621"/>
        <w:gridCol w:w="686"/>
        <w:gridCol w:w="1446"/>
        <w:gridCol w:w="3441"/>
      </w:tblGrid>
      <w:tr w:rsidR="001F4DDE" w:rsidRPr="000E6048" w14:paraId="3032B99D" w14:textId="77777777" w:rsidTr="001000B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2F37591" w14:textId="77777777" w:rsidR="001F4DDE" w:rsidRPr="000E6048" w:rsidRDefault="001F4DDE" w:rsidP="001F4DDE">
            <w:pPr>
              <w:contextualSpacing/>
              <w:rPr>
                <w:bCs/>
                <w:color w:val="000000"/>
                <w:sz w:val="18"/>
                <w:szCs w:val="18"/>
              </w:rPr>
            </w:pPr>
          </w:p>
        </w:tc>
        <w:tc>
          <w:tcPr>
            <w:tcW w:w="0" w:type="auto"/>
            <w:noWrap/>
            <w:hideMark/>
          </w:tcPr>
          <w:p w14:paraId="70F1FECF" w14:textId="77777777" w:rsidR="001F4DDE" w:rsidRPr="000E6048" w:rsidRDefault="001F4DDE" w:rsidP="001F4DDE">
            <w:pPr>
              <w:contextualSpacing/>
              <w:cnfStyle w:val="100000000000" w:firstRow="1" w:lastRow="0" w:firstColumn="0" w:lastColumn="0" w:oddVBand="0" w:evenVBand="0" w:oddHBand="0" w:evenHBand="0" w:firstRowFirstColumn="0" w:firstRowLastColumn="0" w:lastRowFirstColumn="0" w:lastRowLastColumn="0"/>
              <w:rPr>
                <w:bCs/>
                <w:color w:val="000000"/>
                <w:sz w:val="18"/>
                <w:szCs w:val="18"/>
              </w:rPr>
            </w:pPr>
            <w:proofErr w:type="spellStart"/>
            <w:r w:rsidRPr="000E6048">
              <w:rPr>
                <w:bCs/>
                <w:color w:val="000000"/>
                <w:sz w:val="18"/>
                <w:szCs w:val="18"/>
              </w:rPr>
              <w:t>iShare</w:t>
            </w:r>
            <w:proofErr w:type="spellEnd"/>
          </w:p>
        </w:tc>
        <w:tc>
          <w:tcPr>
            <w:tcW w:w="0" w:type="auto"/>
            <w:noWrap/>
            <w:hideMark/>
          </w:tcPr>
          <w:p w14:paraId="0EC941D0" w14:textId="77777777" w:rsidR="001F4DDE" w:rsidRPr="000E6048" w:rsidRDefault="001F4DDE" w:rsidP="001F4DDE">
            <w:pPr>
              <w:contextualSpacing/>
              <w:cnfStyle w:val="100000000000" w:firstRow="1"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Number of ADRs</w:t>
            </w:r>
          </w:p>
        </w:tc>
        <w:tc>
          <w:tcPr>
            <w:tcW w:w="0" w:type="auto"/>
          </w:tcPr>
          <w:p w14:paraId="59EE90B8" w14:textId="77777777" w:rsidR="001F4DDE" w:rsidRPr="000E6048" w:rsidRDefault="001F4DDE" w:rsidP="001F4DDE">
            <w:pPr>
              <w:contextualSpacing/>
              <w:cnfStyle w:val="100000000000" w:firstRow="1"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CCF</w:t>
            </w:r>
          </w:p>
        </w:tc>
      </w:tr>
      <w:tr w:rsidR="001F4DDE" w:rsidRPr="000E6048" w14:paraId="54766FDA"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25077C8D" w14:textId="77777777" w:rsidR="001F4DDE" w:rsidRPr="00726191" w:rsidRDefault="001F4DDE" w:rsidP="001F4DDE">
            <w:pPr>
              <w:contextualSpacing/>
              <w:rPr>
                <w:i/>
                <w:color w:val="000000"/>
                <w:sz w:val="18"/>
                <w:szCs w:val="18"/>
              </w:rPr>
            </w:pPr>
            <w:r w:rsidRPr="00726191">
              <w:rPr>
                <w:i/>
                <w:color w:val="000000"/>
                <w:sz w:val="18"/>
                <w:szCs w:val="18"/>
              </w:rPr>
              <w:t>Developed Markets</w:t>
            </w:r>
          </w:p>
        </w:tc>
        <w:tc>
          <w:tcPr>
            <w:tcW w:w="0" w:type="auto"/>
            <w:noWrap/>
          </w:tcPr>
          <w:p w14:paraId="2B41EFC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tcPr>
          <w:p w14:paraId="1B97CAB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29484471"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243B8A70"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EADDF00" w14:textId="77777777" w:rsidR="001F4DDE" w:rsidRPr="000E6048" w:rsidRDefault="001F4DDE" w:rsidP="001F4DDE">
            <w:pPr>
              <w:contextualSpacing/>
              <w:rPr>
                <w:color w:val="000000"/>
                <w:sz w:val="18"/>
                <w:szCs w:val="18"/>
              </w:rPr>
            </w:pPr>
            <w:r w:rsidRPr="000E6048">
              <w:rPr>
                <w:color w:val="000000"/>
                <w:sz w:val="18"/>
                <w:szCs w:val="18"/>
              </w:rPr>
              <w:t>Argentina</w:t>
            </w:r>
          </w:p>
        </w:tc>
        <w:tc>
          <w:tcPr>
            <w:tcW w:w="0" w:type="auto"/>
            <w:noWrap/>
            <w:hideMark/>
          </w:tcPr>
          <w:p w14:paraId="4F50F6EA"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701D48C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w:t>
            </w:r>
          </w:p>
        </w:tc>
        <w:tc>
          <w:tcPr>
            <w:tcW w:w="0" w:type="auto"/>
          </w:tcPr>
          <w:p w14:paraId="2E7D9EA2"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40A8B431"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B3ABF82" w14:textId="77777777" w:rsidR="001F4DDE" w:rsidRPr="000E6048" w:rsidRDefault="001F4DDE" w:rsidP="001F4DDE">
            <w:pPr>
              <w:contextualSpacing/>
              <w:rPr>
                <w:color w:val="000000"/>
                <w:sz w:val="18"/>
                <w:szCs w:val="18"/>
              </w:rPr>
            </w:pPr>
            <w:r w:rsidRPr="000E6048">
              <w:rPr>
                <w:color w:val="000000"/>
                <w:sz w:val="18"/>
                <w:szCs w:val="18"/>
              </w:rPr>
              <w:t>Australia</w:t>
            </w:r>
          </w:p>
        </w:tc>
        <w:tc>
          <w:tcPr>
            <w:tcW w:w="0" w:type="auto"/>
            <w:noWrap/>
            <w:hideMark/>
          </w:tcPr>
          <w:p w14:paraId="37D1A961"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015BCF3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3A288CA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Aberdeen Australia Equity Fund</w:t>
            </w:r>
          </w:p>
        </w:tc>
      </w:tr>
      <w:tr w:rsidR="001F4DDE" w:rsidRPr="000E6048" w14:paraId="5827A632"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31592B8" w14:textId="77777777" w:rsidR="001F4DDE" w:rsidRPr="000E6048" w:rsidRDefault="001F4DDE" w:rsidP="001F4DDE">
            <w:pPr>
              <w:contextualSpacing/>
              <w:rPr>
                <w:color w:val="000000"/>
                <w:sz w:val="18"/>
                <w:szCs w:val="18"/>
              </w:rPr>
            </w:pPr>
            <w:r w:rsidRPr="000E6048">
              <w:rPr>
                <w:color w:val="000000"/>
                <w:sz w:val="18"/>
                <w:szCs w:val="18"/>
              </w:rPr>
              <w:t>Austria</w:t>
            </w:r>
          </w:p>
        </w:tc>
        <w:tc>
          <w:tcPr>
            <w:tcW w:w="0" w:type="auto"/>
            <w:noWrap/>
            <w:hideMark/>
          </w:tcPr>
          <w:p w14:paraId="0DAA6B4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5DE2FCE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680D0FE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57119F36"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41FBC7C" w14:textId="77777777" w:rsidR="001F4DDE" w:rsidRPr="000E6048" w:rsidRDefault="001F4DDE" w:rsidP="001F4DDE">
            <w:pPr>
              <w:contextualSpacing/>
              <w:rPr>
                <w:color w:val="000000"/>
                <w:sz w:val="18"/>
                <w:szCs w:val="18"/>
              </w:rPr>
            </w:pPr>
            <w:r w:rsidRPr="000E6048">
              <w:rPr>
                <w:color w:val="000000"/>
                <w:sz w:val="18"/>
                <w:szCs w:val="18"/>
              </w:rPr>
              <w:t>Belgium</w:t>
            </w:r>
          </w:p>
        </w:tc>
        <w:tc>
          <w:tcPr>
            <w:tcW w:w="0" w:type="auto"/>
            <w:noWrap/>
            <w:hideMark/>
          </w:tcPr>
          <w:p w14:paraId="508E9F3D"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0A7FB7DD"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60BD3E7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5D8199C9"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A15C7DD" w14:textId="77777777" w:rsidR="001F4DDE" w:rsidRPr="000E6048" w:rsidRDefault="001F4DDE" w:rsidP="001F4DDE">
            <w:pPr>
              <w:contextualSpacing/>
              <w:rPr>
                <w:color w:val="000000"/>
                <w:sz w:val="18"/>
                <w:szCs w:val="18"/>
              </w:rPr>
            </w:pPr>
            <w:r w:rsidRPr="000E6048">
              <w:rPr>
                <w:color w:val="000000"/>
                <w:sz w:val="18"/>
                <w:szCs w:val="18"/>
              </w:rPr>
              <w:t>Canada</w:t>
            </w:r>
          </w:p>
        </w:tc>
        <w:tc>
          <w:tcPr>
            <w:tcW w:w="0" w:type="auto"/>
            <w:noWrap/>
            <w:hideMark/>
          </w:tcPr>
          <w:p w14:paraId="10A13CA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14A1BF6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1C394E68"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7B03C8EF"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FF5A217" w14:textId="77777777" w:rsidR="001F4DDE" w:rsidRPr="000E6048" w:rsidRDefault="001F4DDE" w:rsidP="001F4DDE">
            <w:pPr>
              <w:contextualSpacing/>
              <w:rPr>
                <w:color w:val="000000"/>
                <w:sz w:val="18"/>
                <w:szCs w:val="18"/>
              </w:rPr>
            </w:pPr>
            <w:r w:rsidRPr="000E6048">
              <w:rPr>
                <w:color w:val="000000"/>
                <w:sz w:val="18"/>
                <w:szCs w:val="18"/>
              </w:rPr>
              <w:t>Denmark</w:t>
            </w:r>
          </w:p>
        </w:tc>
        <w:tc>
          <w:tcPr>
            <w:tcW w:w="0" w:type="auto"/>
            <w:noWrap/>
            <w:hideMark/>
          </w:tcPr>
          <w:p w14:paraId="1D581FAE"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58C4091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w:t>
            </w:r>
          </w:p>
        </w:tc>
        <w:tc>
          <w:tcPr>
            <w:tcW w:w="0" w:type="auto"/>
          </w:tcPr>
          <w:p w14:paraId="739D77A4"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5A72091B"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B406A7D" w14:textId="77777777" w:rsidR="001F4DDE" w:rsidRPr="000E6048" w:rsidRDefault="001F4DDE" w:rsidP="001F4DDE">
            <w:pPr>
              <w:contextualSpacing/>
              <w:rPr>
                <w:color w:val="000000"/>
                <w:sz w:val="18"/>
                <w:szCs w:val="18"/>
              </w:rPr>
            </w:pPr>
            <w:r w:rsidRPr="000E6048">
              <w:rPr>
                <w:color w:val="000000"/>
                <w:sz w:val="18"/>
                <w:szCs w:val="18"/>
              </w:rPr>
              <w:t>Finland</w:t>
            </w:r>
          </w:p>
        </w:tc>
        <w:tc>
          <w:tcPr>
            <w:tcW w:w="0" w:type="auto"/>
            <w:noWrap/>
            <w:hideMark/>
          </w:tcPr>
          <w:p w14:paraId="51422C61"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72AD5F7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w:t>
            </w:r>
          </w:p>
        </w:tc>
        <w:tc>
          <w:tcPr>
            <w:tcW w:w="0" w:type="auto"/>
          </w:tcPr>
          <w:p w14:paraId="0033B34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3970F093"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3D427E0" w14:textId="77777777" w:rsidR="001F4DDE" w:rsidRPr="000E6048" w:rsidRDefault="001F4DDE" w:rsidP="001F4DDE">
            <w:pPr>
              <w:contextualSpacing/>
              <w:rPr>
                <w:color w:val="000000"/>
                <w:sz w:val="18"/>
                <w:szCs w:val="18"/>
              </w:rPr>
            </w:pPr>
            <w:r w:rsidRPr="000E6048">
              <w:rPr>
                <w:color w:val="000000"/>
                <w:sz w:val="18"/>
                <w:szCs w:val="18"/>
              </w:rPr>
              <w:t>France</w:t>
            </w:r>
          </w:p>
        </w:tc>
        <w:tc>
          <w:tcPr>
            <w:tcW w:w="0" w:type="auto"/>
            <w:noWrap/>
            <w:hideMark/>
          </w:tcPr>
          <w:p w14:paraId="5D0AA72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7CBB306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343D9459"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0CF9C63C"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CCA13DD" w14:textId="77777777" w:rsidR="001F4DDE" w:rsidRPr="000E6048" w:rsidRDefault="001F4DDE" w:rsidP="001F4DDE">
            <w:pPr>
              <w:contextualSpacing/>
              <w:rPr>
                <w:color w:val="000000"/>
                <w:sz w:val="18"/>
                <w:szCs w:val="18"/>
              </w:rPr>
            </w:pPr>
            <w:r w:rsidRPr="000E6048">
              <w:rPr>
                <w:color w:val="000000"/>
                <w:sz w:val="18"/>
                <w:szCs w:val="18"/>
              </w:rPr>
              <w:t>Germany</w:t>
            </w:r>
          </w:p>
        </w:tc>
        <w:tc>
          <w:tcPr>
            <w:tcW w:w="0" w:type="auto"/>
            <w:noWrap/>
            <w:hideMark/>
          </w:tcPr>
          <w:p w14:paraId="2F68E4A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661956BA"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7520F8E8"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New Germany Fund</w:t>
            </w:r>
          </w:p>
        </w:tc>
      </w:tr>
      <w:tr w:rsidR="001F4DDE" w:rsidRPr="000E6048" w14:paraId="45811332"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5369947" w14:textId="77777777" w:rsidR="001F4DDE" w:rsidRPr="000E6048" w:rsidRDefault="001F4DDE" w:rsidP="001F4DDE">
            <w:pPr>
              <w:contextualSpacing/>
              <w:rPr>
                <w:color w:val="000000"/>
                <w:sz w:val="18"/>
                <w:szCs w:val="18"/>
              </w:rPr>
            </w:pPr>
            <w:r w:rsidRPr="000E6048">
              <w:rPr>
                <w:color w:val="000000"/>
                <w:sz w:val="18"/>
                <w:szCs w:val="18"/>
              </w:rPr>
              <w:t>Hong Kong</w:t>
            </w:r>
          </w:p>
        </w:tc>
        <w:tc>
          <w:tcPr>
            <w:tcW w:w="0" w:type="auto"/>
            <w:noWrap/>
            <w:hideMark/>
          </w:tcPr>
          <w:p w14:paraId="7AA31C72"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5E87319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0385F7D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Greater China Fund</w:t>
            </w:r>
          </w:p>
        </w:tc>
      </w:tr>
      <w:tr w:rsidR="001F4DDE" w:rsidRPr="000E6048" w14:paraId="314283FA"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3CA5230" w14:textId="77777777" w:rsidR="001F4DDE" w:rsidRPr="000E6048" w:rsidRDefault="001F4DDE" w:rsidP="001F4DDE">
            <w:pPr>
              <w:contextualSpacing/>
              <w:rPr>
                <w:color w:val="000000"/>
                <w:sz w:val="18"/>
                <w:szCs w:val="18"/>
              </w:rPr>
            </w:pPr>
            <w:r w:rsidRPr="000E6048">
              <w:rPr>
                <w:color w:val="000000"/>
                <w:sz w:val="18"/>
                <w:szCs w:val="18"/>
              </w:rPr>
              <w:t>Ireland</w:t>
            </w:r>
          </w:p>
        </w:tc>
        <w:tc>
          <w:tcPr>
            <w:tcW w:w="0" w:type="auto"/>
            <w:noWrap/>
            <w:hideMark/>
          </w:tcPr>
          <w:p w14:paraId="03BFB9E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6D4CA5AB"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w:t>
            </w:r>
          </w:p>
        </w:tc>
        <w:tc>
          <w:tcPr>
            <w:tcW w:w="0" w:type="auto"/>
          </w:tcPr>
          <w:p w14:paraId="307C728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New Ireland Fund</w:t>
            </w:r>
          </w:p>
        </w:tc>
      </w:tr>
      <w:tr w:rsidR="001F4DDE" w:rsidRPr="000E6048" w14:paraId="27DF29DF"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FCDECFA" w14:textId="77777777" w:rsidR="001F4DDE" w:rsidRPr="000E6048" w:rsidRDefault="001F4DDE" w:rsidP="001F4DDE">
            <w:pPr>
              <w:contextualSpacing/>
              <w:rPr>
                <w:color w:val="000000"/>
                <w:sz w:val="18"/>
                <w:szCs w:val="18"/>
              </w:rPr>
            </w:pPr>
            <w:r w:rsidRPr="000E6048">
              <w:rPr>
                <w:color w:val="000000"/>
                <w:sz w:val="18"/>
                <w:szCs w:val="18"/>
              </w:rPr>
              <w:t>Israel</w:t>
            </w:r>
          </w:p>
        </w:tc>
        <w:tc>
          <w:tcPr>
            <w:tcW w:w="0" w:type="auto"/>
            <w:noWrap/>
            <w:hideMark/>
          </w:tcPr>
          <w:p w14:paraId="7A0926E2"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4C2593CD"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58A4084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Aberdeen Israel Fund</w:t>
            </w:r>
          </w:p>
        </w:tc>
      </w:tr>
      <w:tr w:rsidR="001F4DDE" w:rsidRPr="000E6048" w14:paraId="7D305FE4"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75616D2" w14:textId="77777777" w:rsidR="001F4DDE" w:rsidRPr="000E6048" w:rsidRDefault="001F4DDE" w:rsidP="001F4DDE">
            <w:pPr>
              <w:contextualSpacing/>
              <w:rPr>
                <w:color w:val="000000"/>
                <w:sz w:val="18"/>
                <w:szCs w:val="18"/>
              </w:rPr>
            </w:pPr>
            <w:r w:rsidRPr="000E6048">
              <w:rPr>
                <w:color w:val="000000"/>
                <w:sz w:val="18"/>
                <w:szCs w:val="18"/>
              </w:rPr>
              <w:t>Italy</w:t>
            </w:r>
          </w:p>
        </w:tc>
        <w:tc>
          <w:tcPr>
            <w:tcW w:w="0" w:type="auto"/>
            <w:noWrap/>
            <w:hideMark/>
          </w:tcPr>
          <w:p w14:paraId="7CB642B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772A4ACE"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w:t>
            </w:r>
          </w:p>
        </w:tc>
        <w:tc>
          <w:tcPr>
            <w:tcW w:w="0" w:type="auto"/>
          </w:tcPr>
          <w:p w14:paraId="2C84C96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4BE6F6D5"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3DBB35A" w14:textId="77777777" w:rsidR="001F4DDE" w:rsidRPr="000E6048" w:rsidRDefault="001F4DDE" w:rsidP="001F4DDE">
            <w:pPr>
              <w:contextualSpacing/>
              <w:rPr>
                <w:color w:val="000000"/>
                <w:sz w:val="18"/>
                <w:szCs w:val="18"/>
              </w:rPr>
            </w:pPr>
            <w:r w:rsidRPr="000E6048">
              <w:rPr>
                <w:color w:val="000000"/>
                <w:sz w:val="18"/>
                <w:szCs w:val="18"/>
              </w:rPr>
              <w:t>Japan</w:t>
            </w:r>
          </w:p>
        </w:tc>
        <w:tc>
          <w:tcPr>
            <w:tcW w:w="0" w:type="auto"/>
            <w:noWrap/>
            <w:hideMark/>
          </w:tcPr>
          <w:p w14:paraId="5E7C518B"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62513722"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10</w:t>
            </w:r>
          </w:p>
        </w:tc>
        <w:tc>
          <w:tcPr>
            <w:tcW w:w="0" w:type="auto"/>
          </w:tcPr>
          <w:p w14:paraId="60BCF3E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Japan Equity Fund</w:t>
            </w:r>
          </w:p>
        </w:tc>
      </w:tr>
      <w:tr w:rsidR="001F4DDE" w:rsidRPr="000E6048" w14:paraId="074B63B8"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6982F81" w14:textId="77777777" w:rsidR="001F4DDE" w:rsidRPr="000E6048" w:rsidRDefault="001F4DDE" w:rsidP="001F4DDE">
            <w:pPr>
              <w:contextualSpacing/>
              <w:rPr>
                <w:color w:val="000000"/>
                <w:sz w:val="18"/>
                <w:szCs w:val="18"/>
              </w:rPr>
            </w:pPr>
            <w:r w:rsidRPr="000E6048">
              <w:rPr>
                <w:color w:val="000000"/>
                <w:sz w:val="18"/>
                <w:szCs w:val="18"/>
              </w:rPr>
              <w:t>Netherlands</w:t>
            </w:r>
          </w:p>
        </w:tc>
        <w:tc>
          <w:tcPr>
            <w:tcW w:w="0" w:type="auto"/>
            <w:noWrap/>
            <w:hideMark/>
          </w:tcPr>
          <w:p w14:paraId="476357CE"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492C621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w:t>
            </w:r>
          </w:p>
        </w:tc>
        <w:tc>
          <w:tcPr>
            <w:tcW w:w="0" w:type="auto"/>
          </w:tcPr>
          <w:p w14:paraId="46BACCB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4DED88B9"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23D2CE8" w14:textId="77777777" w:rsidR="001F4DDE" w:rsidRPr="000E6048" w:rsidRDefault="001F4DDE" w:rsidP="001F4DDE">
            <w:pPr>
              <w:contextualSpacing/>
              <w:rPr>
                <w:color w:val="000000"/>
                <w:sz w:val="18"/>
                <w:szCs w:val="18"/>
              </w:rPr>
            </w:pPr>
            <w:r w:rsidRPr="000E6048">
              <w:rPr>
                <w:color w:val="000000"/>
                <w:sz w:val="18"/>
                <w:szCs w:val="18"/>
              </w:rPr>
              <w:t>New Zealand</w:t>
            </w:r>
          </w:p>
        </w:tc>
        <w:tc>
          <w:tcPr>
            <w:tcW w:w="0" w:type="auto"/>
            <w:hideMark/>
          </w:tcPr>
          <w:p w14:paraId="2FF0C0C9"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4220A64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w:t>
            </w:r>
          </w:p>
        </w:tc>
        <w:tc>
          <w:tcPr>
            <w:tcW w:w="0" w:type="auto"/>
          </w:tcPr>
          <w:p w14:paraId="7997C1AA"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591C8DE4"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CA305B0" w14:textId="77777777" w:rsidR="001F4DDE" w:rsidRPr="000E6048" w:rsidRDefault="001F4DDE" w:rsidP="001F4DDE">
            <w:pPr>
              <w:contextualSpacing/>
              <w:rPr>
                <w:color w:val="000000"/>
                <w:sz w:val="18"/>
                <w:szCs w:val="18"/>
              </w:rPr>
            </w:pPr>
            <w:r w:rsidRPr="000E6048">
              <w:rPr>
                <w:color w:val="000000"/>
                <w:sz w:val="18"/>
                <w:szCs w:val="18"/>
              </w:rPr>
              <w:t>Portugal</w:t>
            </w:r>
          </w:p>
        </w:tc>
        <w:tc>
          <w:tcPr>
            <w:tcW w:w="0" w:type="auto"/>
            <w:noWrap/>
            <w:hideMark/>
          </w:tcPr>
          <w:p w14:paraId="051DFAA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6A2641C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w:t>
            </w:r>
          </w:p>
        </w:tc>
        <w:tc>
          <w:tcPr>
            <w:tcW w:w="0" w:type="auto"/>
          </w:tcPr>
          <w:p w14:paraId="58B5FFA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6131750B"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77C4BD4" w14:textId="77777777" w:rsidR="001F4DDE" w:rsidRPr="000E6048" w:rsidRDefault="001F4DDE" w:rsidP="001F4DDE">
            <w:pPr>
              <w:contextualSpacing/>
              <w:rPr>
                <w:color w:val="000000"/>
                <w:sz w:val="18"/>
                <w:szCs w:val="18"/>
              </w:rPr>
            </w:pPr>
            <w:r w:rsidRPr="000E6048">
              <w:rPr>
                <w:color w:val="000000"/>
                <w:sz w:val="18"/>
                <w:szCs w:val="18"/>
              </w:rPr>
              <w:t>Singapore</w:t>
            </w:r>
          </w:p>
        </w:tc>
        <w:tc>
          <w:tcPr>
            <w:tcW w:w="0" w:type="auto"/>
            <w:noWrap/>
            <w:hideMark/>
          </w:tcPr>
          <w:p w14:paraId="3675E25A"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63796478"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43103E4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Singapore Fund</w:t>
            </w:r>
          </w:p>
        </w:tc>
      </w:tr>
      <w:tr w:rsidR="001F4DDE" w:rsidRPr="000E6048" w14:paraId="7D44EF05"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16405A1" w14:textId="77777777" w:rsidR="001F4DDE" w:rsidRPr="000E6048" w:rsidRDefault="001F4DDE" w:rsidP="001F4DDE">
            <w:pPr>
              <w:contextualSpacing/>
              <w:rPr>
                <w:color w:val="000000"/>
                <w:sz w:val="18"/>
                <w:szCs w:val="18"/>
              </w:rPr>
            </w:pPr>
            <w:r w:rsidRPr="000E6048">
              <w:rPr>
                <w:color w:val="000000"/>
                <w:sz w:val="18"/>
                <w:szCs w:val="18"/>
              </w:rPr>
              <w:t>Spain</w:t>
            </w:r>
          </w:p>
        </w:tc>
        <w:tc>
          <w:tcPr>
            <w:tcW w:w="0" w:type="auto"/>
            <w:noWrap/>
            <w:hideMark/>
          </w:tcPr>
          <w:p w14:paraId="3538DB2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613BABE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w:t>
            </w:r>
          </w:p>
        </w:tc>
        <w:tc>
          <w:tcPr>
            <w:tcW w:w="0" w:type="auto"/>
          </w:tcPr>
          <w:p w14:paraId="493E7CC2"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49AF8C00"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8929D22" w14:textId="77777777" w:rsidR="001F4DDE" w:rsidRPr="000E6048" w:rsidRDefault="001F4DDE" w:rsidP="001F4DDE">
            <w:pPr>
              <w:contextualSpacing/>
              <w:rPr>
                <w:color w:val="000000"/>
                <w:sz w:val="18"/>
                <w:szCs w:val="18"/>
              </w:rPr>
            </w:pPr>
            <w:r w:rsidRPr="000E6048">
              <w:rPr>
                <w:color w:val="000000"/>
                <w:sz w:val="18"/>
                <w:szCs w:val="18"/>
              </w:rPr>
              <w:t>Sweden</w:t>
            </w:r>
          </w:p>
        </w:tc>
        <w:tc>
          <w:tcPr>
            <w:tcW w:w="0" w:type="auto"/>
            <w:noWrap/>
            <w:hideMark/>
          </w:tcPr>
          <w:p w14:paraId="0BA3072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085743C9"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w:t>
            </w:r>
          </w:p>
        </w:tc>
        <w:tc>
          <w:tcPr>
            <w:tcW w:w="0" w:type="auto"/>
          </w:tcPr>
          <w:p w14:paraId="16D021DB"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1D2189AD"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E9AB3BD" w14:textId="77777777" w:rsidR="001F4DDE" w:rsidRPr="000E6048" w:rsidRDefault="001F4DDE" w:rsidP="001F4DDE">
            <w:pPr>
              <w:contextualSpacing/>
              <w:rPr>
                <w:color w:val="000000"/>
                <w:sz w:val="18"/>
                <w:szCs w:val="18"/>
              </w:rPr>
            </w:pPr>
            <w:r w:rsidRPr="000E6048">
              <w:rPr>
                <w:color w:val="000000"/>
                <w:sz w:val="18"/>
                <w:szCs w:val="18"/>
              </w:rPr>
              <w:t>Switzerland</w:t>
            </w:r>
          </w:p>
        </w:tc>
        <w:tc>
          <w:tcPr>
            <w:tcW w:w="0" w:type="auto"/>
            <w:noWrap/>
            <w:hideMark/>
          </w:tcPr>
          <w:p w14:paraId="3FEE4E6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344278E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7524BAD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sz w:val="18"/>
                <w:szCs w:val="18"/>
              </w:rPr>
              <w:t xml:space="preserve">Swiss Helvetia Fund </w:t>
            </w:r>
          </w:p>
        </w:tc>
      </w:tr>
      <w:tr w:rsidR="001F4DDE" w:rsidRPr="000E6048" w14:paraId="4CD39A8F"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AAB8026" w14:textId="77777777" w:rsidR="001F4DDE" w:rsidRPr="000E6048" w:rsidRDefault="001F4DDE" w:rsidP="001F4DDE">
            <w:pPr>
              <w:contextualSpacing/>
              <w:rPr>
                <w:color w:val="000000"/>
                <w:sz w:val="18"/>
                <w:szCs w:val="18"/>
              </w:rPr>
            </w:pPr>
            <w:r w:rsidRPr="000E6048">
              <w:rPr>
                <w:color w:val="000000"/>
                <w:sz w:val="18"/>
                <w:szCs w:val="18"/>
              </w:rPr>
              <w:t>UK</w:t>
            </w:r>
          </w:p>
        </w:tc>
        <w:tc>
          <w:tcPr>
            <w:tcW w:w="0" w:type="auto"/>
            <w:noWrap/>
            <w:hideMark/>
          </w:tcPr>
          <w:p w14:paraId="1060048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4E9A76E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15</w:t>
            </w:r>
          </w:p>
        </w:tc>
        <w:tc>
          <w:tcPr>
            <w:tcW w:w="0" w:type="auto"/>
          </w:tcPr>
          <w:p w14:paraId="16D036D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2F6F7FEE"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CDD4759" w14:textId="77777777" w:rsidR="001F4DDE" w:rsidRPr="00726191" w:rsidRDefault="001F4DDE" w:rsidP="001F4DDE">
            <w:pPr>
              <w:contextualSpacing/>
              <w:rPr>
                <w:bCs/>
                <w:i/>
                <w:color w:val="000000"/>
                <w:sz w:val="18"/>
                <w:szCs w:val="18"/>
              </w:rPr>
            </w:pPr>
            <w:r w:rsidRPr="00726191">
              <w:rPr>
                <w:bCs/>
                <w:i/>
                <w:color w:val="000000"/>
                <w:sz w:val="18"/>
                <w:szCs w:val="18"/>
              </w:rPr>
              <w:t>Emerging Markets</w:t>
            </w:r>
          </w:p>
        </w:tc>
        <w:tc>
          <w:tcPr>
            <w:tcW w:w="0" w:type="auto"/>
            <w:noWrap/>
            <w:hideMark/>
          </w:tcPr>
          <w:p w14:paraId="000714A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2AAFECC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3A1AC11E"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1BCC4C55"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38B93BE" w14:textId="77777777" w:rsidR="001F4DDE" w:rsidRPr="000E6048" w:rsidRDefault="001F4DDE" w:rsidP="001F4DDE">
            <w:pPr>
              <w:contextualSpacing/>
              <w:rPr>
                <w:color w:val="000000"/>
                <w:sz w:val="18"/>
                <w:szCs w:val="18"/>
              </w:rPr>
            </w:pPr>
            <w:r w:rsidRPr="000E6048">
              <w:rPr>
                <w:color w:val="000000"/>
                <w:sz w:val="18"/>
                <w:szCs w:val="18"/>
              </w:rPr>
              <w:t>Brazil</w:t>
            </w:r>
          </w:p>
        </w:tc>
        <w:tc>
          <w:tcPr>
            <w:tcW w:w="0" w:type="auto"/>
            <w:noWrap/>
            <w:hideMark/>
          </w:tcPr>
          <w:p w14:paraId="7CAFC865"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7EA7CBDD"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w:t>
            </w:r>
          </w:p>
        </w:tc>
        <w:tc>
          <w:tcPr>
            <w:tcW w:w="0" w:type="auto"/>
          </w:tcPr>
          <w:p w14:paraId="0644E33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3D028819"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7990C95" w14:textId="77777777" w:rsidR="001F4DDE" w:rsidRPr="000E6048" w:rsidRDefault="001F4DDE" w:rsidP="001F4DDE">
            <w:pPr>
              <w:contextualSpacing/>
              <w:rPr>
                <w:color w:val="000000"/>
                <w:sz w:val="18"/>
                <w:szCs w:val="18"/>
              </w:rPr>
            </w:pPr>
            <w:r w:rsidRPr="000E6048">
              <w:rPr>
                <w:color w:val="000000"/>
                <w:sz w:val="18"/>
                <w:szCs w:val="18"/>
              </w:rPr>
              <w:t>Chile</w:t>
            </w:r>
          </w:p>
        </w:tc>
        <w:tc>
          <w:tcPr>
            <w:tcW w:w="0" w:type="auto"/>
            <w:noWrap/>
            <w:hideMark/>
          </w:tcPr>
          <w:p w14:paraId="15847058"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14D6ACF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w:t>
            </w:r>
          </w:p>
        </w:tc>
        <w:tc>
          <w:tcPr>
            <w:tcW w:w="0" w:type="auto"/>
          </w:tcPr>
          <w:p w14:paraId="0AB781FD"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Aberdeen Chile Fund</w:t>
            </w:r>
          </w:p>
        </w:tc>
      </w:tr>
      <w:tr w:rsidR="001F4DDE" w:rsidRPr="000E6048" w14:paraId="3DEBCA89"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52C01F9" w14:textId="77777777" w:rsidR="001F4DDE" w:rsidRPr="000E6048" w:rsidRDefault="001F4DDE" w:rsidP="001F4DDE">
            <w:pPr>
              <w:contextualSpacing/>
              <w:rPr>
                <w:color w:val="000000"/>
                <w:sz w:val="18"/>
                <w:szCs w:val="18"/>
              </w:rPr>
            </w:pPr>
            <w:r w:rsidRPr="000E6048">
              <w:rPr>
                <w:color w:val="000000"/>
                <w:sz w:val="18"/>
                <w:szCs w:val="18"/>
              </w:rPr>
              <w:t>China</w:t>
            </w:r>
          </w:p>
        </w:tc>
        <w:tc>
          <w:tcPr>
            <w:tcW w:w="0" w:type="auto"/>
            <w:noWrap/>
            <w:hideMark/>
          </w:tcPr>
          <w:p w14:paraId="24546D99"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55FD4CA4"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7172030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China Fund</w:t>
            </w:r>
          </w:p>
        </w:tc>
      </w:tr>
      <w:tr w:rsidR="001F4DDE" w:rsidRPr="000E6048" w14:paraId="38F0EDF0"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9C5C842" w14:textId="77777777" w:rsidR="001F4DDE" w:rsidRPr="000E6048" w:rsidRDefault="001F4DDE" w:rsidP="001F4DDE">
            <w:pPr>
              <w:contextualSpacing/>
              <w:rPr>
                <w:color w:val="000000"/>
                <w:sz w:val="18"/>
                <w:szCs w:val="18"/>
              </w:rPr>
            </w:pPr>
            <w:r w:rsidRPr="000E6048">
              <w:rPr>
                <w:color w:val="000000"/>
                <w:sz w:val="18"/>
                <w:szCs w:val="18"/>
              </w:rPr>
              <w:t>Colombia</w:t>
            </w:r>
          </w:p>
        </w:tc>
        <w:tc>
          <w:tcPr>
            <w:tcW w:w="0" w:type="auto"/>
            <w:noWrap/>
            <w:hideMark/>
          </w:tcPr>
          <w:p w14:paraId="53A0415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45F6F394"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w:t>
            </w:r>
          </w:p>
        </w:tc>
        <w:tc>
          <w:tcPr>
            <w:tcW w:w="0" w:type="auto"/>
          </w:tcPr>
          <w:p w14:paraId="2DEB5A38"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37C2FD66"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DE4D0A1" w14:textId="77777777" w:rsidR="001F4DDE" w:rsidRPr="000E6048" w:rsidRDefault="001F4DDE" w:rsidP="001F4DDE">
            <w:pPr>
              <w:contextualSpacing/>
              <w:rPr>
                <w:color w:val="000000"/>
                <w:sz w:val="18"/>
                <w:szCs w:val="18"/>
              </w:rPr>
            </w:pPr>
            <w:r w:rsidRPr="000E6048">
              <w:rPr>
                <w:color w:val="000000"/>
                <w:sz w:val="18"/>
                <w:szCs w:val="18"/>
              </w:rPr>
              <w:t>India</w:t>
            </w:r>
          </w:p>
        </w:tc>
        <w:tc>
          <w:tcPr>
            <w:tcW w:w="0" w:type="auto"/>
            <w:noWrap/>
            <w:hideMark/>
          </w:tcPr>
          <w:p w14:paraId="1E246C0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76523E6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4C32110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India Fund</w:t>
            </w:r>
          </w:p>
        </w:tc>
      </w:tr>
      <w:tr w:rsidR="001F4DDE" w:rsidRPr="000E6048" w14:paraId="50BC3FD6"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E800812" w14:textId="77777777" w:rsidR="001F4DDE" w:rsidRPr="000E6048" w:rsidRDefault="001F4DDE" w:rsidP="001F4DDE">
            <w:pPr>
              <w:contextualSpacing/>
              <w:rPr>
                <w:color w:val="000000"/>
                <w:sz w:val="18"/>
                <w:szCs w:val="18"/>
              </w:rPr>
            </w:pPr>
            <w:r w:rsidRPr="000E6048">
              <w:rPr>
                <w:color w:val="000000"/>
                <w:sz w:val="18"/>
                <w:szCs w:val="18"/>
              </w:rPr>
              <w:t>Indonesia</w:t>
            </w:r>
          </w:p>
        </w:tc>
        <w:tc>
          <w:tcPr>
            <w:tcW w:w="0" w:type="auto"/>
            <w:noWrap/>
            <w:hideMark/>
          </w:tcPr>
          <w:p w14:paraId="20C2887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61F9DC4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498364BB"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Aberdeen Indonesia Fund</w:t>
            </w:r>
          </w:p>
        </w:tc>
      </w:tr>
      <w:tr w:rsidR="001F4DDE" w:rsidRPr="000E6048" w14:paraId="50815F3F"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0E9CFC7" w14:textId="77777777" w:rsidR="001F4DDE" w:rsidRPr="000E6048" w:rsidRDefault="001F4DDE" w:rsidP="001F4DDE">
            <w:pPr>
              <w:contextualSpacing/>
              <w:rPr>
                <w:color w:val="000000"/>
                <w:sz w:val="18"/>
                <w:szCs w:val="18"/>
              </w:rPr>
            </w:pPr>
            <w:r w:rsidRPr="000E6048">
              <w:rPr>
                <w:color w:val="000000"/>
                <w:sz w:val="18"/>
                <w:szCs w:val="18"/>
              </w:rPr>
              <w:t>Malaysia</w:t>
            </w:r>
          </w:p>
        </w:tc>
        <w:tc>
          <w:tcPr>
            <w:tcW w:w="0" w:type="auto"/>
            <w:noWrap/>
            <w:hideMark/>
          </w:tcPr>
          <w:p w14:paraId="04D4F9B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797D5F1C"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59B6AFC1"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Malaysia Fund</w:t>
            </w:r>
          </w:p>
        </w:tc>
      </w:tr>
      <w:tr w:rsidR="001F4DDE" w:rsidRPr="000E6048" w14:paraId="0DD4730A"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E2FCF74" w14:textId="77777777" w:rsidR="001F4DDE" w:rsidRPr="000E6048" w:rsidRDefault="001F4DDE" w:rsidP="001F4DDE">
            <w:pPr>
              <w:contextualSpacing/>
              <w:rPr>
                <w:color w:val="000000"/>
                <w:sz w:val="18"/>
                <w:szCs w:val="18"/>
              </w:rPr>
            </w:pPr>
            <w:r w:rsidRPr="000E6048">
              <w:rPr>
                <w:color w:val="000000"/>
                <w:sz w:val="18"/>
                <w:szCs w:val="18"/>
              </w:rPr>
              <w:t>Mexico</w:t>
            </w:r>
          </w:p>
        </w:tc>
        <w:tc>
          <w:tcPr>
            <w:tcW w:w="0" w:type="auto"/>
            <w:hideMark/>
          </w:tcPr>
          <w:p w14:paraId="5B364744"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w:t>
            </w:r>
          </w:p>
        </w:tc>
        <w:tc>
          <w:tcPr>
            <w:tcW w:w="0" w:type="auto"/>
            <w:noWrap/>
            <w:hideMark/>
          </w:tcPr>
          <w:p w14:paraId="4C58E96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w:t>
            </w:r>
          </w:p>
        </w:tc>
        <w:tc>
          <w:tcPr>
            <w:tcW w:w="0" w:type="auto"/>
          </w:tcPr>
          <w:p w14:paraId="09FEC4E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Mexico Fund</w:t>
            </w:r>
          </w:p>
        </w:tc>
      </w:tr>
      <w:tr w:rsidR="001F4DDE" w:rsidRPr="000E6048" w14:paraId="42D9976E"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A4E050D" w14:textId="77777777" w:rsidR="001F4DDE" w:rsidRPr="000E6048" w:rsidRDefault="001F4DDE" w:rsidP="001F4DDE">
            <w:pPr>
              <w:contextualSpacing/>
              <w:rPr>
                <w:color w:val="000000"/>
                <w:sz w:val="18"/>
                <w:szCs w:val="18"/>
              </w:rPr>
            </w:pPr>
            <w:r w:rsidRPr="000E6048">
              <w:rPr>
                <w:color w:val="000000"/>
                <w:sz w:val="18"/>
                <w:szCs w:val="18"/>
              </w:rPr>
              <w:t>Philippines</w:t>
            </w:r>
          </w:p>
        </w:tc>
        <w:tc>
          <w:tcPr>
            <w:tcW w:w="0" w:type="auto"/>
            <w:hideMark/>
          </w:tcPr>
          <w:p w14:paraId="0E2482F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29C0FCE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w:t>
            </w:r>
          </w:p>
        </w:tc>
        <w:tc>
          <w:tcPr>
            <w:tcW w:w="0" w:type="auto"/>
          </w:tcPr>
          <w:p w14:paraId="6BB2BBC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2CE18921"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33958" w14:textId="77777777" w:rsidR="001F4DDE" w:rsidRPr="000E6048" w:rsidRDefault="001F4DDE" w:rsidP="001F4DDE">
            <w:pPr>
              <w:contextualSpacing/>
              <w:rPr>
                <w:color w:val="000000"/>
                <w:sz w:val="18"/>
                <w:szCs w:val="18"/>
              </w:rPr>
            </w:pPr>
            <w:r w:rsidRPr="000E6048">
              <w:rPr>
                <w:color w:val="000000"/>
                <w:sz w:val="18"/>
                <w:szCs w:val="18"/>
              </w:rPr>
              <w:t>Russia</w:t>
            </w:r>
          </w:p>
        </w:tc>
        <w:tc>
          <w:tcPr>
            <w:tcW w:w="0" w:type="auto"/>
            <w:hideMark/>
          </w:tcPr>
          <w:p w14:paraId="1B0BAB67"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29BB5E5E"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14200EB9"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Templeton Russia &amp; Eastern European Fund</w:t>
            </w:r>
          </w:p>
        </w:tc>
      </w:tr>
      <w:tr w:rsidR="001F4DDE" w:rsidRPr="000E6048" w14:paraId="1A66EEF9"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3567A1F" w14:textId="77777777" w:rsidR="001F4DDE" w:rsidRPr="000E6048" w:rsidRDefault="001F4DDE" w:rsidP="001F4DDE">
            <w:pPr>
              <w:contextualSpacing/>
              <w:rPr>
                <w:color w:val="000000"/>
                <w:sz w:val="18"/>
                <w:szCs w:val="18"/>
              </w:rPr>
            </w:pPr>
            <w:r w:rsidRPr="000E6048">
              <w:rPr>
                <w:color w:val="000000"/>
                <w:sz w:val="18"/>
                <w:szCs w:val="18"/>
              </w:rPr>
              <w:t>South Africa</w:t>
            </w:r>
          </w:p>
        </w:tc>
        <w:tc>
          <w:tcPr>
            <w:tcW w:w="0" w:type="auto"/>
            <w:hideMark/>
          </w:tcPr>
          <w:p w14:paraId="0797EDE1"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6A8D7274"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w:t>
            </w:r>
          </w:p>
        </w:tc>
        <w:tc>
          <w:tcPr>
            <w:tcW w:w="0" w:type="auto"/>
          </w:tcPr>
          <w:p w14:paraId="4F6CC24D"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0CE2BBED"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79EA889E" w14:textId="77777777" w:rsidR="001F4DDE" w:rsidRPr="000E6048" w:rsidRDefault="001F4DDE" w:rsidP="001F4DDE">
            <w:pPr>
              <w:contextualSpacing/>
              <w:rPr>
                <w:color w:val="000000"/>
                <w:sz w:val="18"/>
                <w:szCs w:val="18"/>
              </w:rPr>
            </w:pPr>
            <w:r w:rsidRPr="000E6048">
              <w:rPr>
                <w:color w:val="000000"/>
                <w:sz w:val="18"/>
                <w:szCs w:val="18"/>
              </w:rPr>
              <w:t>South Korea</w:t>
            </w:r>
          </w:p>
        </w:tc>
        <w:tc>
          <w:tcPr>
            <w:tcW w:w="0" w:type="auto"/>
          </w:tcPr>
          <w:p w14:paraId="3587FE26"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tcPr>
          <w:p w14:paraId="3D2DCF3F"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w:t>
            </w:r>
          </w:p>
        </w:tc>
        <w:tc>
          <w:tcPr>
            <w:tcW w:w="0" w:type="auto"/>
          </w:tcPr>
          <w:p w14:paraId="21747CC1"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Korea Fund</w:t>
            </w:r>
          </w:p>
        </w:tc>
      </w:tr>
      <w:tr w:rsidR="001F4DDE" w:rsidRPr="000E6048" w14:paraId="4E351771"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1503555" w14:textId="77777777" w:rsidR="001F4DDE" w:rsidRPr="000E6048" w:rsidRDefault="001F4DDE" w:rsidP="001F4DDE">
            <w:pPr>
              <w:contextualSpacing/>
              <w:rPr>
                <w:color w:val="000000"/>
                <w:sz w:val="18"/>
                <w:szCs w:val="18"/>
              </w:rPr>
            </w:pPr>
            <w:r w:rsidRPr="000E6048">
              <w:rPr>
                <w:color w:val="000000"/>
                <w:sz w:val="18"/>
                <w:szCs w:val="18"/>
              </w:rPr>
              <w:t>Taiwan</w:t>
            </w:r>
          </w:p>
        </w:tc>
        <w:tc>
          <w:tcPr>
            <w:tcW w:w="0" w:type="auto"/>
            <w:hideMark/>
          </w:tcPr>
          <w:p w14:paraId="2D1AED99"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7D19D9D3"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63C66C49"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Taiwan Fund</w:t>
            </w:r>
          </w:p>
        </w:tc>
      </w:tr>
      <w:tr w:rsidR="001F4DDE" w:rsidRPr="000E6048" w14:paraId="5EB9FED8"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5D12B9B" w14:textId="77777777" w:rsidR="001F4DDE" w:rsidRPr="000E6048" w:rsidRDefault="001F4DDE" w:rsidP="001F4DDE">
            <w:pPr>
              <w:contextualSpacing/>
              <w:rPr>
                <w:color w:val="000000"/>
                <w:sz w:val="18"/>
                <w:szCs w:val="18"/>
              </w:rPr>
            </w:pPr>
            <w:r w:rsidRPr="000E6048">
              <w:rPr>
                <w:color w:val="000000"/>
                <w:sz w:val="18"/>
                <w:szCs w:val="18"/>
              </w:rPr>
              <w:t>Thailand</w:t>
            </w:r>
          </w:p>
        </w:tc>
        <w:tc>
          <w:tcPr>
            <w:tcW w:w="0" w:type="auto"/>
            <w:hideMark/>
          </w:tcPr>
          <w:p w14:paraId="2482C62E"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47F9A9A1"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4FED53F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Thai Fund</w:t>
            </w:r>
          </w:p>
        </w:tc>
      </w:tr>
      <w:tr w:rsidR="001F4DDE" w:rsidRPr="000E6048" w14:paraId="39C77FF9" w14:textId="77777777" w:rsidTr="001000B2">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0728A73" w14:textId="77777777" w:rsidR="001F4DDE" w:rsidRPr="000E6048" w:rsidRDefault="001F4DDE" w:rsidP="001F4DDE">
            <w:pPr>
              <w:contextualSpacing/>
              <w:rPr>
                <w:color w:val="000000"/>
                <w:sz w:val="18"/>
                <w:szCs w:val="18"/>
              </w:rPr>
            </w:pPr>
            <w:r w:rsidRPr="000E6048">
              <w:rPr>
                <w:color w:val="000000"/>
                <w:sz w:val="18"/>
                <w:szCs w:val="18"/>
              </w:rPr>
              <w:t>Turkey</w:t>
            </w:r>
          </w:p>
        </w:tc>
        <w:tc>
          <w:tcPr>
            <w:tcW w:w="0" w:type="auto"/>
            <w:hideMark/>
          </w:tcPr>
          <w:p w14:paraId="6536196B"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hideMark/>
          </w:tcPr>
          <w:p w14:paraId="677A0E30"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507F2BFE" w14:textId="77777777" w:rsidR="001F4DDE" w:rsidRPr="000E6048" w:rsidRDefault="001F4DDE" w:rsidP="001F4DDE">
            <w:pPr>
              <w:contextualSpacing/>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Turkish Investment Fund</w:t>
            </w:r>
          </w:p>
        </w:tc>
      </w:tr>
    </w:tbl>
    <w:p w14:paraId="35853EFC" w14:textId="77777777" w:rsidR="001F4DDE" w:rsidRPr="000E6048" w:rsidRDefault="001F4DDE" w:rsidP="001F4DDE">
      <w:pPr>
        <w:spacing w:line="240" w:lineRule="auto"/>
        <w:ind w:right="2154"/>
        <w:rPr>
          <w:rFonts w:ascii="Times New Roman" w:hAnsi="Times New Roman"/>
          <w:sz w:val="18"/>
          <w:szCs w:val="18"/>
        </w:rPr>
      </w:pPr>
      <w:r w:rsidRPr="000E6048">
        <w:rPr>
          <w:rFonts w:ascii="Times New Roman" w:hAnsi="Times New Roman"/>
          <w:sz w:val="18"/>
          <w:szCs w:val="18"/>
        </w:rPr>
        <w:t xml:space="preserve">Notes: This table lists </w:t>
      </w:r>
      <w:r>
        <w:rPr>
          <w:rFonts w:ascii="Times New Roman" w:hAnsi="Times New Roman"/>
          <w:sz w:val="18"/>
          <w:szCs w:val="18"/>
        </w:rPr>
        <w:t xml:space="preserve">the number of ADRs for each country and </w:t>
      </w:r>
      <w:r w:rsidRPr="000E6048">
        <w:rPr>
          <w:rFonts w:ascii="Times New Roman" w:hAnsi="Times New Roman"/>
          <w:sz w:val="18"/>
          <w:szCs w:val="18"/>
        </w:rPr>
        <w:t xml:space="preserve">whether an </w:t>
      </w:r>
      <w:proofErr w:type="spellStart"/>
      <w:r w:rsidRPr="000E6048">
        <w:rPr>
          <w:rFonts w:ascii="Times New Roman" w:hAnsi="Times New Roman"/>
          <w:sz w:val="18"/>
          <w:szCs w:val="18"/>
        </w:rPr>
        <w:t>iShare</w:t>
      </w:r>
      <w:proofErr w:type="spellEnd"/>
      <w:r w:rsidRPr="000E6048">
        <w:rPr>
          <w:rFonts w:ascii="Times New Roman" w:hAnsi="Times New Roman"/>
          <w:sz w:val="18"/>
          <w:szCs w:val="18"/>
        </w:rPr>
        <w:t xml:space="preserve"> or CCF exists for </w:t>
      </w:r>
      <w:r>
        <w:rPr>
          <w:rFonts w:ascii="Times New Roman" w:hAnsi="Times New Roman"/>
          <w:sz w:val="18"/>
          <w:szCs w:val="18"/>
        </w:rPr>
        <w:t>each country</w:t>
      </w:r>
      <w:r w:rsidRPr="000E6048">
        <w:rPr>
          <w:rFonts w:ascii="Times New Roman" w:hAnsi="Times New Roman"/>
          <w:sz w:val="18"/>
          <w:szCs w:val="18"/>
        </w:rPr>
        <w:t xml:space="preserve">.  Only countries for which either an ADR, </w:t>
      </w:r>
      <w:proofErr w:type="spellStart"/>
      <w:r w:rsidRPr="000E6048">
        <w:rPr>
          <w:rFonts w:ascii="Times New Roman" w:hAnsi="Times New Roman"/>
          <w:sz w:val="18"/>
          <w:szCs w:val="18"/>
        </w:rPr>
        <w:t>iShare</w:t>
      </w:r>
      <w:proofErr w:type="spellEnd"/>
      <w:r w:rsidRPr="000E6048">
        <w:rPr>
          <w:rFonts w:ascii="Times New Roman" w:hAnsi="Times New Roman"/>
          <w:sz w:val="18"/>
          <w:szCs w:val="18"/>
        </w:rPr>
        <w:t xml:space="preserve"> or CCF exists are included</w:t>
      </w:r>
      <w:r>
        <w:rPr>
          <w:rFonts w:ascii="Times New Roman" w:hAnsi="Times New Roman"/>
          <w:sz w:val="18"/>
          <w:szCs w:val="18"/>
        </w:rPr>
        <w:t xml:space="preserve"> in the dataset</w:t>
      </w:r>
      <w:r w:rsidRPr="000E6048">
        <w:rPr>
          <w:rFonts w:ascii="Times New Roman" w:hAnsi="Times New Roman"/>
          <w:sz w:val="18"/>
          <w:szCs w:val="18"/>
        </w:rPr>
        <w:t>.</w:t>
      </w:r>
    </w:p>
    <w:p w14:paraId="53CE26FB" w14:textId="77777777" w:rsidR="00371639" w:rsidRDefault="00371639">
      <w:pPr>
        <w:rPr>
          <w:rFonts w:asciiTheme="majorHAnsi" w:eastAsiaTheme="majorEastAsia" w:hAnsiTheme="majorHAnsi" w:cstheme="majorBidi"/>
          <w:b/>
          <w:bCs/>
          <w:color w:val="4F81BD" w:themeColor="accent1"/>
          <w:sz w:val="26"/>
          <w:szCs w:val="26"/>
        </w:rPr>
      </w:pPr>
      <w:r>
        <w:br w:type="page"/>
      </w:r>
    </w:p>
    <w:p w14:paraId="26BA586E" w14:textId="77777777" w:rsidR="001F4DDE" w:rsidRPr="000E6048" w:rsidRDefault="008E6C2C" w:rsidP="005817F4">
      <w:pPr>
        <w:pStyle w:val="Caption"/>
      </w:pPr>
      <w:bookmarkStart w:id="9" w:name="_Ref384642968"/>
      <w:bookmarkStart w:id="10" w:name="_Toc383428902"/>
      <w:r>
        <w:lastRenderedPageBreak/>
        <w:t xml:space="preserve">Table </w:t>
      </w:r>
      <w:r w:rsidR="00CD4B7C">
        <w:fldChar w:fldCharType="begin"/>
      </w:r>
      <w:r w:rsidR="00CD4B7C">
        <w:instrText xml:space="preserve"> SEQ Table \* ARABIC </w:instrText>
      </w:r>
      <w:r w:rsidR="00CD4B7C">
        <w:fldChar w:fldCharType="separate"/>
      </w:r>
      <w:r w:rsidR="00FA671B">
        <w:rPr>
          <w:noProof/>
        </w:rPr>
        <w:t>3</w:t>
      </w:r>
      <w:r w:rsidR="00CD4B7C">
        <w:rPr>
          <w:noProof/>
        </w:rPr>
        <w:fldChar w:fldCharType="end"/>
      </w:r>
      <w:bookmarkEnd w:id="9"/>
      <w:r>
        <w:t xml:space="preserve"> </w:t>
      </w:r>
      <w:r w:rsidR="001F4DDE" w:rsidRPr="007C224E">
        <w:t>Average</w:t>
      </w:r>
      <w:r w:rsidR="001F4DDE" w:rsidRPr="000E6048">
        <w:t xml:space="preserve"> Compositions of Replicating Portfolios</w:t>
      </w:r>
      <w:bookmarkEnd w:id="10"/>
    </w:p>
    <w:tbl>
      <w:tblPr>
        <w:tblStyle w:val="TableClassic1"/>
        <w:tblW w:w="0" w:type="auto"/>
        <w:tblLook w:val="06A0" w:firstRow="1" w:lastRow="0" w:firstColumn="1" w:lastColumn="0" w:noHBand="1" w:noVBand="1"/>
      </w:tblPr>
      <w:tblGrid>
        <w:gridCol w:w="1981"/>
        <w:gridCol w:w="1621"/>
        <w:gridCol w:w="1561"/>
      </w:tblGrid>
      <w:tr w:rsidR="001F4DDE" w:rsidRPr="000E6048" w14:paraId="18A5F73E" w14:textId="77777777" w:rsidTr="00DC70A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55DF475B" w14:textId="77777777" w:rsidR="001F4DDE" w:rsidRPr="000E6048" w:rsidRDefault="001F4DDE" w:rsidP="001F4DDE">
            <w:pPr>
              <w:rPr>
                <w:color w:val="000000"/>
                <w:sz w:val="18"/>
                <w:szCs w:val="18"/>
              </w:rPr>
            </w:pPr>
          </w:p>
        </w:tc>
        <w:tc>
          <w:tcPr>
            <w:tcW w:w="0" w:type="auto"/>
            <w:tcBorders>
              <w:bottom w:val="single" w:sz="4" w:space="0" w:color="auto"/>
            </w:tcBorders>
            <w:noWrap/>
            <w:hideMark/>
          </w:tcPr>
          <w:p w14:paraId="71C14E44" w14:textId="77777777" w:rsidR="001F4DDE" w:rsidRPr="000E6048" w:rsidRDefault="001F4DDE" w:rsidP="001F4DDE">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Developed Markets</w:t>
            </w:r>
          </w:p>
        </w:tc>
        <w:tc>
          <w:tcPr>
            <w:tcW w:w="0" w:type="auto"/>
            <w:tcBorders>
              <w:bottom w:val="single" w:sz="4" w:space="0" w:color="auto"/>
            </w:tcBorders>
            <w:noWrap/>
            <w:hideMark/>
          </w:tcPr>
          <w:p w14:paraId="1FE4693C" w14:textId="77777777" w:rsidR="001F4DDE" w:rsidRPr="000E6048" w:rsidRDefault="001F4DDE" w:rsidP="001F4DDE">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Emerging Markets</w:t>
            </w:r>
          </w:p>
        </w:tc>
      </w:tr>
      <w:tr w:rsidR="001F4DDE" w:rsidRPr="000E6048" w14:paraId="647B77BA"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single" w:sz="4" w:space="0" w:color="auto"/>
              <w:right w:val="nil"/>
            </w:tcBorders>
            <w:noWrap/>
            <w:hideMark/>
          </w:tcPr>
          <w:p w14:paraId="320AD433" w14:textId="77777777" w:rsidR="001F4DDE" w:rsidRPr="000E6048" w:rsidRDefault="001F4DDE" w:rsidP="001F4DDE">
            <w:pPr>
              <w:rPr>
                <w:color w:val="000000"/>
                <w:sz w:val="18"/>
                <w:szCs w:val="18"/>
              </w:rPr>
            </w:pPr>
            <w:r w:rsidRPr="000E6048">
              <w:rPr>
                <w:color w:val="000000"/>
                <w:sz w:val="18"/>
                <w:szCs w:val="18"/>
              </w:rPr>
              <w:t>D1</w:t>
            </w:r>
          </w:p>
        </w:tc>
      </w:tr>
      <w:tr w:rsidR="001F4DDE" w:rsidRPr="000E6048" w14:paraId="7828F8E9"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6FACF42F" w14:textId="77777777" w:rsidR="001F4DDE" w:rsidRPr="000E6048" w:rsidRDefault="001F4DDE" w:rsidP="001F4DDE">
            <w:pPr>
              <w:rPr>
                <w:color w:val="000000"/>
                <w:sz w:val="18"/>
                <w:szCs w:val="18"/>
              </w:rPr>
            </w:pPr>
            <w:r>
              <w:rPr>
                <w:color w:val="000000"/>
                <w:sz w:val="18"/>
                <w:szCs w:val="18"/>
              </w:rPr>
              <w:t>Consumer D</w:t>
            </w:r>
            <w:r w:rsidRPr="000E6048">
              <w:rPr>
                <w:color w:val="000000"/>
                <w:sz w:val="18"/>
                <w:szCs w:val="18"/>
              </w:rPr>
              <w:t>iscretionary</w:t>
            </w:r>
          </w:p>
        </w:tc>
        <w:tc>
          <w:tcPr>
            <w:tcW w:w="0" w:type="auto"/>
            <w:tcBorders>
              <w:top w:val="single" w:sz="4" w:space="0" w:color="auto"/>
            </w:tcBorders>
            <w:noWrap/>
            <w:vAlign w:val="bottom"/>
            <w:hideMark/>
          </w:tcPr>
          <w:p w14:paraId="59209234"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-4%</w:t>
            </w:r>
          </w:p>
        </w:tc>
        <w:tc>
          <w:tcPr>
            <w:tcW w:w="0" w:type="auto"/>
            <w:tcBorders>
              <w:top w:val="single" w:sz="4" w:space="0" w:color="auto"/>
            </w:tcBorders>
            <w:noWrap/>
            <w:vAlign w:val="bottom"/>
            <w:hideMark/>
          </w:tcPr>
          <w:p w14:paraId="5195BAB8"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0%</w:t>
            </w:r>
          </w:p>
        </w:tc>
      </w:tr>
      <w:tr w:rsidR="001F4DDE" w:rsidRPr="000E6048" w14:paraId="3D8A470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E1FB34" w14:textId="77777777" w:rsidR="001F4DDE" w:rsidRPr="000E6048" w:rsidRDefault="001F4DDE" w:rsidP="001F4DDE">
            <w:pPr>
              <w:rPr>
                <w:color w:val="000000"/>
                <w:sz w:val="18"/>
                <w:szCs w:val="18"/>
              </w:rPr>
            </w:pPr>
            <w:r>
              <w:rPr>
                <w:color w:val="000000"/>
                <w:sz w:val="18"/>
                <w:szCs w:val="18"/>
              </w:rPr>
              <w:t>Consumer S</w:t>
            </w:r>
            <w:r w:rsidRPr="000E6048">
              <w:rPr>
                <w:color w:val="000000"/>
                <w:sz w:val="18"/>
                <w:szCs w:val="18"/>
              </w:rPr>
              <w:t>taples</w:t>
            </w:r>
          </w:p>
        </w:tc>
        <w:tc>
          <w:tcPr>
            <w:tcW w:w="0" w:type="auto"/>
            <w:noWrap/>
            <w:vAlign w:val="bottom"/>
            <w:hideMark/>
          </w:tcPr>
          <w:p w14:paraId="366EDDC5"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w:t>
            </w:r>
          </w:p>
        </w:tc>
        <w:tc>
          <w:tcPr>
            <w:tcW w:w="0" w:type="auto"/>
            <w:noWrap/>
            <w:vAlign w:val="bottom"/>
            <w:hideMark/>
          </w:tcPr>
          <w:p w14:paraId="563EAD46"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0%</w:t>
            </w:r>
          </w:p>
        </w:tc>
      </w:tr>
      <w:tr w:rsidR="001F4DDE" w:rsidRPr="000E6048" w14:paraId="79B41A2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D4716B" w14:textId="77777777" w:rsidR="001F4DDE" w:rsidRPr="000E6048" w:rsidRDefault="001F4DDE" w:rsidP="001F4DDE">
            <w:pPr>
              <w:rPr>
                <w:color w:val="000000"/>
                <w:sz w:val="18"/>
                <w:szCs w:val="18"/>
              </w:rPr>
            </w:pPr>
            <w:r w:rsidRPr="000E6048">
              <w:rPr>
                <w:color w:val="000000"/>
                <w:sz w:val="18"/>
                <w:szCs w:val="18"/>
              </w:rPr>
              <w:t>Energy</w:t>
            </w:r>
          </w:p>
        </w:tc>
        <w:tc>
          <w:tcPr>
            <w:tcW w:w="0" w:type="auto"/>
            <w:noWrap/>
            <w:vAlign w:val="bottom"/>
            <w:hideMark/>
          </w:tcPr>
          <w:p w14:paraId="7D1022CF"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12%</w:t>
            </w:r>
          </w:p>
        </w:tc>
        <w:tc>
          <w:tcPr>
            <w:tcW w:w="0" w:type="auto"/>
            <w:noWrap/>
            <w:vAlign w:val="bottom"/>
            <w:hideMark/>
          </w:tcPr>
          <w:p w14:paraId="6F1452A9"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8%</w:t>
            </w:r>
          </w:p>
        </w:tc>
      </w:tr>
      <w:tr w:rsidR="001F4DDE" w:rsidRPr="000E6048" w14:paraId="0C950EB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5C0E48" w14:textId="77777777" w:rsidR="001F4DDE" w:rsidRPr="000E6048" w:rsidRDefault="001F4DDE" w:rsidP="001F4DDE">
            <w:pPr>
              <w:rPr>
                <w:color w:val="000000"/>
                <w:sz w:val="18"/>
                <w:szCs w:val="18"/>
              </w:rPr>
            </w:pPr>
            <w:r w:rsidRPr="000E6048">
              <w:rPr>
                <w:color w:val="000000"/>
                <w:sz w:val="18"/>
                <w:szCs w:val="18"/>
              </w:rPr>
              <w:t>Financials</w:t>
            </w:r>
          </w:p>
        </w:tc>
        <w:tc>
          <w:tcPr>
            <w:tcW w:w="0" w:type="auto"/>
            <w:noWrap/>
            <w:vAlign w:val="bottom"/>
            <w:hideMark/>
          </w:tcPr>
          <w:p w14:paraId="1F9C97FB"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10%</w:t>
            </w:r>
          </w:p>
        </w:tc>
        <w:tc>
          <w:tcPr>
            <w:tcW w:w="0" w:type="auto"/>
            <w:noWrap/>
            <w:vAlign w:val="bottom"/>
            <w:hideMark/>
          </w:tcPr>
          <w:p w14:paraId="557F3806"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2%</w:t>
            </w:r>
          </w:p>
        </w:tc>
      </w:tr>
      <w:tr w:rsidR="001F4DDE" w:rsidRPr="000E6048" w14:paraId="27EE9C0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62D986" w14:textId="77777777" w:rsidR="001F4DDE" w:rsidRPr="000E6048" w:rsidRDefault="001F4DDE" w:rsidP="001F4DDE">
            <w:pPr>
              <w:rPr>
                <w:color w:val="000000"/>
                <w:sz w:val="18"/>
                <w:szCs w:val="18"/>
              </w:rPr>
            </w:pPr>
            <w:r w:rsidRPr="000E6048">
              <w:rPr>
                <w:color w:val="000000"/>
                <w:sz w:val="18"/>
                <w:szCs w:val="18"/>
              </w:rPr>
              <w:t>Healthcare</w:t>
            </w:r>
          </w:p>
        </w:tc>
        <w:tc>
          <w:tcPr>
            <w:tcW w:w="0" w:type="auto"/>
            <w:noWrap/>
            <w:vAlign w:val="bottom"/>
            <w:hideMark/>
          </w:tcPr>
          <w:p w14:paraId="643FCF5B"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0%</w:t>
            </w:r>
          </w:p>
        </w:tc>
        <w:tc>
          <w:tcPr>
            <w:tcW w:w="0" w:type="auto"/>
            <w:noWrap/>
            <w:vAlign w:val="bottom"/>
            <w:hideMark/>
          </w:tcPr>
          <w:p w14:paraId="7F02C28D"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w:t>
            </w:r>
          </w:p>
        </w:tc>
      </w:tr>
      <w:tr w:rsidR="001F4DDE" w:rsidRPr="000E6048" w14:paraId="4F1D18D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E47550" w14:textId="77777777" w:rsidR="001F4DDE" w:rsidRPr="000E6048" w:rsidRDefault="001F4DDE" w:rsidP="001F4DDE">
            <w:pPr>
              <w:rPr>
                <w:color w:val="000000"/>
                <w:sz w:val="18"/>
                <w:szCs w:val="18"/>
              </w:rPr>
            </w:pPr>
            <w:r w:rsidRPr="000E6048">
              <w:rPr>
                <w:color w:val="000000"/>
                <w:sz w:val="18"/>
                <w:szCs w:val="18"/>
              </w:rPr>
              <w:t>I.T.</w:t>
            </w:r>
          </w:p>
        </w:tc>
        <w:tc>
          <w:tcPr>
            <w:tcW w:w="0" w:type="auto"/>
            <w:noWrap/>
            <w:vAlign w:val="bottom"/>
            <w:hideMark/>
          </w:tcPr>
          <w:p w14:paraId="62753D73"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10%</w:t>
            </w:r>
          </w:p>
        </w:tc>
        <w:tc>
          <w:tcPr>
            <w:tcW w:w="0" w:type="auto"/>
            <w:noWrap/>
            <w:vAlign w:val="bottom"/>
            <w:hideMark/>
          </w:tcPr>
          <w:p w14:paraId="46C3583E"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14%</w:t>
            </w:r>
          </w:p>
        </w:tc>
      </w:tr>
      <w:tr w:rsidR="001F4DDE" w:rsidRPr="000E6048" w14:paraId="281A574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4ED389" w14:textId="77777777" w:rsidR="001F4DDE" w:rsidRPr="000E6048" w:rsidRDefault="001F4DDE" w:rsidP="001F4DDE">
            <w:pPr>
              <w:rPr>
                <w:color w:val="000000"/>
                <w:sz w:val="18"/>
                <w:szCs w:val="18"/>
              </w:rPr>
            </w:pPr>
            <w:r w:rsidRPr="000E6048">
              <w:rPr>
                <w:color w:val="000000"/>
                <w:sz w:val="18"/>
                <w:szCs w:val="18"/>
              </w:rPr>
              <w:t>Industrials</w:t>
            </w:r>
          </w:p>
        </w:tc>
        <w:tc>
          <w:tcPr>
            <w:tcW w:w="0" w:type="auto"/>
            <w:noWrap/>
            <w:vAlign w:val="bottom"/>
            <w:hideMark/>
          </w:tcPr>
          <w:p w14:paraId="2D160A09"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0%</w:t>
            </w:r>
          </w:p>
        </w:tc>
        <w:tc>
          <w:tcPr>
            <w:tcW w:w="0" w:type="auto"/>
            <w:noWrap/>
            <w:vAlign w:val="bottom"/>
            <w:hideMark/>
          </w:tcPr>
          <w:p w14:paraId="418BB7E3"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-4%</w:t>
            </w:r>
          </w:p>
        </w:tc>
      </w:tr>
      <w:tr w:rsidR="001F4DDE" w:rsidRPr="000E6048" w14:paraId="658EE26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933A81" w14:textId="77777777" w:rsidR="001F4DDE" w:rsidRPr="000E6048" w:rsidRDefault="001F4DDE" w:rsidP="001F4DDE">
            <w:pPr>
              <w:rPr>
                <w:color w:val="000000"/>
                <w:sz w:val="18"/>
                <w:szCs w:val="18"/>
              </w:rPr>
            </w:pPr>
            <w:r w:rsidRPr="000E6048">
              <w:rPr>
                <w:color w:val="000000"/>
                <w:sz w:val="18"/>
                <w:szCs w:val="18"/>
              </w:rPr>
              <w:t>Materials</w:t>
            </w:r>
          </w:p>
        </w:tc>
        <w:tc>
          <w:tcPr>
            <w:tcW w:w="0" w:type="auto"/>
            <w:noWrap/>
            <w:vAlign w:val="bottom"/>
            <w:hideMark/>
          </w:tcPr>
          <w:p w14:paraId="4C381611"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21%</w:t>
            </w:r>
          </w:p>
        </w:tc>
        <w:tc>
          <w:tcPr>
            <w:tcW w:w="0" w:type="auto"/>
            <w:noWrap/>
            <w:vAlign w:val="bottom"/>
            <w:hideMark/>
          </w:tcPr>
          <w:p w14:paraId="1EB374A7"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36%</w:t>
            </w:r>
          </w:p>
        </w:tc>
      </w:tr>
      <w:tr w:rsidR="001F4DDE" w:rsidRPr="000E6048" w14:paraId="4E4881F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90DBBE" w14:textId="77777777" w:rsidR="001F4DDE" w:rsidRPr="000E6048" w:rsidRDefault="001F4DDE" w:rsidP="001F4DDE">
            <w:pPr>
              <w:rPr>
                <w:color w:val="000000"/>
                <w:sz w:val="18"/>
                <w:szCs w:val="18"/>
              </w:rPr>
            </w:pPr>
            <w:proofErr w:type="spellStart"/>
            <w:r w:rsidRPr="000E6048">
              <w:rPr>
                <w:color w:val="000000"/>
                <w:sz w:val="18"/>
                <w:szCs w:val="18"/>
              </w:rPr>
              <w:t>Telcommunications</w:t>
            </w:r>
            <w:proofErr w:type="spellEnd"/>
          </w:p>
        </w:tc>
        <w:tc>
          <w:tcPr>
            <w:tcW w:w="0" w:type="auto"/>
            <w:noWrap/>
            <w:vAlign w:val="bottom"/>
            <w:hideMark/>
          </w:tcPr>
          <w:p w14:paraId="114ADCB2"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6%</w:t>
            </w:r>
          </w:p>
        </w:tc>
        <w:tc>
          <w:tcPr>
            <w:tcW w:w="0" w:type="auto"/>
            <w:noWrap/>
            <w:vAlign w:val="bottom"/>
            <w:hideMark/>
          </w:tcPr>
          <w:p w14:paraId="000155E2"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4%</w:t>
            </w:r>
          </w:p>
        </w:tc>
      </w:tr>
      <w:tr w:rsidR="001F4DDE" w:rsidRPr="000E6048" w14:paraId="2BC26218"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4EADAEED" w14:textId="77777777" w:rsidR="001F4DDE" w:rsidRPr="000E6048" w:rsidRDefault="001F4DDE" w:rsidP="001F4DDE">
            <w:pPr>
              <w:rPr>
                <w:color w:val="000000"/>
                <w:sz w:val="18"/>
                <w:szCs w:val="18"/>
              </w:rPr>
            </w:pPr>
            <w:r w:rsidRPr="000E6048">
              <w:rPr>
                <w:color w:val="000000"/>
                <w:sz w:val="18"/>
                <w:szCs w:val="18"/>
              </w:rPr>
              <w:t>Utilities</w:t>
            </w:r>
          </w:p>
        </w:tc>
        <w:tc>
          <w:tcPr>
            <w:tcW w:w="0" w:type="auto"/>
            <w:tcBorders>
              <w:bottom w:val="single" w:sz="4" w:space="0" w:color="auto"/>
            </w:tcBorders>
            <w:noWrap/>
            <w:vAlign w:val="bottom"/>
            <w:hideMark/>
          </w:tcPr>
          <w:p w14:paraId="781CA086"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9%</w:t>
            </w:r>
          </w:p>
        </w:tc>
        <w:tc>
          <w:tcPr>
            <w:tcW w:w="0" w:type="auto"/>
            <w:tcBorders>
              <w:bottom w:val="single" w:sz="4" w:space="0" w:color="auto"/>
            </w:tcBorders>
            <w:noWrap/>
            <w:vAlign w:val="bottom"/>
            <w:hideMark/>
          </w:tcPr>
          <w:p w14:paraId="7D471A21"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w:t>
            </w:r>
          </w:p>
        </w:tc>
      </w:tr>
      <w:tr w:rsidR="001F4DDE" w:rsidRPr="000E6048" w14:paraId="5B4BAF47"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single" w:sz="4" w:space="0" w:color="auto"/>
              <w:right w:val="nil"/>
            </w:tcBorders>
            <w:noWrap/>
            <w:hideMark/>
          </w:tcPr>
          <w:p w14:paraId="5B3A012B" w14:textId="77777777" w:rsidR="001F4DDE" w:rsidRPr="00FE6AF7" w:rsidRDefault="001F4DDE" w:rsidP="001F4DDE">
            <w:pPr>
              <w:rPr>
                <w:color w:val="000000"/>
                <w:sz w:val="18"/>
                <w:szCs w:val="18"/>
              </w:rPr>
            </w:pPr>
            <w:r w:rsidRPr="00FE6AF7">
              <w:rPr>
                <w:color w:val="000000"/>
                <w:sz w:val="18"/>
                <w:szCs w:val="18"/>
              </w:rPr>
              <w:t>D2</w:t>
            </w:r>
          </w:p>
        </w:tc>
      </w:tr>
      <w:tr w:rsidR="001F4DDE" w:rsidRPr="000E6048" w14:paraId="4ECCEB1D"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01901CC6" w14:textId="77777777" w:rsidR="001F4DDE" w:rsidRPr="000E6048" w:rsidRDefault="001F4DDE" w:rsidP="001F4DDE">
            <w:pPr>
              <w:rPr>
                <w:color w:val="000000"/>
                <w:sz w:val="18"/>
                <w:szCs w:val="18"/>
              </w:rPr>
            </w:pPr>
            <w:r w:rsidRPr="000E6048">
              <w:rPr>
                <w:color w:val="000000"/>
                <w:sz w:val="18"/>
                <w:szCs w:val="18"/>
              </w:rPr>
              <w:t>Industries</w:t>
            </w:r>
          </w:p>
        </w:tc>
        <w:tc>
          <w:tcPr>
            <w:tcW w:w="0" w:type="auto"/>
            <w:tcBorders>
              <w:top w:val="single" w:sz="4" w:space="0" w:color="auto"/>
            </w:tcBorders>
            <w:noWrap/>
            <w:vAlign w:val="bottom"/>
            <w:hideMark/>
          </w:tcPr>
          <w:p w14:paraId="10AC9393"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24%</w:t>
            </w:r>
          </w:p>
        </w:tc>
        <w:tc>
          <w:tcPr>
            <w:tcW w:w="0" w:type="auto"/>
            <w:tcBorders>
              <w:top w:val="single" w:sz="4" w:space="0" w:color="auto"/>
            </w:tcBorders>
            <w:noWrap/>
            <w:vAlign w:val="bottom"/>
            <w:hideMark/>
          </w:tcPr>
          <w:p w14:paraId="47A6385C"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30%</w:t>
            </w:r>
          </w:p>
        </w:tc>
      </w:tr>
      <w:tr w:rsidR="001F4DDE" w:rsidRPr="000E6048" w14:paraId="6A99F16D"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6496D9" w14:textId="77777777" w:rsidR="001F4DDE" w:rsidRPr="000E6048" w:rsidRDefault="001F4DDE" w:rsidP="001F4DDE">
            <w:pPr>
              <w:rPr>
                <w:color w:val="000000"/>
                <w:sz w:val="18"/>
                <w:szCs w:val="18"/>
              </w:rPr>
            </w:pPr>
            <w:r w:rsidRPr="000E6048">
              <w:rPr>
                <w:color w:val="000000"/>
                <w:sz w:val="18"/>
                <w:szCs w:val="18"/>
              </w:rPr>
              <w:t>Russell 1000</w:t>
            </w:r>
          </w:p>
        </w:tc>
        <w:tc>
          <w:tcPr>
            <w:tcW w:w="0" w:type="auto"/>
            <w:noWrap/>
            <w:vAlign w:val="bottom"/>
            <w:hideMark/>
          </w:tcPr>
          <w:p w14:paraId="7BFBB81A"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16%</w:t>
            </w:r>
          </w:p>
        </w:tc>
        <w:tc>
          <w:tcPr>
            <w:tcW w:w="0" w:type="auto"/>
            <w:noWrap/>
            <w:vAlign w:val="bottom"/>
            <w:hideMark/>
          </w:tcPr>
          <w:p w14:paraId="02D2C345"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17%</w:t>
            </w:r>
          </w:p>
        </w:tc>
      </w:tr>
      <w:tr w:rsidR="001F4DDE" w:rsidRPr="000E6048" w14:paraId="4C37B4EA"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2ECFC7C1" w14:textId="77777777" w:rsidR="001F4DDE" w:rsidRPr="000E6048" w:rsidRDefault="001F4DDE" w:rsidP="001F4DDE">
            <w:pPr>
              <w:rPr>
                <w:color w:val="000000"/>
                <w:sz w:val="18"/>
                <w:szCs w:val="18"/>
              </w:rPr>
            </w:pPr>
            <w:r w:rsidRPr="000E6048">
              <w:rPr>
                <w:color w:val="000000"/>
                <w:sz w:val="18"/>
                <w:szCs w:val="18"/>
              </w:rPr>
              <w:t>MNCs</w:t>
            </w:r>
          </w:p>
        </w:tc>
        <w:tc>
          <w:tcPr>
            <w:tcW w:w="0" w:type="auto"/>
            <w:tcBorders>
              <w:bottom w:val="single" w:sz="4" w:space="0" w:color="auto"/>
            </w:tcBorders>
            <w:noWrap/>
            <w:vAlign w:val="bottom"/>
            <w:hideMark/>
          </w:tcPr>
          <w:p w14:paraId="742F09D5"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17%</w:t>
            </w:r>
          </w:p>
        </w:tc>
        <w:tc>
          <w:tcPr>
            <w:tcW w:w="0" w:type="auto"/>
            <w:tcBorders>
              <w:bottom w:val="single" w:sz="4" w:space="0" w:color="auto"/>
            </w:tcBorders>
            <w:noWrap/>
            <w:vAlign w:val="bottom"/>
            <w:hideMark/>
          </w:tcPr>
          <w:p w14:paraId="4B991E99"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14%</w:t>
            </w:r>
          </w:p>
        </w:tc>
      </w:tr>
      <w:tr w:rsidR="001F4DDE" w:rsidRPr="000E6048" w14:paraId="5BA9CFBC"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single" w:sz="4" w:space="0" w:color="auto"/>
              <w:right w:val="nil"/>
            </w:tcBorders>
            <w:noWrap/>
            <w:hideMark/>
          </w:tcPr>
          <w:p w14:paraId="10244CFA" w14:textId="77777777" w:rsidR="001F4DDE" w:rsidRPr="00FE6AF7" w:rsidRDefault="001F4DDE" w:rsidP="001F4DDE">
            <w:pPr>
              <w:rPr>
                <w:color w:val="000000"/>
                <w:sz w:val="18"/>
                <w:szCs w:val="18"/>
              </w:rPr>
            </w:pPr>
            <w:r w:rsidRPr="00FE6AF7">
              <w:rPr>
                <w:color w:val="000000"/>
                <w:sz w:val="18"/>
                <w:szCs w:val="18"/>
              </w:rPr>
              <w:t>D3</w:t>
            </w:r>
          </w:p>
        </w:tc>
      </w:tr>
      <w:tr w:rsidR="001F4DDE" w:rsidRPr="000E6048" w14:paraId="1761C73E" w14:textId="77777777" w:rsidTr="00DC70AA">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1C9352FD" w14:textId="77777777" w:rsidR="001F4DDE" w:rsidRPr="000E6048" w:rsidRDefault="001F4DDE" w:rsidP="001F4DDE">
            <w:pPr>
              <w:rPr>
                <w:color w:val="000000"/>
                <w:sz w:val="18"/>
                <w:szCs w:val="18"/>
              </w:rPr>
            </w:pPr>
            <w:r w:rsidRPr="000E6048">
              <w:rPr>
                <w:color w:val="000000"/>
                <w:sz w:val="18"/>
                <w:szCs w:val="18"/>
              </w:rPr>
              <w:t>Industries</w:t>
            </w:r>
          </w:p>
        </w:tc>
        <w:tc>
          <w:tcPr>
            <w:tcW w:w="0" w:type="auto"/>
            <w:tcBorders>
              <w:top w:val="single" w:sz="4" w:space="0" w:color="auto"/>
            </w:tcBorders>
            <w:noWrap/>
            <w:vAlign w:val="bottom"/>
            <w:hideMark/>
          </w:tcPr>
          <w:p w14:paraId="5AE378C5"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12%</w:t>
            </w:r>
          </w:p>
        </w:tc>
        <w:tc>
          <w:tcPr>
            <w:tcW w:w="0" w:type="auto"/>
            <w:tcBorders>
              <w:top w:val="single" w:sz="4" w:space="0" w:color="auto"/>
            </w:tcBorders>
            <w:noWrap/>
            <w:vAlign w:val="bottom"/>
            <w:hideMark/>
          </w:tcPr>
          <w:p w14:paraId="639CF4A2"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11%</w:t>
            </w:r>
          </w:p>
        </w:tc>
      </w:tr>
      <w:tr w:rsidR="001F4DDE" w:rsidRPr="000E6048" w14:paraId="7545B4B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254794" w14:textId="77777777" w:rsidR="001F4DDE" w:rsidRPr="000E6048" w:rsidRDefault="001F4DDE" w:rsidP="001F4DDE">
            <w:pPr>
              <w:rPr>
                <w:color w:val="000000"/>
                <w:sz w:val="18"/>
                <w:szCs w:val="18"/>
              </w:rPr>
            </w:pPr>
            <w:r w:rsidRPr="000E6048">
              <w:rPr>
                <w:color w:val="000000"/>
                <w:sz w:val="18"/>
                <w:szCs w:val="18"/>
              </w:rPr>
              <w:t>Russell 1000</w:t>
            </w:r>
          </w:p>
        </w:tc>
        <w:tc>
          <w:tcPr>
            <w:tcW w:w="0" w:type="auto"/>
            <w:noWrap/>
            <w:vAlign w:val="bottom"/>
            <w:hideMark/>
          </w:tcPr>
          <w:p w14:paraId="3A37B921"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-5%</w:t>
            </w:r>
          </w:p>
        </w:tc>
        <w:tc>
          <w:tcPr>
            <w:tcW w:w="0" w:type="auto"/>
            <w:noWrap/>
            <w:vAlign w:val="bottom"/>
            <w:hideMark/>
          </w:tcPr>
          <w:p w14:paraId="06C601F4"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w:t>
            </w:r>
          </w:p>
        </w:tc>
      </w:tr>
      <w:tr w:rsidR="001F4DDE" w:rsidRPr="000E6048" w14:paraId="2D5C550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E33EBB1" w14:textId="77777777" w:rsidR="001F4DDE" w:rsidRPr="000E6048" w:rsidRDefault="001F4DDE" w:rsidP="001F4DDE">
            <w:pPr>
              <w:rPr>
                <w:color w:val="000000"/>
                <w:sz w:val="18"/>
                <w:szCs w:val="18"/>
              </w:rPr>
            </w:pPr>
            <w:r w:rsidRPr="000E6048">
              <w:rPr>
                <w:color w:val="000000"/>
                <w:sz w:val="18"/>
                <w:szCs w:val="18"/>
              </w:rPr>
              <w:t>MNCs</w:t>
            </w:r>
          </w:p>
        </w:tc>
        <w:tc>
          <w:tcPr>
            <w:tcW w:w="0" w:type="auto"/>
            <w:noWrap/>
            <w:vAlign w:val="bottom"/>
            <w:hideMark/>
          </w:tcPr>
          <w:p w14:paraId="78E592C7"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9%</w:t>
            </w:r>
          </w:p>
        </w:tc>
        <w:tc>
          <w:tcPr>
            <w:tcW w:w="0" w:type="auto"/>
            <w:noWrap/>
            <w:vAlign w:val="bottom"/>
            <w:hideMark/>
          </w:tcPr>
          <w:p w14:paraId="1A3CE650"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6%</w:t>
            </w:r>
          </w:p>
        </w:tc>
      </w:tr>
      <w:tr w:rsidR="001F4DDE" w:rsidRPr="000E6048" w14:paraId="1089461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365F02" w14:textId="77777777" w:rsidR="001F4DDE" w:rsidRPr="000E6048" w:rsidRDefault="001F4DDE" w:rsidP="001F4DDE">
            <w:pPr>
              <w:rPr>
                <w:color w:val="000000"/>
                <w:sz w:val="18"/>
                <w:szCs w:val="18"/>
              </w:rPr>
            </w:pPr>
            <w:r w:rsidRPr="000E6048">
              <w:rPr>
                <w:color w:val="000000"/>
                <w:sz w:val="18"/>
                <w:szCs w:val="18"/>
              </w:rPr>
              <w:t>ADRs</w:t>
            </w:r>
          </w:p>
        </w:tc>
        <w:tc>
          <w:tcPr>
            <w:tcW w:w="0" w:type="auto"/>
            <w:noWrap/>
            <w:vAlign w:val="bottom"/>
            <w:hideMark/>
          </w:tcPr>
          <w:p w14:paraId="22E7A06D"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23%</w:t>
            </w:r>
          </w:p>
        </w:tc>
        <w:tc>
          <w:tcPr>
            <w:tcW w:w="0" w:type="auto"/>
            <w:noWrap/>
            <w:vAlign w:val="bottom"/>
            <w:hideMark/>
          </w:tcPr>
          <w:p w14:paraId="2B024121"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37%</w:t>
            </w:r>
          </w:p>
        </w:tc>
      </w:tr>
      <w:tr w:rsidR="001F4DDE" w:rsidRPr="000E6048" w14:paraId="4AACB46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519AB1" w14:textId="77777777" w:rsidR="001F4DDE" w:rsidRPr="000E6048" w:rsidRDefault="001F4DDE" w:rsidP="001F4DDE">
            <w:pPr>
              <w:rPr>
                <w:color w:val="000000"/>
                <w:sz w:val="18"/>
                <w:szCs w:val="18"/>
              </w:rPr>
            </w:pPr>
            <w:r w:rsidRPr="000E6048">
              <w:rPr>
                <w:color w:val="000000"/>
                <w:sz w:val="18"/>
                <w:szCs w:val="18"/>
              </w:rPr>
              <w:t>CCFs</w:t>
            </w:r>
          </w:p>
        </w:tc>
        <w:tc>
          <w:tcPr>
            <w:tcW w:w="0" w:type="auto"/>
            <w:noWrap/>
            <w:vAlign w:val="bottom"/>
            <w:hideMark/>
          </w:tcPr>
          <w:p w14:paraId="3EA8720F"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18%</w:t>
            </w:r>
          </w:p>
        </w:tc>
        <w:tc>
          <w:tcPr>
            <w:tcW w:w="0" w:type="auto"/>
            <w:noWrap/>
            <w:vAlign w:val="bottom"/>
            <w:hideMark/>
          </w:tcPr>
          <w:p w14:paraId="5F2C89BB"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31%</w:t>
            </w:r>
          </w:p>
        </w:tc>
      </w:tr>
      <w:tr w:rsidR="001F4DDE" w:rsidRPr="000E6048" w14:paraId="02A2527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92D692" w14:textId="77777777" w:rsidR="001F4DDE" w:rsidRPr="000E6048" w:rsidRDefault="001F4DDE" w:rsidP="001F4DDE">
            <w:pPr>
              <w:rPr>
                <w:color w:val="000000"/>
                <w:sz w:val="18"/>
                <w:szCs w:val="18"/>
              </w:rPr>
            </w:pPr>
            <w:r w:rsidRPr="000E6048">
              <w:rPr>
                <w:color w:val="000000"/>
                <w:sz w:val="18"/>
                <w:szCs w:val="18"/>
              </w:rPr>
              <w:t>iShares</w:t>
            </w:r>
          </w:p>
        </w:tc>
        <w:tc>
          <w:tcPr>
            <w:tcW w:w="0" w:type="auto"/>
            <w:noWrap/>
            <w:vAlign w:val="bottom"/>
            <w:hideMark/>
          </w:tcPr>
          <w:p w14:paraId="423E8D7C"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58%</w:t>
            </w:r>
          </w:p>
        </w:tc>
        <w:tc>
          <w:tcPr>
            <w:tcW w:w="0" w:type="auto"/>
            <w:noWrap/>
            <w:vAlign w:val="bottom"/>
            <w:hideMark/>
          </w:tcPr>
          <w:p w14:paraId="74C69DD8" w14:textId="77777777" w:rsidR="001F4DDE" w:rsidRPr="00FE6AF7"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E6AF7">
              <w:rPr>
                <w:color w:val="000000"/>
                <w:sz w:val="18"/>
                <w:szCs w:val="18"/>
              </w:rPr>
              <w:t>35%</w:t>
            </w:r>
          </w:p>
        </w:tc>
      </w:tr>
    </w:tbl>
    <w:p w14:paraId="284287C2" w14:textId="77777777" w:rsidR="001F4DDE" w:rsidRPr="000E6048" w:rsidRDefault="001F4DDE" w:rsidP="001F4DDE">
      <w:pPr>
        <w:spacing w:line="240" w:lineRule="auto"/>
        <w:ind w:right="3231"/>
        <w:rPr>
          <w:rFonts w:ascii="Times New Roman" w:hAnsi="Times New Roman"/>
          <w:sz w:val="18"/>
          <w:szCs w:val="18"/>
        </w:rPr>
      </w:pPr>
      <w:r w:rsidRPr="000E6048">
        <w:rPr>
          <w:rFonts w:ascii="Times New Roman" w:hAnsi="Times New Roman"/>
          <w:sz w:val="18"/>
          <w:szCs w:val="18"/>
        </w:rPr>
        <w:t xml:space="preserve">Notes: This table shows the average weighting in each asset type in the replicating portfolios, D1, D2 and D3  for developed and emerging markets.  For example iShares have an average weighting of 54% in developed market D3 portfolios.  </w:t>
      </w:r>
    </w:p>
    <w:p w14:paraId="1B5EDFDE" w14:textId="77777777" w:rsidR="001F4DDE" w:rsidRPr="000E6048" w:rsidRDefault="001F4DDE" w:rsidP="001F4DDE">
      <w:pPr>
        <w:spacing w:line="240" w:lineRule="auto"/>
        <w:ind w:right="3231"/>
        <w:rPr>
          <w:rFonts w:ascii="Times New Roman" w:hAnsi="Times New Roman"/>
          <w:sz w:val="18"/>
          <w:szCs w:val="18"/>
        </w:rPr>
      </w:pPr>
    </w:p>
    <w:p w14:paraId="21BF0F95" w14:textId="77777777" w:rsidR="001F4DDE" w:rsidRPr="000E6048" w:rsidRDefault="001F4DDE" w:rsidP="001F4DDE">
      <w:pPr>
        <w:spacing w:line="240" w:lineRule="auto"/>
        <w:ind w:right="3231"/>
        <w:rPr>
          <w:rFonts w:ascii="Times New Roman" w:hAnsi="Times New Roman"/>
          <w:sz w:val="18"/>
          <w:szCs w:val="18"/>
        </w:rPr>
      </w:pPr>
    </w:p>
    <w:p w14:paraId="39C588FE" w14:textId="77777777" w:rsidR="001F4DDE" w:rsidRPr="000E6048" w:rsidRDefault="001F4DDE" w:rsidP="001F4DDE">
      <w:pPr>
        <w:spacing w:line="240" w:lineRule="auto"/>
        <w:ind w:right="3231"/>
        <w:rPr>
          <w:rFonts w:ascii="Times New Roman" w:hAnsi="Times New Roman"/>
          <w:sz w:val="18"/>
          <w:szCs w:val="18"/>
        </w:rPr>
      </w:pPr>
    </w:p>
    <w:p w14:paraId="6A254526" w14:textId="77777777" w:rsidR="001F4DDE" w:rsidRPr="000E6048" w:rsidRDefault="001F4DDE" w:rsidP="001F4DDE">
      <w:pPr>
        <w:spacing w:line="240" w:lineRule="auto"/>
        <w:ind w:right="3231"/>
        <w:rPr>
          <w:rFonts w:ascii="Times New Roman" w:hAnsi="Times New Roman"/>
          <w:sz w:val="18"/>
          <w:szCs w:val="18"/>
        </w:rPr>
      </w:pPr>
    </w:p>
    <w:p w14:paraId="32DAAA95" w14:textId="77777777" w:rsidR="001F4DDE" w:rsidRPr="000E6048" w:rsidRDefault="001F4DDE" w:rsidP="001F4DDE">
      <w:pPr>
        <w:spacing w:line="240" w:lineRule="auto"/>
        <w:ind w:right="3231"/>
        <w:rPr>
          <w:rFonts w:ascii="Times New Roman" w:hAnsi="Times New Roman"/>
          <w:sz w:val="18"/>
          <w:szCs w:val="18"/>
        </w:rPr>
      </w:pPr>
    </w:p>
    <w:p w14:paraId="09CEDF90" w14:textId="77777777" w:rsidR="001F4DDE" w:rsidRPr="000E6048" w:rsidRDefault="001F4DDE" w:rsidP="001F4DDE">
      <w:pPr>
        <w:spacing w:line="240" w:lineRule="auto"/>
        <w:ind w:right="3231"/>
        <w:rPr>
          <w:rFonts w:ascii="Times New Roman" w:hAnsi="Times New Roman"/>
          <w:sz w:val="18"/>
          <w:szCs w:val="18"/>
        </w:rPr>
      </w:pPr>
    </w:p>
    <w:p w14:paraId="60634B16" w14:textId="77777777" w:rsidR="001F4DDE" w:rsidRPr="000E6048" w:rsidRDefault="001F4DDE" w:rsidP="001F4DDE">
      <w:pPr>
        <w:spacing w:line="240" w:lineRule="auto"/>
        <w:ind w:right="3231"/>
        <w:rPr>
          <w:rFonts w:ascii="Times New Roman" w:hAnsi="Times New Roman"/>
          <w:sz w:val="18"/>
          <w:szCs w:val="18"/>
        </w:rPr>
      </w:pPr>
    </w:p>
    <w:p w14:paraId="5C447889" w14:textId="77777777" w:rsidR="001F4DDE" w:rsidRPr="000E6048" w:rsidRDefault="001F4DDE" w:rsidP="001F4DDE">
      <w:pPr>
        <w:spacing w:line="240" w:lineRule="auto"/>
        <w:ind w:right="3231"/>
        <w:rPr>
          <w:rFonts w:ascii="Times New Roman" w:hAnsi="Times New Roman"/>
          <w:sz w:val="18"/>
          <w:szCs w:val="18"/>
        </w:rPr>
      </w:pPr>
    </w:p>
    <w:p w14:paraId="49D10F0A" w14:textId="77777777" w:rsidR="001F4DDE" w:rsidRPr="000E6048" w:rsidRDefault="001F4DDE" w:rsidP="001F4DDE">
      <w:pPr>
        <w:spacing w:line="240" w:lineRule="auto"/>
        <w:ind w:right="3231"/>
        <w:rPr>
          <w:rFonts w:ascii="Times New Roman" w:hAnsi="Times New Roman"/>
          <w:sz w:val="18"/>
          <w:szCs w:val="18"/>
        </w:rPr>
      </w:pPr>
    </w:p>
    <w:p w14:paraId="743AC25B" w14:textId="77777777" w:rsidR="001F4DDE" w:rsidRPr="000E6048" w:rsidRDefault="001F4DDE" w:rsidP="001F4DDE">
      <w:pPr>
        <w:spacing w:line="240" w:lineRule="auto"/>
        <w:ind w:right="3231"/>
        <w:rPr>
          <w:rFonts w:ascii="Times New Roman" w:hAnsi="Times New Roman"/>
          <w:sz w:val="18"/>
          <w:szCs w:val="18"/>
        </w:rPr>
      </w:pPr>
    </w:p>
    <w:p w14:paraId="0D3F0117" w14:textId="77777777" w:rsidR="001F4DDE" w:rsidRPr="000E6048" w:rsidRDefault="001F4DDE" w:rsidP="001F4DDE">
      <w:pPr>
        <w:spacing w:line="240" w:lineRule="auto"/>
        <w:ind w:right="3231"/>
        <w:rPr>
          <w:rFonts w:ascii="Times New Roman" w:hAnsi="Times New Roman"/>
          <w:sz w:val="18"/>
          <w:szCs w:val="18"/>
        </w:rPr>
      </w:pPr>
    </w:p>
    <w:p w14:paraId="451995B7" w14:textId="77777777" w:rsidR="001F4DDE" w:rsidRPr="000E6048" w:rsidRDefault="001F4DDE" w:rsidP="001F4DDE">
      <w:pPr>
        <w:spacing w:line="240" w:lineRule="auto"/>
        <w:ind w:right="3231"/>
        <w:rPr>
          <w:rFonts w:ascii="Times New Roman" w:hAnsi="Times New Roman"/>
          <w:sz w:val="18"/>
          <w:szCs w:val="18"/>
        </w:rPr>
      </w:pPr>
    </w:p>
    <w:p w14:paraId="01915677" w14:textId="77777777" w:rsidR="001F4DDE" w:rsidRPr="000E6048" w:rsidRDefault="001F4DDE" w:rsidP="001F4DDE">
      <w:pPr>
        <w:spacing w:line="240" w:lineRule="auto"/>
        <w:ind w:right="3231"/>
        <w:rPr>
          <w:rFonts w:ascii="Times New Roman" w:hAnsi="Times New Roman"/>
          <w:sz w:val="18"/>
          <w:szCs w:val="18"/>
        </w:rPr>
      </w:pPr>
    </w:p>
    <w:p w14:paraId="3FAEC38F" w14:textId="77777777" w:rsidR="001F4DDE" w:rsidRPr="000E6048" w:rsidRDefault="001F4DDE" w:rsidP="001F4DDE">
      <w:pPr>
        <w:spacing w:line="240" w:lineRule="auto"/>
        <w:ind w:right="3231"/>
        <w:rPr>
          <w:rFonts w:ascii="Times New Roman" w:hAnsi="Times New Roman"/>
          <w:sz w:val="18"/>
          <w:szCs w:val="18"/>
        </w:rPr>
      </w:pPr>
    </w:p>
    <w:p w14:paraId="2E9124DC" w14:textId="77777777" w:rsidR="001F4DDE" w:rsidRPr="000E6048" w:rsidRDefault="001F4DDE" w:rsidP="001F4DDE">
      <w:pPr>
        <w:spacing w:line="240" w:lineRule="auto"/>
        <w:ind w:right="3231"/>
        <w:rPr>
          <w:rFonts w:ascii="Times New Roman" w:hAnsi="Times New Roman"/>
          <w:sz w:val="18"/>
          <w:szCs w:val="18"/>
        </w:rPr>
      </w:pPr>
    </w:p>
    <w:p w14:paraId="113FDE0C" w14:textId="77777777" w:rsidR="00FC1726" w:rsidRDefault="00FC1726" w:rsidP="00FC1726"/>
    <w:p w14:paraId="5A3628D5" w14:textId="77777777" w:rsidR="001F4DDE" w:rsidRPr="005817F4" w:rsidRDefault="00E644AA" w:rsidP="005817F4">
      <w:pPr>
        <w:pStyle w:val="Caption"/>
      </w:pPr>
      <w:bookmarkStart w:id="11" w:name="_Ref384643114"/>
      <w:bookmarkStart w:id="12" w:name="_Toc383428906"/>
      <w:r w:rsidRPr="005817F4">
        <w:lastRenderedPageBreak/>
        <w:t xml:space="preserve">Table </w:t>
      </w:r>
      <w:r w:rsidR="00CD4B7C">
        <w:fldChar w:fldCharType="begin"/>
      </w:r>
      <w:r w:rsidR="00CD4B7C">
        <w:instrText xml:space="preserve"> SEQ Table \* ARABIC </w:instrText>
      </w:r>
      <w:r w:rsidR="00CD4B7C">
        <w:fldChar w:fldCharType="separate"/>
      </w:r>
      <w:r w:rsidR="00A0607E">
        <w:rPr>
          <w:noProof/>
        </w:rPr>
        <w:t>4</w:t>
      </w:r>
      <w:r w:rsidR="00CD4B7C">
        <w:rPr>
          <w:noProof/>
        </w:rPr>
        <w:fldChar w:fldCharType="end"/>
      </w:r>
      <w:bookmarkEnd w:id="11"/>
      <w:r w:rsidRPr="005817F4">
        <w:t xml:space="preserve"> </w:t>
      </w:r>
      <w:r w:rsidR="001F4DDE" w:rsidRPr="005817F4">
        <w:t>Correlations with Foreign Country Indices</w:t>
      </w:r>
      <w:bookmarkEnd w:id="12"/>
    </w:p>
    <w:tbl>
      <w:tblPr>
        <w:tblStyle w:val="TableClassic1"/>
        <w:tblW w:w="0" w:type="auto"/>
        <w:tblLook w:val="06A0" w:firstRow="1" w:lastRow="0" w:firstColumn="1" w:lastColumn="0" w:noHBand="1" w:noVBand="1"/>
      </w:tblPr>
      <w:tblGrid>
        <w:gridCol w:w="1621"/>
        <w:gridCol w:w="1371"/>
        <w:gridCol w:w="1141"/>
        <w:gridCol w:w="1470"/>
        <w:gridCol w:w="1275"/>
        <w:gridCol w:w="1560"/>
      </w:tblGrid>
      <w:tr w:rsidR="001F4DDE" w:rsidRPr="000E6048" w14:paraId="68222E67" w14:textId="77777777" w:rsidTr="001F4DD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AC94F3D" w14:textId="77777777" w:rsidR="001F4DDE" w:rsidRPr="000E6048" w:rsidRDefault="001F4DDE" w:rsidP="001F4DDE">
            <w:pPr>
              <w:rPr>
                <w:color w:val="000000"/>
                <w:sz w:val="18"/>
                <w:szCs w:val="18"/>
              </w:rPr>
            </w:pPr>
            <w:r w:rsidRPr="000E6048">
              <w:rPr>
                <w:color w:val="000000"/>
                <w:sz w:val="18"/>
                <w:szCs w:val="18"/>
              </w:rPr>
              <w:t>Country Indices</w:t>
            </w:r>
          </w:p>
        </w:tc>
        <w:tc>
          <w:tcPr>
            <w:tcW w:w="0" w:type="auto"/>
            <w:noWrap/>
            <w:hideMark/>
          </w:tcPr>
          <w:p w14:paraId="47F1CB86" w14:textId="77777777" w:rsidR="001F4DDE" w:rsidRPr="000E6048" w:rsidRDefault="001F4DDE" w:rsidP="001F4DDE">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Domestic Firms</w:t>
            </w:r>
          </w:p>
        </w:tc>
        <w:tc>
          <w:tcPr>
            <w:tcW w:w="0" w:type="auto"/>
            <w:noWrap/>
            <w:hideMark/>
          </w:tcPr>
          <w:p w14:paraId="2219B0F8" w14:textId="77777777" w:rsidR="001F4DDE" w:rsidRPr="000E6048" w:rsidRDefault="001F4DDE" w:rsidP="001F4DDE">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Russell 1000</w:t>
            </w:r>
          </w:p>
        </w:tc>
        <w:tc>
          <w:tcPr>
            <w:tcW w:w="1470" w:type="dxa"/>
            <w:noWrap/>
            <w:hideMark/>
          </w:tcPr>
          <w:p w14:paraId="4EA6D30A" w14:textId="77777777" w:rsidR="001F4DDE" w:rsidRPr="000E6048" w:rsidRDefault="001F4DDE" w:rsidP="001F4DDE">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D1</w:t>
            </w:r>
          </w:p>
        </w:tc>
        <w:tc>
          <w:tcPr>
            <w:tcW w:w="1275" w:type="dxa"/>
            <w:noWrap/>
            <w:hideMark/>
          </w:tcPr>
          <w:p w14:paraId="70FB0244" w14:textId="77777777" w:rsidR="001F4DDE" w:rsidRPr="000E6048" w:rsidRDefault="001F4DDE" w:rsidP="001F4DDE">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D2</w:t>
            </w:r>
          </w:p>
        </w:tc>
        <w:tc>
          <w:tcPr>
            <w:tcW w:w="1560" w:type="dxa"/>
            <w:noWrap/>
            <w:hideMark/>
          </w:tcPr>
          <w:p w14:paraId="6892F086" w14:textId="77777777" w:rsidR="001F4DDE" w:rsidRPr="000E6048" w:rsidRDefault="001F4DDE" w:rsidP="001F4DDE">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D3</w:t>
            </w:r>
          </w:p>
        </w:tc>
      </w:tr>
      <w:tr w:rsidR="001F4DDE" w:rsidRPr="000E6048" w14:paraId="1C736B78"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025B0A93" w14:textId="77777777" w:rsidR="001F4DDE" w:rsidRPr="00A1478D" w:rsidRDefault="001F4DDE" w:rsidP="001F4DDE">
            <w:pPr>
              <w:rPr>
                <w:i/>
                <w:color w:val="000000"/>
                <w:sz w:val="18"/>
                <w:szCs w:val="18"/>
              </w:rPr>
            </w:pPr>
            <w:r w:rsidRPr="00A1478D">
              <w:rPr>
                <w:i/>
                <w:color w:val="000000"/>
                <w:sz w:val="18"/>
                <w:szCs w:val="18"/>
              </w:rPr>
              <w:t>Developed Markets</w:t>
            </w:r>
          </w:p>
        </w:tc>
        <w:tc>
          <w:tcPr>
            <w:tcW w:w="0" w:type="auto"/>
            <w:noWrap/>
          </w:tcPr>
          <w:p w14:paraId="79B1651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tcPr>
          <w:p w14:paraId="2581273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70" w:type="dxa"/>
            <w:noWrap/>
          </w:tcPr>
          <w:p w14:paraId="66C92D9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5" w:type="dxa"/>
            <w:noWrap/>
          </w:tcPr>
          <w:p w14:paraId="4EE6A27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560" w:type="dxa"/>
            <w:noWrap/>
          </w:tcPr>
          <w:p w14:paraId="00F39A4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668DC45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2EE98DD" w14:textId="77777777" w:rsidR="001F4DDE" w:rsidRPr="000E6048" w:rsidRDefault="001F4DDE" w:rsidP="001F4DDE">
            <w:pPr>
              <w:rPr>
                <w:color w:val="000000"/>
                <w:sz w:val="18"/>
                <w:szCs w:val="18"/>
              </w:rPr>
            </w:pPr>
            <w:r w:rsidRPr="000E6048">
              <w:rPr>
                <w:color w:val="000000"/>
                <w:sz w:val="18"/>
                <w:szCs w:val="18"/>
              </w:rPr>
              <w:t>Argentina</w:t>
            </w:r>
          </w:p>
        </w:tc>
        <w:tc>
          <w:tcPr>
            <w:tcW w:w="0" w:type="auto"/>
            <w:noWrap/>
            <w:hideMark/>
          </w:tcPr>
          <w:p w14:paraId="666B131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37%</w:t>
            </w:r>
          </w:p>
        </w:tc>
        <w:tc>
          <w:tcPr>
            <w:tcW w:w="0" w:type="auto"/>
            <w:noWrap/>
            <w:hideMark/>
          </w:tcPr>
          <w:p w14:paraId="34C82F6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37%</w:t>
            </w:r>
          </w:p>
        </w:tc>
        <w:tc>
          <w:tcPr>
            <w:tcW w:w="1470" w:type="dxa"/>
            <w:noWrap/>
            <w:hideMark/>
          </w:tcPr>
          <w:p w14:paraId="7ECFAD6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44%</w:t>
            </w:r>
          </w:p>
        </w:tc>
        <w:tc>
          <w:tcPr>
            <w:tcW w:w="1275" w:type="dxa"/>
            <w:noWrap/>
            <w:hideMark/>
          </w:tcPr>
          <w:p w14:paraId="003C359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47%</w:t>
            </w:r>
          </w:p>
        </w:tc>
        <w:tc>
          <w:tcPr>
            <w:tcW w:w="1560" w:type="dxa"/>
            <w:noWrap/>
            <w:hideMark/>
          </w:tcPr>
          <w:p w14:paraId="20E0AE5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63%</w:t>
            </w:r>
          </w:p>
        </w:tc>
      </w:tr>
      <w:tr w:rsidR="001F4DDE" w:rsidRPr="000E6048" w14:paraId="67995503"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7B2C37A" w14:textId="77777777" w:rsidR="001F4DDE" w:rsidRPr="000E6048" w:rsidRDefault="001F4DDE" w:rsidP="001F4DDE">
            <w:pPr>
              <w:rPr>
                <w:color w:val="000000"/>
                <w:sz w:val="18"/>
                <w:szCs w:val="18"/>
              </w:rPr>
            </w:pPr>
            <w:r w:rsidRPr="000E6048">
              <w:rPr>
                <w:color w:val="000000"/>
                <w:sz w:val="18"/>
                <w:szCs w:val="18"/>
              </w:rPr>
              <w:t>Australia</w:t>
            </w:r>
          </w:p>
        </w:tc>
        <w:tc>
          <w:tcPr>
            <w:tcW w:w="0" w:type="auto"/>
            <w:noWrap/>
            <w:hideMark/>
          </w:tcPr>
          <w:p w14:paraId="5002192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59%</w:t>
            </w:r>
          </w:p>
        </w:tc>
        <w:tc>
          <w:tcPr>
            <w:tcW w:w="0" w:type="auto"/>
            <w:noWrap/>
            <w:hideMark/>
          </w:tcPr>
          <w:p w14:paraId="7B8BD45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59%</w:t>
            </w:r>
          </w:p>
        </w:tc>
        <w:tc>
          <w:tcPr>
            <w:tcW w:w="1470" w:type="dxa"/>
            <w:noWrap/>
            <w:hideMark/>
          </w:tcPr>
          <w:p w14:paraId="3E5E126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66%</w:t>
            </w:r>
          </w:p>
        </w:tc>
        <w:tc>
          <w:tcPr>
            <w:tcW w:w="1275" w:type="dxa"/>
            <w:noWrap/>
            <w:hideMark/>
          </w:tcPr>
          <w:p w14:paraId="39F3E7F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70%</w:t>
            </w:r>
          </w:p>
        </w:tc>
        <w:tc>
          <w:tcPr>
            <w:tcW w:w="1560" w:type="dxa"/>
            <w:noWrap/>
            <w:hideMark/>
          </w:tcPr>
          <w:p w14:paraId="5D1772B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88%</w:t>
            </w:r>
          </w:p>
        </w:tc>
      </w:tr>
      <w:tr w:rsidR="001F4DDE" w:rsidRPr="000E6048" w14:paraId="34B2CE0C"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05F2F35" w14:textId="77777777" w:rsidR="001F4DDE" w:rsidRPr="000E6048" w:rsidRDefault="001F4DDE" w:rsidP="001F4DDE">
            <w:pPr>
              <w:rPr>
                <w:color w:val="000000"/>
                <w:sz w:val="18"/>
                <w:szCs w:val="18"/>
              </w:rPr>
            </w:pPr>
            <w:r w:rsidRPr="000E6048">
              <w:rPr>
                <w:color w:val="000000"/>
                <w:sz w:val="18"/>
                <w:szCs w:val="18"/>
              </w:rPr>
              <w:t>Austria</w:t>
            </w:r>
          </w:p>
        </w:tc>
        <w:tc>
          <w:tcPr>
            <w:tcW w:w="0" w:type="auto"/>
            <w:noWrap/>
            <w:hideMark/>
          </w:tcPr>
          <w:p w14:paraId="5EA2B2E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55%</w:t>
            </w:r>
          </w:p>
        </w:tc>
        <w:tc>
          <w:tcPr>
            <w:tcW w:w="0" w:type="auto"/>
            <w:noWrap/>
            <w:hideMark/>
          </w:tcPr>
          <w:p w14:paraId="22B75AE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48%</w:t>
            </w:r>
          </w:p>
        </w:tc>
        <w:tc>
          <w:tcPr>
            <w:tcW w:w="1470" w:type="dxa"/>
            <w:noWrap/>
            <w:hideMark/>
          </w:tcPr>
          <w:p w14:paraId="6F26731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58%</w:t>
            </w:r>
          </w:p>
        </w:tc>
        <w:tc>
          <w:tcPr>
            <w:tcW w:w="1275" w:type="dxa"/>
            <w:noWrap/>
            <w:hideMark/>
          </w:tcPr>
          <w:p w14:paraId="3119C47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63%</w:t>
            </w:r>
          </w:p>
        </w:tc>
        <w:tc>
          <w:tcPr>
            <w:tcW w:w="1560" w:type="dxa"/>
            <w:noWrap/>
            <w:hideMark/>
          </w:tcPr>
          <w:p w14:paraId="44921EC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84%</w:t>
            </w:r>
          </w:p>
        </w:tc>
      </w:tr>
      <w:tr w:rsidR="001F4DDE" w:rsidRPr="000E6048" w14:paraId="2311C038"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A976678" w14:textId="77777777" w:rsidR="001F4DDE" w:rsidRPr="000E6048" w:rsidRDefault="001F4DDE" w:rsidP="001F4DDE">
            <w:pPr>
              <w:rPr>
                <w:color w:val="000000"/>
                <w:sz w:val="18"/>
                <w:szCs w:val="18"/>
              </w:rPr>
            </w:pPr>
            <w:r w:rsidRPr="000E6048">
              <w:rPr>
                <w:color w:val="000000"/>
                <w:sz w:val="18"/>
                <w:szCs w:val="18"/>
              </w:rPr>
              <w:t>Belgium</w:t>
            </w:r>
          </w:p>
        </w:tc>
        <w:tc>
          <w:tcPr>
            <w:tcW w:w="0" w:type="auto"/>
            <w:noWrap/>
            <w:hideMark/>
          </w:tcPr>
          <w:p w14:paraId="2D42E7B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58%</w:t>
            </w:r>
          </w:p>
        </w:tc>
        <w:tc>
          <w:tcPr>
            <w:tcW w:w="0" w:type="auto"/>
            <w:noWrap/>
            <w:hideMark/>
          </w:tcPr>
          <w:p w14:paraId="7ABFC39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53%</w:t>
            </w:r>
          </w:p>
        </w:tc>
        <w:tc>
          <w:tcPr>
            <w:tcW w:w="1470" w:type="dxa"/>
            <w:noWrap/>
            <w:hideMark/>
          </w:tcPr>
          <w:p w14:paraId="29C0A5C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57%</w:t>
            </w:r>
          </w:p>
        </w:tc>
        <w:tc>
          <w:tcPr>
            <w:tcW w:w="1275" w:type="dxa"/>
            <w:noWrap/>
            <w:hideMark/>
          </w:tcPr>
          <w:p w14:paraId="5EA5407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61%</w:t>
            </w:r>
          </w:p>
        </w:tc>
        <w:tc>
          <w:tcPr>
            <w:tcW w:w="1560" w:type="dxa"/>
            <w:noWrap/>
            <w:hideMark/>
          </w:tcPr>
          <w:p w14:paraId="04A7591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78%</w:t>
            </w:r>
          </w:p>
        </w:tc>
      </w:tr>
      <w:tr w:rsidR="001F4DDE" w:rsidRPr="000E6048" w14:paraId="3367ADBF"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B07D74B" w14:textId="77777777" w:rsidR="001F4DDE" w:rsidRPr="000E6048" w:rsidRDefault="001F4DDE" w:rsidP="001F4DDE">
            <w:pPr>
              <w:rPr>
                <w:color w:val="000000"/>
                <w:sz w:val="18"/>
                <w:szCs w:val="18"/>
              </w:rPr>
            </w:pPr>
            <w:r w:rsidRPr="000E6048">
              <w:rPr>
                <w:color w:val="000000"/>
                <w:sz w:val="18"/>
                <w:szCs w:val="18"/>
              </w:rPr>
              <w:t>Canada</w:t>
            </w:r>
          </w:p>
        </w:tc>
        <w:tc>
          <w:tcPr>
            <w:tcW w:w="0" w:type="auto"/>
            <w:noWrap/>
            <w:hideMark/>
          </w:tcPr>
          <w:p w14:paraId="76DB45D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64%</w:t>
            </w:r>
          </w:p>
        </w:tc>
        <w:tc>
          <w:tcPr>
            <w:tcW w:w="0" w:type="auto"/>
            <w:noWrap/>
            <w:hideMark/>
          </w:tcPr>
          <w:p w14:paraId="5514259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66%</w:t>
            </w:r>
          </w:p>
        </w:tc>
        <w:tc>
          <w:tcPr>
            <w:tcW w:w="1470" w:type="dxa"/>
            <w:noWrap/>
            <w:hideMark/>
          </w:tcPr>
          <w:p w14:paraId="00F3313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72%</w:t>
            </w:r>
          </w:p>
        </w:tc>
        <w:tc>
          <w:tcPr>
            <w:tcW w:w="1275" w:type="dxa"/>
            <w:noWrap/>
            <w:hideMark/>
          </w:tcPr>
          <w:p w14:paraId="0CB4655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75%</w:t>
            </w:r>
          </w:p>
        </w:tc>
        <w:tc>
          <w:tcPr>
            <w:tcW w:w="1560" w:type="dxa"/>
            <w:noWrap/>
            <w:hideMark/>
          </w:tcPr>
          <w:p w14:paraId="7F9FE02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80%</w:t>
            </w:r>
          </w:p>
        </w:tc>
      </w:tr>
      <w:tr w:rsidR="001F4DDE" w:rsidRPr="000E6048" w14:paraId="1F432252"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B814BA2" w14:textId="77777777" w:rsidR="001F4DDE" w:rsidRPr="000E6048" w:rsidRDefault="001F4DDE" w:rsidP="001F4DDE">
            <w:pPr>
              <w:rPr>
                <w:color w:val="000000"/>
                <w:sz w:val="18"/>
                <w:szCs w:val="18"/>
              </w:rPr>
            </w:pPr>
            <w:r w:rsidRPr="000E6048">
              <w:rPr>
                <w:color w:val="000000"/>
                <w:sz w:val="18"/>
                <w:szCs w:val="18"/>
              </w:rPr>
              <w:t>Denmark</w:t>
            </w:r>
          </w:p>
        </w:tc>
        <w:tc>
          <w:tcPr>
            <w:tcW w:w="0" w:type="auto"/>
            <w:noWrap/>
            <w:hideMark/>
          </w:tcPr>
          <w:p w14:paraId="1A3F582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55%</w:t>
            </w:r>
          </w:p>
        </w:tc>
        <w:tc>
          <w:tcPr>
            <w:tcW w:w="0" w:type="auto"/>
            <w:noWrap/>
            <w:hideMark/>
          </w:tcPr>
          <w:p w14:paraId="0B24880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53%</w:t>
            </w:r>
          </w:p>
        </w:tc>
        <w:tc>
          <w:tcPr>
            <w:tcW w:w="1470" w:type="dxa"/>
            <w:noWrap/>
            <w:hideMark/>
          </w:tcPr>
          <w:p w14:paraId="138394E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59%</w:t>
            </w:r>
          </w:p>
        </w:tc>
        <w:tc>
          <w:tcPr>
            <w:tcW w:w="1275" w:type="dxa"/>
            <w:noWrap/>
            <w:hideMark/>
          </w:tcPr>
          <w:p w14:paraId="39F3BD9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62%</w:t>
            </w:r>
          </w:p>
        </w:tc>
        <w:tc>
          <w:tcPr>
            <w:tcW w:w="1560" w:type="dxa"/>
            <w:noWrap/>
            <w:hideMark/>
          </w:tcPr>
          <w:p w14:paraId="56BCACE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71%</w:t>
            </w:r>
          </w:p>
        </w:tc>
      </w:tr>
      <w:tr w:rsidR="001F4DDE" w:rsidRPr="000E6048" w14:paraId="14014CF7"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D8860EE" w14:textId="77777777" w:rsidR="001F4DDE" w:rsidRPr="000E6048" w:rsidRDefault="001F4DDE" w:rsidP="001F4DDE">
            <w:pPr>
              <w:rPr>
                <w:color w:val="000000"/>
                <w:sz w:val="18"/>
                <w:szCs w:val="18"/>
              </w:rPr>
            </w:pPr>
            <w:r w:rsidRPr="000E6048">
              <w:rPr>
                <w:color w:val="000000"/>
                <w:sz w:val="18"/>
                <w:szCs w:val="18"/>
              </w:rPr>
              <w:t>Finland</w:t>
            </w:r>
          </w:p>
        </w:tc>
        <w:tc>
          <w:tcPr>
            <w:tcW w:w="0" w:type="auto"/>
            <w:noWrap/>
            <w:hideMark/>
          </w:tcPr>
          <w:p w14:paraId="23FB6CB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45%</w:t>
            </w:r>
          </w:p>
        </w:tc>
        <w:tc>
          <w:tcPr>
            <w:tcW w:w="0" w:type="auto"/>
            <w:noWrap/>
            <w:hideMark/>
          </w:tcPr>
          <w:p w14:paraId="7F85A13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50%</w:t>
            </w:r>
          </w:p>
        </w:tc>
        <w:tc>
          <w:tcPr>
            <w:tcW w:w="1470" w:type="dxa"/>
            <w:noWrap/>
            <w:hideMark/>
          </w:tcPr>
          <w:p w14:paraId="448759F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54%</w:t>
            </w:r>
          </w:p>
        </w:tc>
        <w:tc>
          <w:tcPr>
            <w:tcW w:w="1275" w:type="dxa"/>
            <w:noWrap/>
            <w:hideMark/>
          </w:tcPr>
          <w:p w14:paraId="1792D9D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57%</w:t>
            </w:r>
          </w:p>
        </w:tc>
        <w:tc>
          <w:tcPr>
            <w:tcW w:w="1560" w:type="dxa"/>
            <w:noWrap/>
            <w:hideMark/>
          </w:tcPr>
          <w:p w14:paraId="77BC75D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74%</w:t>
            </w:r>
          </w:p>
        </w:tc>
      </w:tr>
      <w:tr w:rsidR="001F4DDE" w:rsidRPr="000E6048" w14:paraId="5550A31A"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0F25874" w14:textId="77777777" w:rsidR="001F4DDE" w:rsidRPr="000E6048" w:rsidRDefault="001F4DDE" w:rsidP="001F4DDE">
            <w:pPr>
              <w:rPr>
                <w:color w:val="000000"/>
                <w:sz w:val="18"/>
                <w:szCs w:val="18"/>
              </w:rPr>
            </w:pPr>
            <w:r w:rsidRPr="000E6048">
              <w:rPr>
                <w:color w:val="000000"/>
                <w:sz w:val="18"/>
                <w:szCs w:val="18"/>
              </w:rPr>
              <w:t>France</w:t>
            </w:r>
          </w:p>
        </w:tc>
        <w:tc>
          <w:tcPr>
            <w:tcW w:w="0" w:type="auto"/>
            <w:noWrap/>
            <w:hideMark/>
          </w:tcPr>
          <w:p w14:paraId="3C3820E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63%</w:t>
            </w:r>
          </w:p>
        </w:tc>
        <w:tc>
          <w:tcPr>
            <w:tcW w:w="0" w:type="auto"/>
            <w:noWrap/>
            <w:hideMark/>
          </w:tcPr>
          <w:p w14:paraId="5051F6D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66%</w:t>
            </w:r>
          </w:p>
        </w:tc>
        <w:tc>
          <w:tcPr>
            <w:tcW w:w="1470" w:type="dxa"/>
            <w:noWrap/>
            <w:hideMark/>
          </w:tcPr>
          <w:p w14:paraId="737731D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69%</w:t>
            </w:r>
          </w:p>
        </w:tc>
        <w:tc>
          <w:tcPr>
            <w:tcW w:w="1275" w:type="dxa"/>
            <w:noWrap/>
            <w:hideMark/>
          </w:tcPr>
          <w:p w14:paraId="3EBF73C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71%</w:t>
            </w:r>
          </w:p>
        </w:tc>
        <w:tc>
          <w:tcPr>
            <w:tcW w:w="1560" w:type="dxa"/>
            <w:noWrap/>
            <w:hideMark/>
          </w:tcPr>
          <w:p w14:paraId="51CA349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81%</w:t>
            </w:r>
          </w:p>
        </w:tc>
      </w:tr>
      <w:tr w:rsidR="001F4DDE" w:rsidRPr="000E6048" w14:paraId="34A896CD"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18E0E44" w14:textId="77777777" w:rsidR="001F4DDE" w:rsidRPr="000E6048" w:rsidRDefault="001F4DDE" w:rsidP="001F4DDE">
            <w:pPr>
              <w:rPr>
                <w:color w:val="000000"/>
                <w:sz w:val="18"/>
                <w:szCs w:val="18"/>
              </w:rPr>
            </w:pPr>
            <w:r w:rsidRPr="000E6048">
              <w:rPr>
                <w:color w:val="000000"/>
                <w:sz w:val="18"/>
                <w:szCs w:val="18"/>
              </w:rPr>
              <w:t>Germany</w:t>
            </w:r>
          </w:p>
        </w:tc>
        <w:tc>
          <w:tcPr>
            <w:tcW w:w="0" w:type="auto"/>
            <w:noWrap/>
            <w:hideMark/>
          </w:tcPr>
          <w:p w14:paraId="11C5F6C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61%</w:t>
            </w:r>
          </w:p>
        </w:tc>
        <w:tc>
          <w:tcPr>
            <w:tcW w:w="0" w:type="auto"/>
            <w:noWrap/>
            <w:hideMark/>
          </w:tcPr>
          <w:p w14:paraId="729A2E3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65%</w:t>
            </w:r>
          </w:p>
        </w:tc>
        <w:tc>
          <w:tcPr>
            <w:tcW w:w="1470" w:type="dxa"/>
            <w:noWrap/>
            <w:hideMark/>
          </w:tcPr>
          <w:p w14:paraId="1FEB53E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69%</w:t>
            </w:r>
          </w:p>
        </w:tc>
        <w:tc>
          <w:tcPr>
            <w:tcW w:w="1275" w:type="dxa"/>
            <w:noWrap/>
            <w:hideMark/>
          </w:tcPr>
          <w:p w14:paraId="21FEF56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70%</w:t>
            </w:r>
          </w:p>
        </w:tc>
        <w:tc>
          <w:tcPr>
            <w:tcW w:w="1560" w:type="dxa"/>
            <w:noWrap/>
            <w:hideMark/>
          </w:tcPr>
          <w:p w14:paraId="4D1834A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81%</w:t>
            </w:r>
          </w:p>
        </w:tc>
      </w:tr>
      <w:tr w:rsidR="001F4DDE" w:rsidRPr="000E6048" w14:paraId="78125EF9"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2AE0FCA" w14:textId="77777777" w:rsidR="001F4DDE" w:rsidRPr="000E6048" w:rsidRDefault="001F4DDE" w:rsidP="001F4DDE">
            <w:pPr>
              <w:rPr>
                <w:color w:val="000000"/>
                <w:sz w:val="18"/>
                <w:szCs w:val="18"/>
              </w:rPr>
            </w:pPr>
            <w:r w:rsidRPr="000E6048">
              <w:rPr>
                <w:color w:val="000000"/>
                <w:sz w:val="18"/>
                <w:szCs w:val="18"/>
              </w:rPr>
              <w:t>Hong Kong</w:t>
            </w:r>
          </w:p>
        </w:tc>
        <w:tc>
          <w:tcPr>
            <w:tcW w:w="0" w:type="auto"/>
            <w:noWrap/>
            <w:hideMark/>
          </w:tcPr>
          <w:p w14:paraId="2AA07FA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36%</w:t>
            </w:r>
          </w:p>
        </w:tc>
        <w:tc>
          <w:tcPr>
            <w:tcW w:w="0" w:type="auto"/>
            <w:noWrap/>
            <w:hideMark/>
          </w:tcPr>
          <w:p w14:paraId="6A4D867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38%</w:t>
            </w:r>
          </w:p>
        </w:tc>
        <w:tc>
          <w:tcPr>
            <w:tcW w:w="1470" w:type="dxa"/>
            <w:noWrap/>
            <w:hideMark/>
          </w:tcPr>
          <w:p w14:paraId="3B2BDBB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41%</w:t>
            </w:r>
          </w:p>
        </w:tc>
        <w:tc>
          <w:tcPr>
            <w:tcW w:w="1275" w:type="dxa"/>
            <w:noWrap/>
            <w:hideMark/>
          </w:tcPr>
          <w:p w14:paraId="1C99EC6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45%</w:t>
            </w:r>
          </w:p>
        </w:tc>
        <w:tc>
          <w:tcPr>
            <w:tcW w:w="1560" w:type="dxa"/>
            <w:noWrap/>
            <w:hideMark/>
          </w:tcPr>
          <w:p w14:paraId="580FFAB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47%</w:t>
            </w:r>
          </w:p>
        </w:tc>
      </w:tr>
      <w:tr w:rsidR="001F4DDE" w:rsidRPr="000E6048" w14:paraId="64FEDF18"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3D27981" w14:textId="77777777" w:rsidR="001F4DDE" w:rsidRPr="000E6048" w:rsidRDefault="001F4DDE" w:rsidP="001F4DDE">
            <w:pPr>
              <w:rPr>
                <w:color w:val="000000"/>
                <w:sz w:val="18"/>
                <w:szCs w:val="18"/>
              </w:rPr>
            </w:pPr>
            <w:r w:rsidRPr="000E6048">
              <w:rPr>
                <w:color w:val="000000"/>
                <w:sz w:val="18"/>
                <w:szCs w:val="18"/>
              </w:rPr>
              <w:t>Ireland</w:t>
            </w:r>
          </w:p>
        </w:tc>
        <w:tc>
          <w:tcPr>
            <w:tcW w:w="0" w:type="auto"/>
            <w:noWrap/>
            <w:hideMark/>
          </w:tcPr>
          <w:p w14:paraId="6C8C3E3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54%</w:t>
            </w:r>
          </w:p>
        </w:tc>
        <w:tc>
          <w:tcPr>
            <w:tcW w:w="0" w:type="auto"/>
            <w:noWrap/>
            <w:hideMark/>
          </w:tcPr>
          <w:p w14:paraId="5B3C145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49%</w:t>
            </w:r>
          </w:p>
        </w:tc>
        <w:tc>
          <w:tcPr>
            <w:tcW w:w="1470" w:type="dxa"/>
            <w:noWrap/>
            <w:hideMark/>
          </w:tcPr>
          <w:p w14:paraId="2AE5C67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53%</w:t>
            </w:r>
          </w:p>
        </w:tc>
        <w:tc>
          <w:tcPr>
            <w:tcW w:w="1275" w:type="dxa"/>
            <w:noWrap/>
            <w:hideMark/>
          </w:tcPr>
          <w:p w14:paraId="4BFABFA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57%</w:t>
            </w:r>
          </w:p>
        </w:tc>
        <w:tc>
          <w:tcPr>
            <w:tcW w:w="1560" w:type="dxa"/>
            <w:noWrap/>
            <w:hideMark/>
          </w:tcPr>
          <w:p w14:paraId="6D976B5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77%</w:t>
            </w:r>
          </w:p>
        </w:tc>
      </w:tr>
      <w:tr w:rsidR="001F4DDE" w:rsidRPr="000E6048" w14:paraId="488AF5F0"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0C195EE" w14:textId="77777777" w:rsidR="001F4DDE" w:rsidRPr="000E6048" w:rsidRDefault="001F4DDE" w:rsidP="001F4DDE">
            <w:pPr>
              <w:rPr>
                <w:color w:val="000000"/>
                <w:sz w:val="18"/>
                <w:szCs w:val="18"/>
              </w:rPr>
            </w:pPr>
            <w:r w:rsidRPr="000E6048">
              <w:rPr>
                <w:color w:val="000000"/>
                <w:sz w:val="18"/>
                <w:szCs w:val="18"/>
              </w:rPr>
              <w:t>Israel</w:t>
            </w:r>
          </w:p>
        </w:tc>
        <w:tc>
          <w:tcPr>
            <w:tcW w:w="0" w:type="auto"/>
            <w:noWrap/>
            <w:hideMark/>
          </w:tcPr>
          <w:p w14:paraId="3DA188C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29%</w:t>
            </w:r>
          </w:p>
        </w:tc>
        <w:tc>
          <w:tcPr>
            <w:tcW w:w="0" w:type="auto"/>
            <w:noWrap/>
            <w:hideMark/>
          </w:tcPr>
          <w:p w14:paraId="79081DE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40%</w:t>
            </w:r>
          </w:p>
        </w:tc>
        <w:tc>
          <w:tcPr>
            <w:tcW w:w="1470" w:type="dxa"/>
            <w:noWrap/>
            <w:hideMark/>
          </w:tcPr>
          <w:p w14:paraId="477096F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47%</w:t>
            </w:r>
          </w:p>
        </w:tc>
        <w:tc>
          <w:tcPr>
            <w:tcW w:w="1275" w:type="dxa"/>
            <w:noWrap/>
            <w:hideMark/>
          </w:tcPr>
          <w:p w14:paraId="455D40D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48%</w:t>
            </w:r>
          </w:p>
        </w:tc>
        <w:tc>
          <w:tcPr>
            <w:tcW w:w="1560" w:type="dxa"/>
            <w:noWrap/>
            <w:hideMark/>
          </w:tcPr>
          <w:p w14:paraId="258DB5F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57%</w:t>
            </w:r>
          </w:p>
        </w:tc>
      </w:tr>
      <w:tr w:rsidR="001F4DDE" w:rsidRPr="000E6048" w14:paraId="20A3D9CC"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609C1EB" w14:textId="77777777" w:rsidR="001F4DDE" w:rsidRPr="000E6048" w:rsidRDefault="001F4DDE" w:rsidP="001F4DDE">
            <w:pPr>
              <w:rPr>
                <w:color w:val="000000"/>
                <w:sz w:val="18"/>
                <w:szCs w:val="18"/>
              </w:rPr>
            </w:pPr>
            <w:r w:rsidRPr="000E6048">
              <w:rPr>
                <w:color w:val="000000"/>
                <w:sz w:val="18"/>
                <w:szCs w:val="18"/>
              </w:rPr>
              <w:t>Italy</w:t>
            </w:r>
          </w:p>
        </w:tc>
        <w:tc>
          <w:tcPr>
            <w:tcW w:w="0" w:type="auto"/>
            <w:noWrap/>
            <w:hideMark/>
          </w:tcPr>
          <w:p w14:paraId="0F61240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56%</w:t>
            </w:r>
          </w:p>
        </w:tc>
        <w:tc>
          <w:tcPr>
            <w:tcW w:w="0" w:type="auto"/>
            <w:noWrap/>
            <w:hideMark/>
          </w:tcPr>
          <w:p w14:paraId="1CAFB0E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58%</w:t>
            </w:r>
          </w:p>
        </w:tc>
        <w:tc>
          <w:tcPr>
            <w:tcW w:w="1470" w:type="dxa"/>
            <w:noWrap/>
            <w:hideMark/>
          </w:tcPr>
          <w:p w14:paraId="1B21722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61%</w:t>
            </w:r>
          </w:p>
        </w:tc>
        <w:tc>
          <w:tcPr>
            <w:tcW w:w="1275" w:type="dxa"/>
            <w:noWrap/>
            <w:hideMark/>
          </w:tcPr>
          <w:p w14:paraId="6D24B71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63%</w:t>
            </w:r>
          </w:p>
        </w:tc>
        <w:tc>
          <w:tcPr>
            <w:tcW w:w="1560" w:type="dxa"/>
            <w:noWrap/>
            <w:hideMark/>
          </w:tcPr>
          <w:p w14:paraId="3490589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75%</w:t>
            </w:r>
          </w:p>
        </w:tc>
      </w:tr>
      <w:tr w:rsidR="001F4DDE" w:rsidRPr="000E6048" w14:paraId="46FEFA33"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8E73662" w14:textId="77777777" w:rsidR="001F4DDE" w:rsidRPr="000E6048" w:rsidRDefault="001F4DDE" w:rsidP="001F4DDE">
            <w:pPr>
              <w:rPr>
                <w:color w:val="000000"/>
                <w:sz w:val="18"/>
                <w:szCs w:val="18"/>
              </w:rPr>
            </w:pPr>
            <w:r w:rsidRPr="000E6048">
              <w:rPr>
                <w:color w:val="000000"/>
                <w:sz w:val="18"/>
                <w:szCs w:val="18"/>
              </w:rPr>
              <w:t>Japan</w:t>
            </w:r>
          </w:p>
        </w:tc>
        <w:tc>
          <w:tcPr>
            <w:tcW w:w="0" w:type="auto"/>
            <w:noWrap/>
            <w:hideMark/>
          </w:tcPr>
          <w:p w14:paraId="691E2E2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27%</w:t>
            </w:r>
          </w:p>
        </w:tc>
        <w:tc>
          <w:tcPr>
            <w:tcW w:w="0" w:type="auto"/>
            <w:noWrap/>
            <w:hideMark/>
          </w:tcPr>
          <w:p w14:paraId="45DEA01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31%</w:t>
            </w:r>
          </w:p>
        </w:tc>
        <w:tc>
          <w:tcPr>
            <w:tcW w:w="1470" w:type="dxa"/>
            <w:noWrap/>
            <w:hideMark/>
          </w:tcPr>
          <w:p w14:paraId="08B02BC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36%</w:t>
            </w:r>
          </w:p>
        </w:tc>
        <w:tc>
          <w:tcPr>
            <w:tcW w:w="1275" w:type="dxa"/>
            <w:noWrap/>
            <w:hideMark/>
          </w:tcPr>
          <w:p w14:paraId="698B7B0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41%</w:t>
            </w:r>
          </w:p>
        </w:tc>
        <w:tc>
          <w:tcPr>
            <w:tcW w:w="1560" w:type="dxa"/>
            <w:noWrap/>
            <w:hideMark/>
          </w:tcPr>
          <w:p w14:paraId="26FCB02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71%</w:t>
            </w:r>
          </w:p>
        </w:tc>
      </w:tr>
      <w:tr w:rsidR="001F4DDE" w:rsidRPr="000E6048" w14:paraId="2079BA07"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ED1402F" w14:textId="77777777" w:rsidR="001F4DDE" w:rsidRPr="000E6048" w:rsidRDefault="001F4DDE" w:rsidP="001F4DDE">
            <w:pPr>
              <w:rPr>
                <w:color w:val="000000"/>
                <w:sz w:val="18"/>
                <w:szCs w:val="18"/>
              </w:rPr>
            </w:pPr>
            <w:r w:rsidRPr="000E6048">
              <w:rPr>
                <w:color w:val="000000"/>
                <w:sz w:val="18"/>
                <w:szCs w:val="18"/>
              </w:rPr>
              <w:t>Netherlands</w:t>
            </w:r>
          </w:p>
        </w:tc>
        <w:tc>
          <w:tcPr>
            <w:tcW w:w="0" w:type="auto"/>
            <w:noWrap/>
            <w:hideMark/>
          </w:tcPr>
          <w:p w14:paraId="7C9813C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c>
          <w:tcPr>
            <w:tcW w:w="0" w:type="auto"/>
            <w:noWrap/>
            <w:hideMark/>
          </w:tcPr>
          <w:p w14:paraId="713AB44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61%</w:t>
            </w:r>
          </w:p>
        </w:tc>
        <w:tc>
          <w:tcPr>
            <w:tcW w:w="1470" w:type="dxa"/>
            <w:noWrap/>
            <w:hideMark/>
          </w:tcPr>
          <w:p w14:paraId="742391B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65%</w:t>
            </w:r>
          </w:p>
        </w:tc>
        <w:tc>
          <w:tcPr>
            <w:tcW w:w="1275" w:type="dxa"/>
            <w:noWrap/>
            <w:hideMark/>
          </w:tcPr>
          <w:p w14:paraId="1399E5B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68%</w:t>
            </w:r>
          </w:p>
        </w:tc>
        <w:tc>
          <w:tcPr>
            <w:tcW w:w="1560" w:type="dxa"/>
            <w:noWrap/>
            <w:hideMark/>
          </w:tcPr>
          <w:p w14:paraId="120D3A1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82%</w:t>
            </w:r>
          </w:p>
        </w:tc>
      </w:tr>
      <w:tr w:rsidR="001F4DDE" w:rsidRPr="000E6048" w14:paraId="042409B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8E27130" w14:textId="77777777" w:rsidR="001F4DDE" w:rsidRPr="000E6048" w:rsidRDefault="001F4DDE" w:rsidP="001F4DDE">
            <w:pPr>
              <w:rPr>
                <w:color w:val="000000"/>
                <w:sz w:val="18"/>
                <w:szCs w:val="18"/>
              </w:rPr>
            </w:pPr>
            <w:r w:rsidRPr="000E6048">
              <w:rPr>
                <w:color w:val="000000"/>
                <w:sz w:val="18"/>
                <w:szCs w:val="18"/>
              </w:rPr>
              <w:t>New Zealand</w:t>
            </w:r>
          </w:p>
        </w:tc>
        <w:tc>
          <w:tcPr>
            <w:tcW w:w="0" w:type="auto"/>
            <w:noWrap/>
            <w:hideMark/>
          </w:tcPr>
          <w:p w14:paraId="221D25B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44%</w:t>
            </w:r>
          </w:p>
        </w:tc>
        <w:tc>
          <w:tcPr>
            <w:tcW w:w="0" w:type="auto"/>
            <w:noWrap/>
            <w:hideMark/>
          </w:tcPr>
          <w:p w14:paraId="533BB67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42%</w:t>
            </w:r>
          </w:p>
        </w:tc>
        <w:tc>
          <w:tcPr>
            <w:tcW w:w="1470" w:type="dxa"/>
            <w:noWrap/>
            <w:hideMark/>
          </w:tcPr>
          <w:p w14:paraId="34D3D1C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48%</w:t>
            </w:r>
          </w:p>
        </w:tc>
        <w:tc>
          <w:tcPr>
            <w:tcW w:w="1275" w:type="dxa"/>
            <w:noWrap/>
            <w:hideMark/>
          </w:tcPr>
          <w:p w14:paraId="3D24151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52%</w:t>
            </w:r>
          </w:p>
        </w:tc>
        <w:tc>
          <w:tcPr>
            <w:tcW w:w="1560" w:type="dxa"/>
            <w:noWrap/>
            <w:hideMark/>
          </w:tcPr>
          <w:p w14:paraId="2C48E91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68%</w:t>
            </w:r>
          </w:p>
        </w:tc>
      </w:tr>
      <w:tr w:rsidR="001F4DDE" w:rsidRPr="000E6048" w14:paraId="60211BD8"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595F8A3" w14:textId="77777777" w:rsidR="001F4DDE" w:rsidRPr="000E6048" w:rsidRDefault="001F4DDE" w:rsidP="001F4DDE">
            <w:pPr>
              <w:rPr>
                <w:color w:val="000000"/>
                <w:sz w:val="18"/>
                <w:szCs w:val="18"/>
              </w:rPr>
            </w:pPr>
            <w:r w:rsidRPr="000E6048">
              <w:rPr>
                <w:color w:val="000000"/>
                <w:sz w:val="18"/>
                <w:szCs w:val="18"/>
              </w:rPr>
              <w:t>Portugal</w:t>
            </w:r>
          </w:p>
        </w:tc>
        <w:tc>
          <w:tcPr>
            <w:tcW w:w="0" w:type="auto"/>
            <w:noWrap/>
            <w:hideMark/>
          </w:tcPr>
          <w:p w14:paraId="15707DC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43%</w:t>
            </w:r>
          </w:p>
        </w:tc>
        <w:tc>
          <w:tcPr>
            <w:tcW w:w="0" w:type="auto"/>
            <w:noWrap/>
            <w:hideMark/>
          </w:tcPr>
          <w:p w14:paraId="1795F8D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43%</w:t>
            </w:r>
          </w:p>
        </w:tc>
        <w:tc>
          <w:tcPr>
            <w:tcW w:w="1470" w:type="dxa"/>
            <w:noWrap/>
            <w:hideMark/>
          </w:tcPr>
          <w:p w14:paraId="6F76FBE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47%</w:t>
            </w:r>
          </w:p>
        </w:tc>
        <w:tc>
          <w:tcPr>
            <w:tcW w:w="1275" w:type="dxa"/>
            <w:noWrap/>
            <w:hideMark/>
          </w:tcPr>
          <w:p w14:paraId="42AAE3E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50%</w:t>
            </w:r>
          </w:p>
        </w:tc>
        <w:tc>
          <w:tcPr>
            <w:tcW w:w="1560" w:type="dxa"/>
            <w:noWrap/>
            <w:hideMark/>
          </w:tcPr>
          <w:p w14:paraId="30F5C8B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62%</w:t>
            </w:r>
          </w:p>
        </w:tc>
      </w:tr>
      <w:tr w:rsidR="001F4DDE" w:rsidRPr="000E6048" w14:paraId="61439B22"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1361CBC" w14:textId="77777777" w:rsidR="001F4DDE" w:rsidRPr="000E6048" w:rsidRDefault="001F4DDE" w:rsidP="001F4DDE">
            <w:pPr>
              <w:rPr>
                <w:color w:val="000000"/>
                <w:sz w:val="18"/>
                <w:szCs w:val="18"/>
              </w:rPr>
            </w:pPr>
            <w:r w:rsidRPr="000E6048">
              <w:rPr>
                <w:color w:val="000000"/>
                <w:sz w:val="18"/>
                <w:szCs w:val="18"/>
              </w:rPr>
              <w:t>Singapore</w:t>
            </w:r>
          </w:p>
        </w:tc>
        <w:tc>
          <w:tcPr>
            <w:tcW w:w="0" w:type="auto"/>
            <w:noWrap/>
            <w:hideMark/>
          </w:tcPr>
          <w:p w14:paraId="43F94E6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39%</w:t>
            </w:r>
          </w:p>
        </w:tc>
        <w:tc>
          <w:tcPr>
            <w:tcW w:w="0" w:type="auto"/>
            <w:noWrap/>
            <w:hideMark/>
          </w:tcPr>
          <w:p w14:paraId="4E40E9A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39%</w:t>
            </w:r>
          </w:p>
        </w:tc>
        <w:tc>
          <w:tcPr>
            <w:tcW w:w="1470" w:type="dxa"/>
            <w:noWrap/>
            <w:hideMark/>
          </w:tcPr>
          <w:p w14:paraId="2B4FB22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43%</w:t>
            </w:r>
          </w:p>
        </w:tc>
        <w:tc>
          <w:tcPr>
            <w:tcW w:w="1275" w:type="dxa"/>
            <w:noWrap/>
            <w:hideMark/>
          </w:tcPr>
          <w:p w14:paraId="2B71AAB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45%</w:t>
            </w:r>
          </w:p>
        </w:tc>
        <w:tc>
          <w:tcPr>
            <w:tcW w:w="1560" w:type="dxa"/>
            <w:noWrap/>
            <w:hideMark/>
          </w:tcPr>
          <w:p w14:paraId="42AF7C6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r>
      <w:tr w:rsidR="001F4DDE" w:rsidRPr="000E6048" w14:paraId="50617C33"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9A357E4" w14:textId="77777777" w:rsidR="001F4DDE" w:rsidRPr="000E6048" w:rsidRDefault="001F4DDE" w:rsidP="001F4DDE">
            <w:pPr>
              <w:rPr>
                <w:color w:val="000000"/>
                <w:sz w:val="18"/>
                <w:szCs w:val="18"/>
              </w:rPr>
            </w:pPr>
            <w:r w:rsidRPr="000E6048">
              <w:rPr>
                <w:color w:val="000000"/>
                <w:sz w:val="18"/>
                <w:szCs w:val="18"/>
              </w:rPr>
              <w:t>Spain</w:t>
            </w:r>
          </w:p>
        </w:tc>
        <w:tc>
          <w:tcPr>
            <w:tcW w:w="0" w:type="auto"/>
            <w:noWrap/>
            <w:hideMark/>
          </w:tcPr>
          <w:p w14:paraId="0A6FBF4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55%</w:t>
            </w:r>
          </w:p>
        </w:tc>
        <w:tc>
          <w:tcPr>
            <w:tcW w:w="0" w:type="auto"/>
            <w:noWrap/>
            <w:hideMark/>
          </w:tcPr>
          <w:p w14:paraId="7C0A3E4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55%</w:t>
            </w:r>
          </w:p>
        </w:tc>
        <w:tc>
          <w:tcPr>
            <w:tcW w:w="1470" w:type="dxa"/>
            <w:noWrap/>
            <w:hideMark/>
          </w:tcPr>
          <w:p w14:paraId="300496D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59%</w:t>
            </w:r>
          </w:p>
        </w:tc>
        <w:tc>
          <w:tcPr>
            <w:tcW w:w="1275" w:type="dxa"/>
            <w:noWrap/>
            <w:hideMark/>
          </w:tcPr>
          <w:p w14:paraId="3B1C916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c>
          <w:tcPr>
            <w:tcW w:w="1560" w:type="dxa"/>
            <w:noWrap/>
            <w:hideMark/>
          </w:tcPr>
          <w:p w14:paraId="5202CC3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79%</w:t>
            </w:r>
          </w:p>
        </w:tc>
      </w:tr>
      <w:tr w:rsidR="001F4DDE" w:rsidRPr="000E6048" w14:paraId="390DBF5A"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6E69408" w14:textId="77777777" w:rsidR="001F4DDE" w:rsidRPr="000E6048" w:rsidRDefault="001F4DDE" w:rsidP="001F4DDE">
            <w:pPr>
              <w:rPr>
                <w:color w:val="000000"/>
                <w:sz w:val="18"/>
                <w:szCs w:val="18"/>
              </w:rPr>
            </w:pPr>
            <w:r w:rsidRPr="000E6048">
              <w:rPr>
                <w:color w:val="000000"/>
                <w:sz w:val="18"/>
                <w:szCs w:val="18"/>
              </w:rPr>
              <w:t>Sweden</w:t>
            </w:r>
          </w:p>
        </w:tc>
        <w:tc>
          <w:tcPr>
            <w:tcW w:w="0" w:type="auto"/>
            <w:noWrap/>
            <w:hideMark/>
          </w:tcPr>
          <w:p w14:paraId="16C9D92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58%</w:t>
            </w:r>
          </w:p>
        </w:tc>
        <w:tc>
          <w:tcPr>
            <w:tcW w:w="0" w:type="auto"/>
            <w:noWrap/>
            <w:hideMark/>
          </w:tcPr>
          <w:p w14:paraId="589BF29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63%</w:t>
            </w:r>
          </w:p>
        </w:tc>
        <w:tc>
          <w:tcPr>
            <w:tcW w:w="1470" w:type="dxa"/>
            <w:noWrap/>
            <w:hideMark/>
          </w:tcPr>
          <w:p w14:paraId="71B5C99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67%</w:t>
            </w:r>
          </w:p>
        </w:tc>
        <w:tc>
          <w:tcPr>
            <w:tcW w:w="1275" w:type="dxa"/>
            <w:noWrap/>
            <w:hideMark/>
          </w:tcPr>
          <w:p w14:paraId="66039E0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69%</w:t>
            </w:r>
          </w:p>
        </w:tc>
        <w:tc>
          <w:tcPr>
            <w:tcW w:w="1560" w:type="dxa"/>
            <w:noWrap/>
            <w:hideMark/>
          </w:tcPr>
          <w:p w14:paraId="33D2CCF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80%</w:t>
            </w:r>
          </w:p>
        </w:tc>
      </w:tr>
      <w:tr w:rsidR="001F4DDE" w:rsidRPr="000E6048" w14:paraId="3085DB22"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F72AC32" w14:textId="77777777" w:rsidR="001F4DDE" w:rsidRPr="000E6048" w:rsidRDefault="001F4DDE" w:rsidP="001F4DDE">
            <w:pPr>
              <w:rPr>
                <w:color w:val="000000"/>
                <w:sz w:val="18"/>
                <w:szCs w:val="18"/>
              </w:rPr>
            </w:pPr>
            <w:r w:rsidRPr="000E6048">
              <w:rPr>
                <w:color w:val="000000"/>
                <w:sz w:val="18"/>
                <w:szCs w:val="18"/>
              </w:rPr>
              <w:t>Switzerland</w:t>
            </w:r>
          </w:p>
        </w:tc>
        <w:tc>
          <w:tcPr>
            <w:tcW w:w="0" w:type="auto"/>
            <w:noWrap/>
            <w:hideMark/>
          </w:tcPr>
          <w:p w14:paraId="4D44E57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55%</w:t>
            </w:r>
          </w:p>
        </w:tc>
        <w:tc>
          <w:tcPr>
            <w:tcW w:w="0" w:type="auto"/>
            <w:noWrap/>
            <w:hideMark/>
          </w:tcPr>
          <w:p w14:paraId="6723BDE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54%</w:t>
            </w:r>
          </w:p>
        </w:tc>
        <w:tc>
          <w:tcPr>
            <w:tcW w:w="1470" w:type="dxa"/>
            <w:noWrap/>
            <w:hideMark/>
          </w:tcPr>
          <w:p w14:paraId="61391F2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58%</w:t>
            </w:r>
          </w:p>
        </w:tc>
        <w:tc>
          <w:tcPr>
            <w:tcW w:w="1275" w:type="dxa"/>
            <w:noWrap/>
            <w:hideMark/>
          </w:tcPr>
          <w:p w14:paraId="676E26D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c>
          <w:tcPr>
            <w:tcW w:w="1560" w:type="dxa"/>
            <w:noWrap/>
            <w:hideMark/>
          </w:tcPr>
          <w:p w14:paraId="07D5CF7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77%</w:t>
            </w:r>
          </w:p>
        </w:tc>
      </w:tr>
      <w:tr w:rsidR="001F4DDE" w:rsidRPr="000E6048" w14:paraId="61239347"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A347056" w14:textId="77777777" w:rsidR="001F4DDE" w:rsidRPr="000E6048" w:rsidRDefault="001F4DDE" w:rsidP="001F4DDE">
            <w:pPr>
              <w:rPr>
                <w:color w:val="000000"/>
                <w:sz w:val="18"/>
                <w:szCs w:val="18"/>
              </w:rPr>
            </w:pPr>
            <w:r w:rsidRPr="000E6048">
              <w:rPr>
                <w:color w:val="000000"/>
                <w:sz w:val="18"/>
                <w:szCs w:val="18"/>
              </w:rPr>
              <w:t>UK</w:t>
            </w:r>
          </w:p>
        </w:tc>
        <w:tc>
          <w:tcPr>
            <w:tcW w:w="0" w:type="auto"/>
            <w:noWrap/>
            <w:hideMark/>
          </w:tcPr>
          <w:p w14:paraId="68C6439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65%</w:t>
            </w:r>
          </w:p>
        </w:tc>
        <w:tc>
          <w:tcPr>
            <w:tcW w:w="0" w:type="auto"/>
            <w:noWrap/>
            <w:hideMark/>
          </w:tcPr>
          <w:p w14:paraId="191B17F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64%</w:t>
            </w:r>
          </w:p>
        </w:tc>
        <w:tc>
          <w:tcPr>
            <w:tcW w:w="1470" w:type="dxa"/>
            <w:noWrap/>
            <w:hideMark/>
          </w:tcPr>
          <w:p w14:paraId="3F728BE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69%</w:t>
            </w:r>
          </w:p>
        </w:tc>
        <w:tc>
          <w:tcPr>
            <w:tcW w:w="1275" w:type="dxa"/>
            <w:noWrap/>
            <w:hideMark/>
          </w:tcPr>
          <w:p w14:paraId="286F34A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72%</w:t>
            </w:r>
          </w:p>
        </w:tc>
        <w:tc>
          <w:tcPr>
            <w:tcW w:w="1560" w:type="dxa"/>
            <w:noWrap/>
            <w:hideMark/>
          </w:tcPr>
          <w:p w14:paraId="4D44BD6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84%</w:t>
            </w:r>
          </w:p>
        </w:tc>
      </w:tr>
      <w:tr w:rsidR="001F4DDE" w:rsidRPr="000E6048" w14:paraId="68270691"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CD5E9BB" w14:textId="77777777" w:rsidR="001F4DDE" w:rsidRPr="000E6048" w:rsidRDefault="001F4DDE" w:rsidP="001F4DDE">
            <w:pPr>
              <w:rPr>
                <w:color w:val="000000"/>
                <w:sz w:val="18"/>
                <w:szCs w:val="18"/>
              </w:rPr>
            </w:pPr>
            <w:r w:rsidRPr="000E6048">
              <w:rPr>
                <w:color w:val="000000"/>
                <w:sz w:val="18"/>
                <w:szCs w:val="18"/>
              </w:rPr>
              <w:t>Average</w:t>
            </w:r>
          </w:p>
        </w:tc>
        <w:tc>
          <w:tcPr>
            <w:tcW w:w="0" w:type="auto"/>
            <w:noWrap/>
            <w:hideMark/>
          </w:tcPr>
          <w:p w14:paraId="257463B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51%</w:t>
            </w:r>
          </w:p>
        </w:tc>
        <w:tc>
          <w:tcPr>
            <w:tcW w:w="0" w:type="auto"/>
            <w:noWrap/>
            <w:hideMark/>
          </w:tcPr>
          <w:p w14:paraId="7D22CAA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51%</w:t>
            </w:r>
          </w:p>
        </w:tc>
        <w:tc>
          <w:tcPr>
            <w:tcW w:w="1470" w:type="dxa"/>
            <w:noWrap/>
            <w:hideMark/>
          </w:tcPr>
          <w:p w14:paraId="3AC4908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56%</w:t>
            </w:r>
          </w:p>
        </w:tc>
        <w:tc>
          <w:tcPr>
            <w:tcW w:w="1275" w:type="dxa"/>
            <w:noWrap/>
            <w:hideMark/>
          </w:tcPr>
          <w:p w14:paraId="21EA5A0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59%</w:t>
            </w:r>
          </w:p>
        </w:tc>
        <w:tc>
          <w:tcPr>
            <w:tcW w:w="1560" w:type="dxa"/>
            <w:noWrap/>
            <w:hideMark/>
          </w:tcPr>
          <w:p w14:paraId="368D5C9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74%</w:t>
            </w:r>
          </w:p>
        </w:tc>
      </w:tr>
      <w:tr w:rsidR="001F4DDE" w:rsidRPr="000E6048" w14:paraId="61C4A476"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3C33DB77" w14:textId="77777777" w:rsidR="001F4DDE" w:rsidRPr="00A1478D" w:rsidRDefault="001F4DDE" w:rsidP="001F4DDE">
            <w:pPr>
              <w:rPr>
                <w:i/>
                <w:color w:val="000000"/>
                <w:sz w:val="18"/>
                <w:szCs w:val="18"/>
              </w:rPr>
            </w:pPr>
            <w:r w:rsidRPr="00A1478D">
              <w:rPr>
                <w:i/>
                <w:color w:val="000000"/>
                <w:sz w:val="18"/>
                <w:szCs w:val="18"/>
              </w:rPr>
              <w:t>Emerging Markets</w:t>
            </w:r>
          </w:p>
        </w:tc>
        <w:tc>
          <w:tcPr>
            <w:tcW w:w="0" w:type="auto"/>
            <w:noWrap/>
          </w:tcPr>
          <w:p w14:paraId="2C77489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tcPr>
          <w:p w14:paraId="7727781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70" w:type="dxa"/>
            <w:noWrap/>
          </w:tcPr>
          <w:p w14:paraId="40377BB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5" w:type="dxa"/>
            <w:noWrap/>
          </w:tcPr>
          <w:p w14:paraId="2B915E6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560" w:type="dxa"/>
            <w:noWrap/>
          </w:tcPr>
          <w:p w14:paraId="02DFE0E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E6048" w14:paraId="1F816485"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FE61DD5" w14:textId="77777777" w:rsidR="001F4DDE" w:rsidRPr="000E6048" w:rsidRDefault="001F4DDE" w:rsidP="001F4DDE">
            <w:pPr>
              <w:rPr>
                <w:color w:val="000000"/>
                <w:sz w:val="18"/>
                <w:szCs w:val="18"/>
              </w:rPr>
            </w:pPr>
            <w:r w:rsidRPr="000E6048">
              <w:rPr>
                <w:color w:val="000000"/>
                <w:sz w:val="18"/>
                <w:szCs w:val="18"/>
              </w:rPr>
              <w:t>Brazil</w:t>
            </w:r>
          </w:p>
        </w:tc>
        <w:tc>
          <w:tcPr>
            <w:tcW w:w="0" w:type="auto"/>
            <w:noWrap/>
            <w:hideMark/>
          </w:tcPr>
          <w:p w14:paraId="4A13527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49%</w:t>
            </w:r>
          </w:p>
        </w:tc>
        <w:tc>
          <w:tcPr>
            <w:tcW w:w="0" w:type="auto"/>
            <w:noWrap/>
            <w:hideMark/>
          </w:tcPr>
          <w:p w14:paraId="625064A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51%</w:t>
            </w:r>
          </w:p>
        </w:tc>
        <w:tc>
          <w:tcPr>
            <w:tcW w:w="1470" w:type="dxa"/>
            <w:noWrap/>
            <w:hideMark/>
          </w:tcPr>
          <w:p w14:paraId="4131E29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57%</w:t>
            </w:r>
          </w:p>
        </w:tc>
        <w:tc>
          <w:tcPr>
            <w:tcW w:w="1275" w:type="dxa"/>
            <w:noWrap/>
            <w:hideMark/>
          </w:tcPr>
          <w:p w14:paraId="31CF5E4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c>
          <w:tcPr>
            <w:tcW w:w="1560" w:type="dxa"/>
            <w:noWrap/>
            <w:hideMark/>
          </w:tcPr>
          <w:p w14:paraId="7B5FA67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74%</w:t>
            </w:r>
          </w:p>
        </w:tc>
      </w:tr>
      <w:tr w:rsidR="001F4DDE" w:rsidRPr="000E6048" w14:paraId="7A1BF698"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1F9F498" w14:textId="77777777" w:rsidR="001F4DDE" w:rsidRPr="000E6048" w:rsidRDefault="001F4DDE" w:rsidP="001F4DDE">
            <w:pPr>
              <w:rPr>
                <w:color w:val="000000"/>
                <w:sz w:val="18"/>
                <w:szCs w:val="18"/>
              </w:rPr>
            </w:pPr>
            <w:r w:rsidRPr="000E6048">
              <w:rPr>
                <w:color w:val="000000"/>
                <w:sz w:val="18"/>
                <w:szCs w:val="18"/>
              </w:rPr>
              <w:t>Chile</w:t>
            </w:r>
          </w:p>
        </w:tc>
        <w:tc>
          <w:tcPr>
            <w:tcW w:w="0" w:type="auto"/>
            <w:noWrap/>
            <w:hideMark/>
          </w:tcPr>
          <w:p w14:paraId="2D29407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43%</w:t>
            </w:r>
          </w:p>
        </w:tc>
        <w:tc>
          <w:tcPr>
            <w:tcW w:w="0" w:type="auto"/>
            <w:noWrap/>
            <w:hideMark/>
          </w:tcPr>
          <w:p w14:paraId="229BCA0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45%</w:t>
            </w:r>
          </w:p>
        </w:tc>
        <w:tc>
          <w:tcPr>
            <w:tcW w:w="1470" w:type="dxa"/>
            <w:noWrap/>
            <w:hideMark/>
          </w:tcPr>
          <w:p w14:paraId="4DA19D5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49%</w:t>
            </w:r>
          </w:p>
        </w:tc>
        <w:tc>
          <w:tcPr>
            <w:tcW w:w="1275" w:type="dxa"/>
            <w:noWrap/>
            <w:hideMark/>
          </w:tcPr>
          <w:p w14:paraId="4C1D308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53%</w:t>
            </w:r>
          </w:p>
        </w:tc>
        <w:tc>
          <w:tcPr>
            <w:tcW w:w="1560" w:type="dxa"/>
            <w:noWrap/>
            <w:hideMark/>
          </w:tcPr>
          <w:p w14:paraId="16DB677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72%</w:t>
            </w:r>
          </w:p>
        </w:tc>
      </w:tr>
      <w:tr w:rsidR="001F4DDE" w:rsidRPr="000E6048" w14:paraId="302D4016"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DD02D4A" w14:textId="77777777" w:rsidR="001F4DDE" w:rsidRPr="000E6048" w:rsidRDefault="001F4DDE" w:rsidP="001F4DDE">
            <w:pPr>
              <w:rPr>
                <w:color w:val="000000"/>
                <w:sz w:val="18"/>
                <w:szCs w:val="18"/>
              </w:rPr>
            </w:pPr>
            <w:r w:rsidRPr="000E6048">
              <w:rPr>
                <w:color w:val="000000"/>
                <w:sz w:val="18"/>
                <w:szCs w:val="18"/>
              </w:rPr>
              <w:t>China</w:t>
            </w:r>
          </w:p>
        </w:tc>
        <w:tc>
          <w:tcPr>
            <w:tcW w:w="0" w:type="auto"/>
            <w:noWrap/>
            <w:hideMark/>
          </w:tcPr>
          <w:p w14:paraId="5666445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28%</w:t>
            </w:r>
          </w:p>
        </w:tc>
        <w:tc>
          <w:tcPr>
            <w:tcW w:w="0" w:type="auto"/>
            <w:noWrap/>
            <w:hideMark/>
          </w:tcPr>
          <w:p w14:paraId="2C58193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30%</w:t>
            </w:r>
          </w:p>
        </w:tc>
        <w:tc>
          <w:tcPr>
            <w:tcW w:w="1470" w:type="dxa"/>
            <w:noWrap/>
            <w:hideMark/>
          </w:tcPr>
          <w:p w14:paraId="4ACB3C0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32%</w:t>
            </w:r>
          </w:p>
        </w:tc>
        <w:tc>
          <w:tcPr>
            <w:tcW w:w="1275" w:type="dxa"/>
            <w:noWrap/>
            <w:hideMark/>
          </w:tcPr>
          <w:p w14:paraId="71C9A59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37%</w:t>
            </w:r>
          </w:p>
        </w:tc>
        <w:tc>
          <w:tcPr>
            <w:tcW w:w="1560" w:type="dxa"/>
            <w:noWrap/>
            <w:hideMark/>
          </w:tcPr>
          <w:p w14:paraId="5FE35B2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43%</w:t>
            </w:r>
          </w:p>
        </w:tc>
      </w:tr>
      <w:tr w:rsidR="001F4DDE" w:rsidRPr="000E6048" w14:paraId="38053E27"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3006010" w14:textId="77777777" w:rsidR="001F4DDE" w:rsidRPr="000E6048" w:rsidRDefault="001F4DDE" w:rsidP="001F4DDE">
            <w:pPr>
              <w:rPr>
                <w:color w:val="000000"/>
                <w:sz w:val="18"/>
                <w:szCs w:val="18"/>
              </w:rPr>
            </w:pPr>
            <w:r w:rsidRPr="000E6048">
              <w:rPr>
                <w:color w:val="000000"/>
                <w:sz w:val="18"/>
                <w:szCs w:val="18"/>
              </w:rPr>
              <w:t>Colombia</w:t>
            </w:r>
          </w:p>
        </w:tc>
        <w:tc>
          <w:tcPr>
            <w:tcW w:w="0" w:type="auto"/>
            <w:noWrap/>
            <w:hideMark/>
          </w:tcPr>
          <w:p w14:paraId="5072180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32%</w:t>
            </w:r>
          </w:p>
        </w:tc>
        <w:tc>
          <w:tcPr>
            <w:tcW w:w="0" w:type="auto"/>
            <w:noWrap/>
            <w:hideMark/>
          </w:tcPr>
          <w:p w14:paraId="440FE88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27%</w:t>
            </w:r>
          </w:p>
        </w:tc>
        <w:tc>
          <w:tcPr>
            <w:tcW w:w="1470" w:type="dxa"/>
            <w:noWrap/>
            <w:hideMark/>
          </w:tcPr>
          <w:p w14:paraId="3158812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32%</w:t>
            </w:r>
          </w:p>
        </w:tc>
        <w:tc>
          <w:tcPr>
            <w:tcW w:w="1275" w:type="dxa"/>
            <w:noWrap/>
            <w:hideMark/>
          </w:tcPr>
          <w:p w14:paraId="2B5F5D2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33%</w:t>
            </w:r>
          </w:p>
        </w:tc>
        <w:tc>
          <w:tcPr>
            <w:tcW w:w="1560" w:type="dxa"/>
            <w:noWrap/>
            <w:hideMark/>
          </w:tcPr>
          <w:p w14:paraId="04868767"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48%</w:t>
            </w:r>
          </w:p>
        </w:tc>
      </w:tr>
      <w:tr w:rsidR="001F4DDE" w:rsidRPr="000E6048" w14:paraId="4B503081"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C2E3FCD" w14:textId="77777777" w:rsidR="001F4DDE" w:rsidRPr="000E6048" w:rsidRDefault="001F4DDE" w:rsidP="001F4DDE">
            <w:pPr>
              <w:rPr>
                <w:color w:val="000000"/>
                <w:sz w:val="18"/>
                <w:szCs w:val="18"/>
              </w:rPr>
            </w:pPr>
            <w:r w:rsidRPr="000E6048">
              <w:rPr>
                <w:color w:val="000000"/>
                <w:sz w:val="18"/>
                <w:szCs w:val="18"/>
              </w:rPr>
              <w:t>India</w:t>
            </w:r>
          </w:p>
        </w:tc>
        <w:tc>
          <w:tcPr>
            <w:tcW w:w="0" w:type="auto"/>
            <w:noWrap/>
            <w:hideMark/>
          </w:tcPr>
          <w:p w14:paraId="555268F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33%</w:t>
            </w:r>
          </w:p>
        </w:tc>
        <w:tc>
          <w:tcPr>
            <w:tcW w:w="0" w:type="auto"/>
            <w:noWrap/>
            <w:hideMark/>
          </w:tcPr>
          <w:p w14:paraId="5591051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37%</w:t>
            </w:r>
          </w:p>
        </w:tc>
        <w:tc>
          <w:tcPr>
            <w:tcW w:w="1470" w:type="dxa"/>
            <w:noWrap/>
            <w:hideMark/>
          </w:tcPr>
          <w:p w14:paraId="377C78B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40%</w:t>
            </w:r>
          </w:p>
        </w:tc>
        <w:tc>
          <w:tcPr>
            <w:tcW w:w="1275" w:type="dxa"/>
            <w:noWrap/>
            <w:hideMark/>
          </w:tcPr>
          <w:p w14:paraId="3D3054B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44%</w:t>
            </w:r>
          </w:p>
        </w:tc>
        <w:tc>
          <w:tcPr>
            <w:tcW w:w="1560" w:type="dxa"/>
            <w:noWrap/>
            <w:hideMark/>
          </w:tcPr>
          <w:p w14:paraId="022E752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59%</w:t>
            </w:r>
          </w:p>
        </w:tc>
      </w:tr>
      <w:tr w:rsidR="001F4DDE" w:rsidRPr="000E6048" w14:paraId="2AB8CE24"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E61A393" w14:textId="77777777" w:rsidR="001F4DDE" w:rsidRPr="000E6048" w:rsidRDefault="001F4DDE" w:rsidP="001F4DDE">
            <w:pPr>
              <w:rPr>
                <w:color w:val="000000"/>
                <w:sz w:val="18"/>
                <w:szCs w:val="18"/>
              </w:rPr>
            </w:pPr>
            <w:r w:rsidRPr="000E6048">
              <w:rPr>
                <w:color w:val="000000"/>
                <w:sz w:val="18"/>
                <w:szCs w:val="18"/>
              </w:rPr>
              <w:t>Indonesia</w:t>
            </w:r>
          </w:p>
        </w:tc>
        <w:tc>
          <w:tcPr>
            <w:tcW w:w="0" w:type="auto"/>
            <w:noWrap/>
            <w:hideMark/>
          </w:tcPr>
          <w:p w14:paraId="62CD1FA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23%</w:t>
            </w:r>
          </w:p>
        </w:tc>
        <w:tc>
          <w:tcPr>
            <w:tcW w:w="0" w:type="auto"/>
            <w:noWrap/>
            <w:hideMark/>
          </w:tcPr>
          <w:p w14:paraId="7244676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23%</w:t>
            </w:r>
          </w:p>
        </w:tc>
        <w:tc>
          <w:tcPr>
            <w:tcW w:w="1470" w:type="dxa"/>
            <w:noWrap/>
            <w:hideMark/>
          </w:tcPr>
          <w:p w14:paraId="453F4EB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25%</w:t>
            </w:r>
          </w:p>
        </w:tc>
        <w:tc>
          <w:tcPr>
            <w:tcW w:w="1275" w:type="dxa"/>
            <w:noWrap/>
            <w:hideMark/>
          </w:tcPr>
          <w:p w14:paraId="28BC28E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31%</w:t>
            </w:r>
          </w:p>
        </w:tc>
        <w:tc>
          <w:tcPr>
            <w:tcW w:w="1560" w:type="dxa"/>
            <w:noWrap/>
            <w:hideMark/>
          </w:tcPr>
          <w:p w14:paraId="557954D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58%</w:t>
            </w:r>
          </w:p>
        </w:tc>
      </w:tr>
      <w:tr w:rsidR="001F4DDE" w:rsidRPr="000E6048" w14:paraId="628D2E79"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EC91598" w14:textId="77777777" w:rsidR="001F4DDE" w:rsidRPr="000E6048" w:rsidRDefault="001F4DDE" w:rsidP="001F4DDE">
            <w:pPr>
              <w:rPr>
                <w:color w:val="000000"/>
                <w:sz w:val="18"/>
                <w:szCs w:val="18"/>
              </w:rPr>
            </w:pPr>
            <w:r w:rsidRPr="000E6048">
              <w:rPr>
                <w:color w:val="000000"/>
                <w:sz w:val="18"/>
                <w:szCs w:val="18"/>
              </w:rPr>
              <w:t>Korea</w:t>
            </w:r>
          </w:p>
        </w:tc>
        <w:tc>
          <w:tcPr>
            <w:tcW w:w="0" w:type="auto"/>
            <w:noWrap/>
            <w:hideMark/>
          </w:tcPr>
          <w:p w14:paraId="534E2BE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33%</w:t>
            </w:r>
          </w:p>
        </w:tc>
        <w:tc>
          <w:tcPr>
            <w:tcW w:w="0" w:type="auto"/>
            <w:noWrap/>
            <w:hideMark/>
          </w:tcPr>
          <w:p w14:paraId="78F63166"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35%</w:t>
            </w:r>
          </w:p>
        </w:tc>
        <w:tc>
          <w:tcPr>
            <w:tcW w:w="1470" w:type="dxa"/>
            <w:noWrap/>
            <w:hideMark/>
          </w:tcPr>
          <w:p w14:paraId="17D20E0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43%</w:t>
            </w:r>
          </w:p>
        </w:tc>
        <w:tc>
          <w:tcPr>
            <w:tcW w:w="1275" w:type="dxa"/>
            <w:noWrap/>
            <w:hideMark/>
          </w:tcPr>
          <w:p w14:paraId="707081F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48%</w:t>
            </w:r>
          </w:p>
        </w:tc>
        <w:tc>
          <w:tcPr>
            <w:tcW w:w="1560" w:type="dxa"/>
            <w:noWrap/>
            <w:hideMark/>
          </w:tcPr>
          <w:p w14:paraId="2736209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61%</w:t>
            </w:r>
          </w:p>
        </w:tc>
      </w:tr>
      <w:tr w:rsidR="001F4DDE" w:rsidRPr="000E6048" w14:paraId="25FFE8F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D3CCE31" w14:textId="77777777" w:rsidR="001F4DDE" w:rsidRPr="000E6048" w:rsidRDefault="001F4DDE" w:rsidP="001F4DDE">
            <w:pPr>
              <w:rPr>
                <w:color w:val="000000"/>
                <w:sz w:val="18"/>
                <w:szCs w:val="18"/>
              </w:rPr>
            </w:pPr>
            <w:r w:rsidRPr="000E6048">
              <w:rPr>
                <w:color w:val="000000"/>
                <w:sz w:val="18"/>
                <w:szCs w:val="18"/>
              </w:rPr>
              <w:t>Malaysia</w:t>
            </w:r>
          </w:p>
        </w:tc>
        <w:tc>
          <w:tcPr>
            <w:tcW w:w="0" w:type="auto"/>
            <w:noWrap/>
            <w:hideMark/>
          </w:tcPr>
          <w:p w14:paraId="00BF1FC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18%</w:t>
            </w:r>
          </w:p>
        </w:tc>
        <w:tc>
          <w:tcPr>
            <w:tcW w:w="0" w:type="auto"/>
            <w:noWrap/>
            <w:hideMark/>
          </w:tcPr>
          <w:p w14:paraId="3F32869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22%</w:t>
            </w:r>
          </w:p>
        </w:tc>
        <w:tc>
          <w:tcPr>
            <w:tcW w:w="1470" w:type="dxa"/>
            <w:noWrap/>
            <w:hideMark/>
          </w:tcPr>
          <w:p w14:paraId="1062D17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24%</w:t>
            </w:r>
          </w:p>
        </w:tc>
        <w:tc>
          <w:tcPr>
            <w:tcW w:w="1275" w:type="dxa"/>
            <w:noWrap/>
            <w:hideMark/>
          </w:tcPr>
          <w:p w14:paraId="3A096E8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34%</w:t>
            </w:r>
          </w:p>
        </w:tc>
        <w:tc>
          <w:tcPr>
            <w:tcW w:w="1560" w:type="dxa"/>
            <w:noWrap/>
            <w:hideMark/>
          </w:tcPr>
          <w:p w14:paraId="16E3389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53%</w:t>
            </w:r>
          </w:p>
        </w:tc>
      </w:tr>
      <w:tr w:rsidR="001F4DDE" w:rsidRPr="000E6048" w14:paraId="72B998D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599A805" w14:textId="77777777" w:rsidR="001F4DDE" w:rsidRPr="000E6048" w:rsidRDefault="001F4DDE" w:rsidP="001F4DDE">
            <w:pPr>
              <w:rPr>
                <w:color w:val="000000"/>
                <w:sz w:val="18"/>
                <w:szCs w:val="18"/>
              </w:rPr>
            </w:pPr>
            <w:r w:rsidRPr="000E6048">
              <w:rPr>
                <w:color w:val="000000"/>
                <w:sz w:val="18"/>
                <w:szCs w:val="18"/>
              </w:rPr>
              <w:t>Mexico</w:t>
            </w:r>
          </w:p>
        </w:tc>
        <w:tc>
          <w:tcPr>
            <w:tcW w:w="0" w:type="auto"/>
            <w:noWrap/>
            <w:hideMark/>
          </w:tcPr>
          <w:p w14:paraId="52CFA28E"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61%</w:t>
            </w:r>
          </w:p>
        </w:tc>
        <w:tc>
          <w:tcPr>
            <w:tcW w:w="0" w:type="auto"/>
            <w:noWrap/>
            <w:hideMark/>
          </w:tcPr>
          <w:p w14:paraId="029BFA2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c>
          <w:tcPr>
            <w:tcW w:w="1470" w:type="dxa"/>
            <w:noWrap/>
            <w:hideMark/>
          </w:tcPr>
          <w:p w14:paraId="34D8787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63%</w:t>
            </w:r>
          </w:p>
        </w:tc>
        <w:tc>
          <w:tcPr>
            <w:tcW w:w="1275" w:type="dxa"/>
            <w:noWrap/>
            <w:hideMark/>
          </w:tcPr>
          <w:p w14:paraId="6F92665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68%</w:t>
            </w:r>
          </w:p>
        </w:tc>
        <w:tc>
          <w:tcPr>
            <w:tcW w:w="1560" w:type="dxa"/>
            <w:noWrap/>
            <w:hideMark/>
          </w:tcPr>
          <w:p w14:paraId="5E6C1049"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76%</w:t>
            </w:r>
          </w:p>
        </w:tc>
      </w:tr>
      <w:tr w:rsidR="001F4DDE" w:rsidRPr="000E6048" w14:paraId="275F3E4E"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552A0FAE" w14:textId="77777777" w:rsidR="001F4DDE" w:rsidRPr="000E6048" w:rsidRDefault="001F4DDE" w:rsidP="001F4DDE">
            <w:pPr>
              <w:rPr>
                <w:color w:val="000000"/>
                <w:sz w:val="18"/>
                <w:szCs w:val="18"/>
              </w:rPr>
            </w:pPr>
            <w:r w:rsidRPr="000E6048">
              <w:rPr>
                <w:color w:val="000000"/>
                <w:sz w:val="18"/>
                <w:szCs w:val="18"/>
              </w:rPr>
              <w:t>Philippines</w:t>
            </w:r>
          </w:p>
        </w:tc>
        <w:tc>
          <w:tcPr>
            <w:tcW w:w="0" w:type="auto"/>
            <w:noWrap/>
            <w:hideMark/>
          </w:tcPr>
          <w:p w14:paraId="49A8657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25%</w:t>
            </w:r>
          </w:p>
        </w:tc>
        <w:tc>
          <w:tcPr>
            <w:tcW w:w="0" w:type="auto"/>
            <w:noWrap/>
            <w:hideMark/>
          </w:tcPr>
          <w:p w14:paraId="5C489B1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24%</w:t>
            </w:r>
          </w:p>
        </w:tc>
        <w:tc>
          <w:tcPr>
            <w:tcW w:w="1470" w:type="dxa"/>
            <w:noWrap/>
            <w:hideMark/>
          </w:tcPr>
          <w:p w14:paraId="6872583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27%</w:t>
            </w:r>
          </w:p>
        </w:tc>
        <w:tc>
          <w:tcPr>
            <w:tcW w:w="1275" w:type="dxa"/>
            <w:noWrap/>
            <w:hideMark/>
          </w:tcPr>
          <w:p w14:paraId="05AED27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32%</w:t>
            </w:r>
          </w:p>
        </w:tc>
        <w:tc>
          <w:tcPr>
            <w:tcW w:w="1560" w:type="dxa"/>
            <w:noWrap/>
            <w:hideMark/>
          </w:tcPr>
          <w:p w14:paraId="1ECC86E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48%</w:t>
            </w:r>
          </w:p>
        </w:tc>
      </w:tr>
      <w:tr w:rsidR="001F4DDE" w:rsidRPr="000E6048" w14:paraId="7B5494DA"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BE604A4" w14:textId="77777777" w:rsidR="001F4DDE" w:rsidRPr="000E6048" w:rsidRDefault="001F4DDE" w:rsidP="001F4DDE">
            <w:pPr>
              <w:rPr>
                <w:color w:val="000000"/>
                <w:sz w:val="18"/>
                <w:szCs w:val="18"/>
              </w:rPr>
            </w:pPr>
            <w:r w:rsidRPr="000E6048">
              <w:rPr>
                <w:color w:val="000000"/>
                <w:sz w:val="18"/>
                <w:szCs w:val="18"/>
              </w:rPr>
              <w:t>Russia</w:t>
            </w:r>
          </w:p>
        </w:tc>
        <w:tc>
          <w:tcPr>
            <w:tcW w:w="0" w:type="auto"/>
            <w:noWrap/>
            <w:hideMark/>
          </w:tcPr>
          <w:p w14:paraId="124CB3F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29%</w:t>
            </w:r>
          </w:p>
        </w:tc>
        <w:tc>
          <w:tcPr>
            <w:tcW w:w="0" w:type="auto"/>
            <w:noWrap/>
            <w:hideMark/>
          </w:tcPr>
          <w:p w14:paraId="239FC60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29%</w:t>
            </w:r>
          </w:p>
        </w:tc>
        <w:tc>
          <w:tcPr>
            <w:tcW w:w="1470" w:type="dxa"/>
            <w:noWrap/>
            <w:hideMark/>
          </w:tcPr>
          <w:p w14:paraId="437D754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31%</w:t>
            </w:r>
          </w:p>
        </w:tc>
        <w:tc>
          <w:tcPr>
            <w:tcW w:w="1275" w:type="dxa"/>
            <w:noWrap/>
            <w:hideMark/>
          </w:tcPr>
          <w:p w14:paraId="3F080F9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37%</w:t>
            </w:r>
          </w:p>
        </w:tc>
        <w:tc>
          <w:tcPr>
            <w:tcW w:w="1560" w:type="dxa"/>
            <w:noWrap/>
            <w:hideMark/>
          </w:tcPr>
          <w:p w14:paraId="334BBB1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45%</w:t>
            </w:r>
          </w:p>
        </w:tc>
      </w:tr>
      <w:tr w:rsidR="001F4DDE" w:rsidRPr="000E6048" w14:paraId="0EFC929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6DF5DF0" w14:textId="77777777" w:rsidR="001F4DDE" w:rsidRPr="000E6048" w:rsidRDefault="001F4DDE" w:rsidP="001F4DDE">
            <w:pPr>
              <w:rPr>
                <w:color w:val="000000"/>
                <w:sz w:val="18"/>
                <w:szCs w:val="18"/>
              </w:rPr>
            </w:pPr>
            <w:r w:rsidRPr="000E6048">
              <w:rPr>
                <w:color w:val="000000"/>
                <w:sz w:val="18"/>
                <w:szCs w:val="18"/>
              </w:rPr>
              <w:t>South Africa</w:t>
            </w:r>
          </w:p>
        </w:tc>
        <w:tc>
          <w:tcPr>
            <w:tcW w:w="0" w:type="auto"/>
            <w:noWrap/>
            <w:hideMark/>
          </w:tcPr>
          <w:p w14:paraId="7223AC0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50%</w:t>
            </w:r>
          </w:p>
        </w:tc>
        <w:tc>
          <w:tcPr>
            <w:tcW w:w="0" w:type="auto"/>
            <w:noWrap/>
            <w:hideMark/>
          </w:tcPr>
          <w:p w14:paraId="5D8AB14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50%</w:t>
            </w:r>
          </w:p>
        </w:tc>
        <w:tc>
          <w:tcPr>
            <w:tcW w:w="1470" w:type="dxa"/>
            <w:noWrap/>
            <w:hideMark/>
          </w:tcPr>
          <w:p w14:paraId="2CBECD14"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57%</w:t>
            </w:r>
          </w:p>
        </w:tc>
        <w:tc>
          <w:tcPr>
            <w:tcW w:w="1275" w:type="dxa"/>
            <w:noWrap/>
            <w:hideMark/>
          </w:tcPr>
          <w:p w14:paraId="2ECE302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c>
          <w:tcPr>
            <w:tcW w:w="1560" w:type="dxa"/>
            <w:noWrap/>
            <w:hideMark/>
          </w:tcPr>
          <w:p w14:paraId="371A8211"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67%</w:t>
            </w:r>
          </w:p>
        </w:tc>
      </w:tr>
      <w:tr w:rsidR="001F4DDE" w:rsidRPr="000E6048" w14:paraId="3760F0B4"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A910247" w14:textId="77777777" w:rsidR="001F4DDE" w:rsidRPr="000E6048" w:rsidRDefault="001F4DDE" w:rsidP="001F4DDE">
            <w:pPr>
              <w:rPr>
                <w:color w:val="000000"/>
                <w:sz w:val="18"/>
                <w:szCs w:val="18"/>
              </w:rPr>
            </w:pPr>
            <w:r w:rsidRPr="000E6048">
              <w:rPr>
                <w:color w:val="000000"/>
                <w:sz w:val="18"/>
                <w:szCs w:val="18"/>
              </w:rPr>
              <w:t>Taiwan</w:t>
            </w:r>
          </w:p>
        </w:tc>
        <w:tc>
          <w:tcPr>
            <w:tcW w:w="0" w:type="auto"/>
            <w:noWrap/>
            <w:hideMark/>
          </w:tcPr>
          <w:p w14:paraId="78111995"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30%</w:t>
            </w:r>
          </w:p>
        </w:tc>
        <w:tc>
          <w:tcPr>
            <w:tcW w:w="0" w:type="auto"/>
            <w:noWrap/>
            <w:hideMark/>
          </w:tcPr>
          <w:p w14:paraId="430F676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34%</w:t>
            </w:r>
          </w:p>
        </w:tc>
        <w:tc>
          <w:tcPr>
            <w:tcW w:w="1470" w:type="dxa"/>
            <w:noWrap/>
            <w:hideMark/>
          </w:tcPr>
          <w:p w14:paraId="40FDF6F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40%</w:t>
            </w:r>
          </w:p>
        </w:tc>
        <w:tc>
          <w:tcPr>
            <w:tcW w:w="1275" w:type="dxa"/>
            <w:noWrap/>
            <w:hideMark/>
          </w:tcPr>
          <w:p w14:paraId="69F92053"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44%</w:t>
            </w:r>
          </w:p>
        </w:tc>
        <w:tc>
          <w:tcPr>
            <w:tcW w:w="1560" w:type="dxa"/>
            <w:noWrap/>
            <w:hideMark/>
          </w:tcPr>
          <w:p w14:paraId="1559F6E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60%</w:t>
            </w:r>
          </w:p>
        </w:tc>
      </w:tr>
      <w:tr w:rsidR="001F4DDE" w:rsidRPr="000E6048" w14:paraId="3609F2AC"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CFEF080" w14:textId="77777777" w:rsidR="001F4DDE" w:rsidRPr="000E6048" w:rsidRDefault="001F4DDE" w:rsidP="001F4DDE">
            <w:pPr>
              <w:rPr>
                <w:color w:val="000000"/>
                <w:sz w:val="18"/>
                <w:szCs w:val="18"/>
              </w:rPr>
            </w:pPr>
            <w:r w:rsidRPr="000E6048">
              <w:rPr>
                <w:color w:val="000000"/>
                <w:sz w:val="18"/>
                <w:szCs w:val="18"/>
              </w:rPr>
              <w:t>Thailand</w:t>
            </w:r>
          </w:p>
        </w:tc>
        <w:tc>
          <w:tcPr>
            <w:tcW w:w="0" w:type="auto"/>
            <w:noWrap/>
            <w:hideMark/>
          </w:tcPr>
          <w:p w14:paraId="7B5D206F"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16%</w:t>
            </w:r>
          </w:p>
        </w:tc>
        <w:tc>
          <w:tcPr>
            <w:tcW w:w="0" w:type="auto"/>
            <w:noWrap/>
            <w:hideMark/>
          </w:tcPr>
          <w:p w14:paraId="3EB23C8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19%</w:t>
            </w:r>
          </w:p>
        </w:tc>
        <w:tc>
          <w:tcPr>
            <w:tcW w:w="1470" w:type="dxa"/>
            <w:noWrap/>
            <w:hideMark/>
          </w:tcPr>
          <w:p w14:paraId="56C91122"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27%</w:t>
            </w:r>
          </w:p>
        </w:tc>
        <w:tc>
          <w:tcPr>
            <w:tcW w:w="1275" w:type="dxa"/>
            <w:noWrap/>
            <w:hideMark/>
          </w:tcPr>
          <w:p w14:paraId="7AA33C7C"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34%</w:t>
            </w:r>
          </w:p>
        </w:tc>
        <w:tc>
          <w:tcPr>
            <w:tcW w:w="1560" w:type="dxa"/>
            <w:noWrap/>
            <w:hideMark/>
          </w:tcPr>
          <w:p w14:paraId="635459E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44%</w:t>
            </w:r>
          </w:p>
        </w:tc>
      </w:tr>
      <w:tr w:rsidR="001F4DDE" w:rsidRPr="000E6048" w14:paraId="0D32EC2D"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6AF7EB6" w14:textId="77777777" w:rsidR="001F4DDE" w:rsidRPr="000E6048" w:rsidRDefault="001F4DDE" w:rsidP="001F4DDE">
            <w:pPr>
              <w:rPr>
                <w:color w:val="000000"/>
                <w:sz w:val="18"/>
                <w:szCs w:val="18"/>
              </w:rPr>
            </w:pPr>
            <w:r w:rsidRPr="000E6048">
              <w:rPr>
                <w:color w:val="000000"/>
                <w:sz w:val="18"/>
                <w:szCs w:val="18"/>
              </w:rPr>
              <w:t>Turkey</w:t>
            </w:r>
          </w:p>
        </w:tc>
        <w:tc>
          <w:tcPr>
            <w:tcW w:w="0" w:type="auto"/>
            <w:noWrap/>
            <w:hideMark/>
          </w:tcPr>
          <w:p w14:paraId="059CD7E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33%</w:t>
            </w:r>
          </w:p>
        </w:tc>
        <w:tc>
          <w:tcPr>
            <w:tcW w:w="0" w:type="auto"/>
            <w:noWrap/>
            <w:hideMark/>
          </w:tcPr>
          <w:p w14:paraId="6D1251F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31%</w:t>
            </w:r>
          </w:p>
        </w:tc>
        <w:tc>
          <w:tcPr>
            <w:tcW w:w="1470" w:type="dxa"/>
            <w:noWrap/>
            <w:hideMark/>
          </w:tcPr>
          <w:p w14:paraId="72E037C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33%</w:t>
            </w:r>
          </w:p>
        </w:tc>
        <w:tc>
          <w:tcPr>
            <w:tcW w:w="1275" w:type="dxa"/>
            <w:noWrap/>
            <w:hideMark/>
          </w:tcPr>
          <w:p w14:paraId="1EC93B5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40%</w:t>
            </w:r>
          </w:p>
        </w:tc>
        <w:tc>
          <w:tcPr>
            <w:tcW w:w="1560" w:type="dxa"/>
            <w:noWrap/>
            <w:hideMark/>
          </w:tcPr>
          <w:p w14:paraId="28F6554B"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0E6048">
              <w:rPr>
                <w:color w:val="000000"/>
                <w:sz w:val="18"/>
                <w:szCs w:val="18"/>
              </w:rPr>
              <w:t>57%</w:t>
            </w:r>
          </w:p>
        </w:tc>
      </w:tr>
      <w:tr w:rsidR="001F4DDE" w:rsidRPr="000E6048" w14:paraId="2932992D"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59B2A39" w14:textId="77777777" w:rsidR="001F4DDE" w:rsidRPr="000E6048" w:rsidRDefault="001F4DDE" w:rsidP="001F4DDE">
            <w:pPr>
              <w:rPr>
                <w:color w:val="000000"/>
                <w:sz w:val="18"/>
                <w:szCs w:val="18"/>
              </w:rPr>
            </w:pPr>
            <w:r w:rsidRPr="000E6048">
              <w:rPr>
                <w:color w:val="000000"/>
                <w:sz w:val="18"/>
                <w:szCs w:val="18"/>
              </w:rPr>
              <w:t>Average</w:t>
            </w:r>
          </w:p>
        </w:tc>
        <w:tc>
          <w:tcPr>
            <w:tcW w:w="0" w:type="auto"/>
            <w:noWrap/>
            <w:hideMark/>
          </w:tcPr>
          <w:p w14:paraId="5CAFCF8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34%</w:t>
            </w:r>
          </w:p>
        </w:tc>
        <w:tc>
          <w:tcPr>
            <w:tcW w:w="0" w:type="auto"/>
            <w:noWrap/>
            <w:hideMark/>
          </w:tcPr>
          <w:p w14:paraId="5FB973F0"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34%</w:t>
            </w:r>
          </w:p>
        </w:tc>
        <w:tc>
          <w:tcPr>
            <w:tcW w:w="1470" w:type="dxa"/>
            <w:noWrap/>
            <w:hideMark/>
          </w:tcPr>
          <w:p w14:paraId="68A1AEBA"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39%</w:t>
            </w:r>
          </w:p>
        </w:tc>
        <w:tc>
          <w:tcPr>
            <w:tcW w:w="1275" w:type="dxa"/>
            <w:noWrap/>
            <w:hideMark/>
          </w:tcPr>
          <w:p w14:paraId="1DB90F08"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44%</w:t>
            </w:r>
          </w:p>
        </w:tc>
        <w:tc>
          <w:tcPr>
            <w:tcW w:w="1560" w:type="dxa"/>
            <w:noWrap/>
            <w:hideMark/>
          </w:tcPr>
          <w:p w14:paraId="5F826A3D" w14:textId="77777777" w:rsidR="001F4DDE" w:rsidRPr="000E6048" w:rsidRDefault="001F4DDE" w:rsidP="001F4DDE">
            <w:pP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E6048">
              <w:rPr>
                <w:bCs/>
                <w:color w:val="000000"/>
                <w:sz w:val="18"/>
                <w:szCs w:val="18"/>
              </w:rPr>
              <w:t>58%</w:t>
            </w:r>
          </w:p>
        </w:tc>
      </w:tr>
    </w:tbl>
    <w:p w14:paraId="152B2639" w14:textId="77777777" w:rsidR="001F4DDE" w:rsidRPr="000E6048" w:rsidRDefault="001F4DDE" w:rsidP="001F4DDE">
      <w:pPr>
        <w:spacing w:line="240" w:lineRule="auto"/>
        <w:ind w:right="737"/>
        <w:rPr>
          <w:rFonts w:ascii="Times New Roman" w:hAnsi="Times New Roman"/>
          <w:sz w:val="18"/>
          <w:szCs w:val="18"/>
        </w:rPr>
      </w:pPr>
      <w:r w:rsidRPr="000E6048">
        <w:rPr>
          <w:rFonts w:ascii="Times New Roman" w:hAnsi="Times New Roman"/>
          <w:sz w:val="18"/>
          <w:szCs w:val="18"/>
        </w:rPr>
        <w:t xml:space="preserve">Notes: This table shows the pairwise correlation of each foreign country index with a portfolio of domestic US firms, with the Russell 1000, with D1 comprised of Industry Indices, with D2 comprised of the Russell 1000, MNCs and Industry Indices, and D3 comprised of the Russell 1000, MNCs, Industry Indices, ADRs, iShares and CCFs.  </w:t>
      </w:r>
    </w:p>
    <w:p w14:paraId="33660823" w14:textId="77777777" w:rsidR="00E644AA" w:rsidRDefault="00E644AA">
      <w:pPr>
        <w:rPr>
          <w:rFonts w:ascii="Times New Roman" w:eastAsia="Times New Roman" w:hAnsi="Times New Roman" w:cs="Times New Roman"/>
          <w:b/>
          <w:bCs/>
          <w:sz w:val="20"/>
          <w:szCs w:val="20"/>
          <w:lang w:val="en-US"/>
        </w:rPr>
      </w:pPr>
      <w:bookmarkStart w:id="13" w:name="_Toc383428907"/>
      <w:r>
        <w:br w:type="page"/>
      </w:r>
    </w:p>
    <w:p w14:paraId="6C52FFBA" w14:textId="77777777" w:rsidR="001F4DDE" w:rsidRDefault="00E644AA" w:rsidP="005817F4">
      <w:pPr>
        <w:pStyle w:val="Caption"/>
      </w:pPr>
      <w:bookmarkStart w:id="14" w:name="_Ref384643250"/>
      <w:r>
        <w:lastRenderedPageBreak/>
        <w:t xml:space="preserve">Table </w:t>
      </w:r>
      <w:r w:rsidR="00CD4B7C">
        <w:fldChar w:fldCharType="begin"/>
      </w:r>
      <w:r w:rsidR="00CD4B7C">
        <w:instrText xml:space="preserve"> SEQ Table \* ARABIC </w:instrText>
      </w:r>
      <w:r w:rsidR="00CD4B7C">
        <w:fldChar w:fldCharType="separate"/>
      </w:r>
      <w:r w:rsidR="00A0607E">
        <w:rPr>
          <w:noProof/>
        </w:rPr>
        <w:t>5</w:t>
      </w:r>
      <w:r w:rsidR="00CD4B7C">
        <w:rPr>
          <w:noProof/>
        </w:rPr>
        <w:fldChar w:fldCharType="end"/>
      </w:r>
      <w:bookmarkEnd w:id="14"/>
      <w:r w:rsidRPr="00991889">
        <w:t xml:space="preserve"> </w:t>
      </w:r>
      <w:r w:rsidR="001F4DDE" w:rsidRPr="00991889">
        <w:t>Risk-adjusted Return</w:t>
      </w:r>
      <w:bookmarkEnd w:id="13"/>
      <w:r w:rsidR="001F4DDE" w:rsidRPr="000E6048">
        <w:rPr>
          <w:b/>
        </w:rPr>
        <w:t xml:space="preserve"> </w:t>
      </w:r>
    </w:p>
    <w:tbl>
      <w:tblPr>
        <w:tblStyle w:val="TableClassic1"/>
        <w:tblW w:w="10206" w:type="dxa"/>
        <w:tblLayout w:type="fixed"/>
        <w:tblLook w:val="04A0" w:firstRow="1" w:lastRow="0" w:firstColumn="1" w:lastColumn="0" w:noHBand="0" w:noVBand="1"/>
      </w:tblPr>
      <w:tblGrid>
        <w:gridCol w:w="1276"/>
        <w:gridCol w:w="709"/>
        <w:gridCol w:w="709"/>
        <w:gridCol w:w="708"/>
        <w:gridCol w:w="851"/>
        <w:gridCol w:w="850"/>
        <w:gridCol w:w="709"/>
        <w:gridCol w:w="709"/>
        <w:gridCol w:w="709"/>
        <w:gridCol w:w="708"/>
        <w:gridCol w:w="709"/>
        <w:gridCol w:w="709"/>
        <w:gridCol w:w="850"/>
      </w:tblGrid>
      <w:tr w:rsidR="001F4DDE" w:rsidRPr="004F2B84" w14:paraId="5EE40BC8" w14:textId="77777777" w:rsidTr="001F4D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7297AAE" w14:textId="77777777" w:rsidR="001F4DDE" w:rsidRPr="004F2B84" w:rsidRDefault="001F4DDE" w:rsidP="001F4DDE">
            <w:pPr>
              <w:rPr>
                <w:color w:val="000000"/>
                <w:sz w:val="18"/>
                <w:szCs w:val="18"/>
              </w:rPr>
            </w:pPr>
          </w:p>
        </w:tc>
        <w:tc>
          <w:tcPr>
            <w:tcW w:w="2126" w:type="dxa"/>
            <w:gridSpan w:val="3"/>
            <w:noWrap/>
            <w:hideMark/>
          </w:tcPr>
          <w:p w14:paraId="1D5445A5" w14:textId="77777777" w:rsidR="001F4DDE" w:rsidRPr="004F2B84"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Country indices</w:t>
            </w:r>
          </w:p>
        </w:tc>
        <w:tc>
          <w:tcPr>
            <w:tcW w:w="2410" w:type="dxa"/>
            <w:gridSpan w:val="3"/>
            <w:noWrap/>
            <w:hideMark/>
          </w:tcPr>
          <w:p w14:paraId="45009C04" w14:textId="77777777" w:rsidR="001F4DDE" w:rsidRPr="004F2B84"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D1</w:t>
            </w:r>
          </w:p>
        </w:tc>
        <w:tc>
          <w:tcPr>
            <w:tcW w:w="2126" w:type="dxa"/>
            <w:gridSpan w:val="3"/>
            <w:noWrap/>
            <w:hideMark/>
          </w:tcPr>
          <w:p w14:paraId="436E0D76" w14:textId="77777777" w:rsidR="001F4DDE" w:rsidRPr="004F2B84"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D2</w:t>
            </w:r>
          </w:p>
        </w:tc>
        <w:tc>
          <w:tcPr>
            <w:tcW w:w="2268" w:type="dxa"/>
            <w:gridSpan w:val="3"/>
            <w:noWrap/>
            <w:hideMark/>
          </w:tcPr>
          <w:p w14:paraId="700730B2" w14:textId="77777777" w:rsidR="001F4DDE" w:rsidRPr="004F2B84"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D3</w:t>
            </w:r>
          </w:p>
        </w:tc>
      </w:tr>
      <w:tr w:rsidR="001F4DDE" w:rsidRPr="004F2B84" w14:paraId="5FD4F576" w14:textId="77777777" w:rsidTr="001F4DDE">
        <w:trPr>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DA4DFE1" w14:textId="77777777" w:rsidR="001F4DDE" w:rsidRPr="00B31A61" w:rsidRDefault="001F4DDE" w:rsidP="001F4DDE">
            <w:pPr>
              <w:rPr>
                <w:bCs/>
                <w:i/>
                <w:color w:val="000000"/>
                <w:sz w:val="18"/>
                <w:szCs w:val="18"/>
              </w:rPr>
            </w:pPr>
            <w:r w:rsidRPr="00B31A61">
              <w:rPr>
                <w:bCs/>
                <w:i/>
                <w:color w:val="000000"/>
                <w:sz w:val="18"/>
                <w:szCs w:val="18"/>
              </w:rPr>
              <w:t>Developed Markets</w:t>
            </w:r>
          </w:p>
        </w:tc>
        <w:tc>
          <w:tcPr>
            <w:tcW w:w="709" w:type="dxa"/>
            <w:noWrap/>
            <w:hideMark/>
          </w:tcPr>
          <w:p w14:paraId="692DADFA"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 xml:space="preserve">Return </w:t>
            </w:r>
          </w:p>
        </w:tc>
        <w:tc>
          <w:tcPr>
            <w:tcW w:w="709" w:type="dxa"/>
            <w:noWrap/>
            <w:hideMark/>
          </w:tcPr>
          <w:p w14:paraId="187837C0"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Risk</w:t>
            </w:r>
          </w:p>
        </w:tc>
        <w:tc>
          <w:tcPr>
            <w:tcW w:w="708" w:type="dxa"/>
            <w:noWrap/>
            <w:hideMark/>
          </w:tcPr>
          <w:p w14:paraId="56FF71C1"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Return/Risk</w:t>
            </w:r>
          </w:p>
        </w:tc>
        <w:tc>
          <w:tcPr>
            <w:tcW w:w="851" w:type="dxa"/>
            <w:noWrap/>
            <w:hideMark/>
          </w:tcPr>
          <w:p w14:paraId="20BBCB03"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 xml:space="preserve">Return </w:t>
            </w:r>
          </w:p>
        </w:tc>
        <w:tc>
          <w:tcPr>
            <w:tcW w:w="850" w:type="dxa"/>
            <w:noWrap/>
            <w:hideMark/>
          </w:tcPr>
          <w:p w14:paraId="5F67FA05"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Risk</w:t>
            </w:r>
          </w:p>
        </w:tc>
        <w:tc>
          <w:tcPr>
            <w:tcW w:w="709" w:type="dxa"/>
            <w:noWrap/>
            <w:hideMark/>
          </w:tcPr>
          <w:p w14:paraId="32EF7A0B"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Return/Risk</w:t>
            </w:r>
          </w:p>
        </w:tc>
        <w:tc>
          <w:tcPr>
            <w:tcW w:w="709" w:type="dxa"/>
            <w:noWrap/>
            <w:hideMark/>
          </w:tcPr>
          <w:p w14:paraId="2829C4E0"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 xml:space="preserve">Return </w:t>
            </w:r>
          </w:p>
        </w:tc>
        <w:tc>
          <w:tcPr>
            <w:tcW w:w="709" w:type="dxa"/>
            <w:noWrap/>
            <w:hideMark/>
          </w:tcPr>
          <w:p w14:paraId="657286C9"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Risk</w:t>
            </w:r>
          </w:p>
        </w:tc>
        <w:tc>
          <w:tcPr>
            <w:tcW w:w="708" w:type="dxa"/>
            <w:noWrap/>
            <w:hideMark/>
          </w:tcPr>
          <w:p w14:paraId="75A9BCCF"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Return/Risk</w:t>
            </w:r>
          </w:p>
        </w:tc>
        <w:tc>
          <w:tcPr>
            <w:tcW w:w="709" w:type="dxa"/>
            <w:noWrap/>
            <w:hideMark/>
          </w:tcPr>
          <w:p w14:paraId="0BBD51B4"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 xml:space="preserve">Return </w:t>
            </w:r>
          </w:p>
        </w:tc>
        <w:tc>
          <w:tcPr>
            <w:tcW w:w="709" w:type="dxa"/>
            <w:noWrap/>
            <w:hideMark/>
          </w:tcPr>
          <w:p w14:paraId="78F42DA5"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Risk</w:t>
            </w:r>
          </w:p>
        </w:tc>
        <w:tc>
          <w:tcPr>
            <w:tcW w:w="850" w:type="dxa"/>
            <w:noWrap/>
            <w:hideMark/>
          </w:tcPr>
          <w:p w14:paraId="4A88092E" w14:textId="77777777" w:rsidR="001F4DDE" w:rsidRPr="004F2B84"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Return/Risk</w:t>
            </w:r>
          </w:p>
        </w:tc>
      </w:tr>
      <w:tr w:rsidR="001F4DDE" w:rsidRPr="004F2B84" w14:paraId="51FEA85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7D9A236" w14:textId="77777777" w:rsidR="001F4DDE" w:rsidRPr="00B31A61" w:rsidRDefault="001F4DDE" w:rsidP="001F4DDE">
            <w:pPr>
              <w:rPr>
                <w:bCs/>
                <w:color w:val="000000"/>
                <w:sz w:val="18"/>
                <w:szCs w:val="18"/>
              </w:rPr>
            </w:pPr>
            <w:r w:rsidRPr="00B31A61">
              <w:rPr>
                <w:bCs/>
                <w:color w:val="000000"/>
                <w:sz w:val="18"/>
                <w:szCs w:val="18"/>
              </w:rPr>
              <w:t>Argentina</w:t>
            </w:r>
          </w:p>
        </w:tc>
        <w:tc>
          <w:tcPr>
            <w:tcW w:w="709" w:type="dxa"/>
            <w:noWrap/>
            <w:hideMark/>
          </w:tcPr>
          <w:p w14:paraId="4330AC2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7.9%</w:t>
            </w:r>
          </w:p>
        </w:tc>
        <w:tc>
          <w:tcPr>
            <w:tcW w:w="709" w:type="dxa"/>
            <w:noWrap/>
            <w:hideMark/>
          </w:tcPr>
          <w:p w14:paraId="3D488F3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39.2%</w:t>
            </w:r>
          </w:p>
        </w:tc>
        <w:tc>
          <w:tcPr>
            <w:tcW w:w="708" w:type="dxa"/>
            <w:noWrap/>
            <w:hideMark/>
          </w:tcPr>
          <w:p w14:paraId="23ABC67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0.20</w:t>
            </w:r>
          </w:p>
        </w:tc>
        <w:tc>
          <w:tcPr>
            <w:tcW w:w="851" w:type="dxa"/>
            <w:noWrap/>
            <w:hideMark/>
          </w:tcPr>
          <w:p w14:paraId="0FE8A82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7.9%</w:t>
            </w:r>
          </w:p>
        </w:tc>
        <w:tc>
          <w:tcPr>
            <w:tcW w:w="850" w:type="dxa"/>
            <w:noWrap/>
            <w:hideMark/>
          </w:tcPr>
          <w:p w14:paraId="6B86D3F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17.2%</w:t>
            </w:r>
          </w:p>
        </w:tc>
        <w:tc>
          <w:tcPr>
            <w:tcW w:w="709" w:type="dxa"/>
            <w:noWrap/>
            <w:hideMark/>
          </w:tcPr>
          <w:p w14:paraId="2E7EFD6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0.46</w:t>
            </w:r>
          </w:p>
        </w:tc>
        <w:tc>
          <w:tcPr>
            <w:tcW w:w="709" w:type="dxa"/>
            <w:noWrap/>
            <w:hideMark/>
          </w:tcPr>
          <w:p w14:paraId="58CD361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7.9%</w:t>
            </w:r>
          </w:p>
        </w:tc>
        <w:tc>
          <w:tcPr>
            <w:tcW w:w="709" w:type="dxa"/>
            <w:noWrap/>
            <w:hideMark/>
          </w:tcPr>
          <w:p w14:paraId="53A19F2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18.5%</w:t>
            </w:r>
          </w:p>
        </w:tc>
        <w:tc>
          <w:tcPr>
            <w:tcW w:w="708" w:type="dxa"/>
            <w:noWrap/>
            <w:hideMark/>
          </w:tcPr>
          <w:p w14:paraId="7A63398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0.43</w:t>
            </w:r>
          </w:p>
        </w:tc>
        <w:tc>
          <w:tcPr>
            <w:tcW w:w="709" w:type="dxa"/>
            <w:noWrap/>
            <w:hideMark/>
          </w:tcPr>
          <w:p w14:paraId="4BA2461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7.9%</w:t>
            </w:r>
          </w:p>
        </w:tc>
        <w:tc>
          <w:tcPr>
            <w:tcW w:w="709" w:type="dxa"/>
            <w:noWrap/>
            <w:hideMark/>
          </w:tcPr>
          <w:p w14:paraId="2B67784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24.5%</w:t>
            </w:r>
          </w:p>
        </w:tc>
        <w:tc>
          <w:tcPr>
            <w:tcW w:w="850" w:type="dxa"/>
            <w:noWrap/>
            <w:hideMark/>
          </w:tcPr>
          <w:p w14:paraId="3B7D53A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r>
      <w:tr w:rsidR="001F4DDE" w:rsidRPr="004F2B84" w14:paraId="3ABA774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18D3C25" w14:textId="77777777" w:rsidR="001F4DDE" w:rsidRPr="00B31A61" w:rsidRDefault="001F4DDE" w:rsidP="001F4DDE">
            <w:pPr>
              <w:rPr>
                <w:bCs/>
                <w:color w:val="000000"/>
                <w:sz w:val="18"/>
                <w:szCs w:val="18"/>
              </w:rPr>
            </w:pPr>
            <w:r w:rsidRPr="00B31A61">
              <w:rPr>
                <w:bCs/>
                <w:color w:val="000000"/>
                <w:sz w:val="18"/>
                <w:szCs w:val="18"/>
              </w:rPr>
              <w:t>Australia</w:t>
            </w:r>
          </w:p>
        </w:tc>
        <w:tc>
          <w:tcPr>
            <w:tcW w:w="709" w:type="dxa"/>
            <w:noWrap/>
            <w:hideMark/>
          </w:tcPr>
          <w:p w14:paraId="12491AC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10.2%</w:t>
            </w:r>
          </w:p>
        </w:tc>
        <w:tc>
          <w:tcPr>
            <w:tcW w:w="709" w:type="dxa"/>
            <w:noWrap/>
            <w:hideMark/>
          </w:tcPr>
          <w:p w14:paraId="19960FA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23.7%</w:t>
            </w:r>
          </w:p>
        </w:tc>
        <w:tc>
          <w:tcPr>
            <w:tcW w:w="708" w:type="dxa"/>
            <w:noWrap/>
            <w:hideMark/>
          </w:tcPr>
          <w:p w14:paraId="2CE24F3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0.43</w:t>
            </w:r>
          </w:p>
        </w:tc>
        <w:tc>
          <w:tcPr>
            <w:tcW w:w="851" w:type="dxa"/>
            <w:noWrap/>
            <w:hideMark/>
          </w:tcPr>
          <w:p w14:paraId="0105752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10.2%</w:t>
            </w:r>
          </w:p>
        </w:tc>
        <w:tc>
          <w:tcPr>
            <w:tcW w:w="850" w:type="dxa"/>
            <w:noWrap/>
            <w:hideMark/>
          </w:tcPr>
          <w:p w14:paraId="496D1FC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15.6%</w:t>
            </w:r>
          </w:p>
        </w:tc>
        <w:tc>
          <w:tcPr>
            <w:tcW w:w="709" w:type="dxa"/>
            <w:noWrap/>
            <w:hideMark/>
          </w:tcPr>
          <w:p w14:paraId="7A690CB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0.65</w:t>
            </w:r>
          </w:p>
        </w:tc>
        <w:tc>
          <w:tcPr>
            <w:tcW w:w="709" w:type="dxa"/>
            <w:noWrap/>
            <w:hideMark/>
          </w:tcPr>
          <w:p w14:paraId="2B1A356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10.2%</w:t>
            </w:r>
          </w:p>
        </w:tc>
        <w:tc>
          <w:tcPr>
            <w:tcW w:w="709" w:type="dxa"/>
            <w:noWrap/>
            <w:hideMark/>
          </w:tcPr>
          <w:p w14:paraId="277F97B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16.6%</w:t>
            </w:r>
          </w:p>
        </w:tc>
        <w:tc>
          <w:tcPr>
            <w:tcW w:w="708" w:type="dxa"/>
            <w:noWrap/>
            <w:hideMark/>
          </w:tcPr>
          <w:p w14:paraId="64ED405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0.61</w:t>
            </w:r>
          </w:p>
        </w:tc>
        <w:tc>
          <w:tcPr>
            <w:tcW w:w="709" w:type="dxa"/>
            <w:noWrap/>
            <w:hideMark/>
          </w:tcPr>
          <w:p w14:paraId="7CCB490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10.2%</w:t>
            </w:r>
          </w:p>
        </w:tc>
        <w:tc>
          <w:tcPr>
            <w:tcW w:w="709" w:type="dxa"/>
            <w:noWrap/>
            <w:hideMark/>
          </w:tcPr>
          <w:p w14:paraId="1DBCE36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20.9%</w:t>
            </w:r>
          </w:p>
        </w:tc>
        <w:tc>
          <w:tcPr>
            <w:tcW w:w="850" w:type="dxa"/>
            <w:noWrap/>
            <w:hideMark/>
          </w:tcPr>
          <w:p w14:paraId="726C2AF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0.49</w:t>
            </w:r>
          </w:p>
        </w:tc>
      </w:tr>
      <w:tr w:rsidR="001F4DDE" w:rsidRPr="004F2B84" w14:paraId="6A90516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E7E44A5" w14:textId="77777777" w:rsidR="001F4DDE" w:rsidRPr="00B31A61" w:rsidRDefault="001F4DDE" w:rsidP="001F4DDE">
            <w:pPr>
              <w:rPr>
                <w:bCs/>
                <w:color w:val="000000"/>
                <w:sz w:val="18"/>
                <w:szCs w:val="18"/>
              </w:rPr>
            </w:pPr>
            <w:r w:rsidRPr="00B31A61">
              <w:rPr>
                <w:bCs/>
                <w:color w:val="000000"/>
                <w:sz w:val="18"/>
                <w:szCs w:val="18"/>
              </w:rPr>
              <w:t>Austria</w:t>
            </w:r>
          </w:p>
        </w:tc>
        <w:tc>
          <w:tcPr>
            <w:tcW w:w="709" w:type="dxa"/>
            <w:noWrap/>
            <w:hideMark/>
          </w:tcPr>
          <w:p w14:paraId="6D1C38B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5.4%</w:t>
            </w:r>
          </w:p>
        </w:tc>
        <w:tc>
          <w:tcPr>
            <w:tcW w:w="709" w:type="dxa"/>
            <w:noWrap/>
            <w:hideMark/>
          </w:tcPr>
          <w:p w14:paraId="6EB8CF5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28.0%</w:t>
            </w:r>
          </w:p>
        </w:tc>
        <w:tc>
          <w:tcPr>
            <w:tcW w:w="708" w:type="dxa"/>
            <w:noWrap/>
            <w:hideMark/>
          </w:tcPr>
          <w:p w14:paraId="42F66CF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0.19</w:t>
            </w:r>
          </w:p>
        </w:tc>
        <w:tc>
          <w:tcPr>
            <w:tcW w:w="851" w:type="dxa"/>
            <w:noWrap/>
            <w:hideMark/>
          </w:tcPr>
          <w:p w14:paraId="02BEC9B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850" w:type="dxa"/>
            <w:noWrap/>
            <w:hideMark/>
          </w:tcPr>
          <w:p w14:paraId="6C4C919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16.1%</w:t>
            </w:r>
          </w:p>
        </w:tc>
        <w:tc>
          <w:tcPr>
            <w:tcW w:w="709" w:type="dxa"/>
            <w:noWrap/>
            <w:hideMark/>
          </w:tcPr>
          <w:p w14:paraId="50797B1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c>
          <w:tcPr>
            <w:tcW w:w="709" w:type="dxa"/>
            <w:noWrap/>
            <w:hideMark/>
          </w:tcPr>
          <w:p w14:paraId="5F72EA4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709" w:type="dxa"/>
            <w:noWrap/>
            <w:hideMark/>
          </w:tcPr>
          <w:p w14:paraId="569395D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17.7%</w:t>
            </w:r>
          </w:p>
        </w:tc>
        <w:tc>
          <w:tcPr>
            <w:tcW w:w="708" w:type="dxa"/>
            <w:noWrap/>
            <w:hideMark/>
          </w:tcPr>
          <w:p w14:paraId="76E83B5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0.29</w:t>
            </w:r>
          </w:p>
        </w:tc>
        <w:tc>
          <w:tcPr>
            <w:tcW w:w="709" w:type="dxa"/>
            <w:noWrap/>
            <w:hideMark/>
          </w:tcPr>
          <w:p w14:paraId="4639311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709" w:type="dxa"/>
            <w:noWrap/>
            <w:hideMark/>
          </w:tcPr>
          <w:p w14:paraId="1B1D8AC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23.4%</w:t>
            </w:r>
          </w:p>
        </w:tc>
        <w:tc>
          <w:tcPr>
            <w:tcW w:w="850" w:type="dxa"/>
            <w:noWrap/>
            <w:hideMark/>
          </w:tcPr>
          <w:p w14:paraId="576220C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0.22</w:t>
            </w:r>
          </w:p>
        </w:tc>
      </w:tr>
      <w:tr w:rsidR="001F4DDE" w:rsidRPr="004F2B84" w14:paraId="2513B17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D8EBCF9" w14:textId="77777777" w:rsidR="001F4DDE" w:rsidRPr="00B31A61" w:rsidRDefault="001F4DDE" w:rsidP="001F4DDE">
            <w:pPr>
              <w:rPr>
                <w:bCs/>
                <w:color w:val="000000"/>
                <w:sz w:val="18"/>
                <w:szCs w:val="18"/>
              </w:rPr>
            </w:pPr>
            <w:r w:rsidRPr="00B31A61">
              <w:rPr>
                <w:bCs/>
                <w:color w:val="000000"/>
                <w:sz w:val="18"/>
                <w:szCs w:val="18"/>
              </w:rPr>
              <w:t>Belgium</w:t>
            </w:r>
          </w:p>
        </w:tc>
        <w:tc>
          <w:tcPr>
            <w:tcW w:w="709" w:type="dxa"/>
            <w:noWrap/>
            <w:hideMark/>
          </w:tcPr>
          <w:p w14:paraId="27F461E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4.7%</w:t>
            </w:r>
          </w:p>
        </w:tc>
        <w:tc>
          <w:tcPr>
            <w:tcW w:w="709" w:type="dxa"/>
            <w:noWrap/>
            <w:hideMark/>
          </w:tcPr>
          <w:p w14:paraId="655D367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24.0%</w:t>
            </w:r>
          </w:p>
        </w:tc>
        <w:tc>
          <w:tcPr>
            <w:tcW w:w="708" w:type="dxa"/>
            <w:noWrap/>
            <w:hideMark/>
          </w:tcPr>
          <w:p w14:paraId="43FF084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0.20</w:t>
            </w:r>
          </w:p>
        </w:tc>
        <w:tc>
          <w:tcPr>
            <w:tcW w:w="851" w:type="dxa"/>
            <w:noWrap/>
            <w:hideMark/>
          </w:tcPr>
          <w:p w14:paraId="29EDB3E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3.3%</w:t>
            </w:r>
          </w:p>
        </w:tc>
        <w:tc>
          <w:tcPr>
            <w:tcW w:w="850" w:type="dxa"/>
            <w:noWrap/>
            <w:hideMark/>
          </w:tcPr>
          <w:p w14:paraId="1F1CA26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13.7%</w:t>
            </w:r>
          </w:p>
        </w:tc>
        <w:tc>
          <w:tcPr>
            <w:tcW w:w="709" w:type="dxa"/>
            <w:noWrap/>
            <w:hideMark/>
          </w:tcPr>
          <w:p w14:paraId="288E32D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0.24</w:t>
            </w:r>
          </w:p>
        </w:tc>
        <w:tc>
          <w:tcPr>
            <w:tcW w:w="709" w:type="dxa"/>
            <w:noWrap/>
            <w:hideMark/>
          </w:tcPr>
          <w:p w14:paraId="72402BA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3.5%</w:t>
            </w:r>
          </w:p>
        </w:tc>
        <w:tc>
          <w:tcPr>
            <w:tcW w:w="709" w:type="dxa"/>
            <w:noWrap/>
            <w:hideMark/>
          </w:tcPr>
          <w:p w14:paraId="22D79A8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14.6%</w:t>
            </w:r>
          </w:p>
        </w:tc>
        <w:tc>
          <w:tcPr>
            <w:tcW w:w="708" w:type="dxa"/>
            <w:noWrap/>
            <w:hideMark/>
          </w:tcPr>
          <w:p w14:paraId="4451213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0.24</w:t>
            </w:r>
          </w:p>
        </w:tc>
        <w:tc>
          <w:tcPr>
            <w:tcW w:w="709" w:type="dxa"/>
            <w:noWrap/>
            <w:hideMark/>
          </w:tcPr>
          <w:p w14:paraId="7773F67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3.2%</w:t>
            </w:r>
          </w:p>
        </w:tc>
        <w:tc>
          <w:tcPr>
            <w:tcW w:w="709" w:type="dxa"/>
            <w:noWrap/>
            <w:hideMark/>
          </w:tcPr>
          <w:p w14:paraId="36C3625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18.7%</w:t>
            </w:r>
          </w:p>
        </w:tc>
        <w:tc>
          <w:tcPr>
            <w:tcW w:w="850" w:type="dxa"/>
            <w:noWrap/>
            <w:hideMark/>
          </w:tcPr>
          <w:p w14:paraId="00A06A1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0.17</w:t>
            </w:r>
          </w:p>
        </w:tc>
      </w:tr>
      <w:tr w:rsidR="001F4DDE" w:rsidRPr="004F2B84" w14:paraId="4C72E37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F8B7D97" w14:textId="77777777" w:rsidR="001F4DDE" w:rsidRPr="00B31A61" w:rsidRDefault="001F4DDE" w:rsidP="001F4DDE">
            <w:pPr>
              <w:rPr>
                <w:bCs/>
                <w:color w:val="000000"/>
                <w:sz w:val="18"/>
                <w:szCs w:val="18"/>
              </w:rPr>
            </w:pPr>
            <w:r w:rsidRPr="00B31A61">
              <w:rPr>
                <w:bCs/>
                <w:color w:val="000000"/>
                <w:sz w:val="18"/>
                <w:szCs w:val="18"/>
              </w:rPr>
              <w:t xml:space="preserve">Canada </w:t>
            </w:r>
          </w:p>
        </w:tc>
        <w:tc>
          <w:tcPr>
            <w:tcW w:w="709" w:type="dxa"/>
            <w:noWrap/>
            <w:hideMark/>
          </w:tcPr>
          <w:p w14:paraId="255DF60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11.4%</w:t>
            </w:r>
          </w:p>
        </w:tc>
        <w:tc>
          <w:tcPr>
            <w:tcW w:w="709" w:type="dxa"/>
            <w:noWrap/>
            <w:hideMark/>
          </w:tcPr>
          <w:p w14:paraId="20B3C5C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23.6%</w:t>
            </w:r>
          </w:p>
        </w:tc>
        <w:tc>
          <w:tcPr>
            <w:tcW w:w="708" w:type="dxa"/>
            <w:noWrap/>
            <w:hideMark/>
          </w:tcPr>
          <w:p w14:paraId="2BB64FD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0.48</w:t>
            </w:r>
          </w:p>
        </w:tc>
        <w:tc>
          <w:tcPr>
            <w:tcW w:w="851" w:type="dxa"/>
            <w:noWrap/>
            <w:hideMark/>
          </w:tcPr>
          <w:p w14:paraId="0C218C9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5.7%</w:t>
            </w:r>
          </w:p>
        </w:tc>
        <w:tc>
          <w:tcPr>
            <w:tcW w:w="850" w:type="dxa"/>
            <w:noWrap/>
            <w:hideMark/>
          </w:tcPr>
          <w:p w14:paraId="7E1BAAD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16.9%</w:t>
            </w:r>
          </w:p>
        </w:tc>
        <w:tc>
          <w:tcPr>
            <w:tcW w:w="709" w:type="dxa"/>
            <w:noWrap/>
            <w:hideMark/>
          </w:tcPr>
          <w:p w14:paraId="0675CB1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0.34</w:t>
            </w:r>
          </w:p>
        </w:tc>
        <w:tc>
          <w:tcPr>
            <w:tcW w:w="709" w:type="dxa"/>
            <w:noWrap/>
            <w:hideMark/>
          </w:tcPr>
          <w:p w14:paraId="6FFD8BE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3.9%</w:t>
            </w:r>
          </w:p>
        </w:tc>
        <w:tc>
          <w:tcPr>
            <w:tcW w:w="709" w:type="dxa"/>
            <w:noWrap/>
            <w:hideMark/>
          </w:tcPr>
          <w:p w14:paraId="6CEDB0A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17.8%</w:t>
            </w:r>
          </w:p>
        </w:tc>
        <w:tc>
          <w:tcPr>
            <w:tcW w:w="708" w:type="dxa"/>
            <w:noWrap/>
            <w:hideMark/>
          </w:tcPr>
          <w:p w14:paraId="759EE14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0.22</w:t>
            </w:r>
          </w:p>
        </w:tc>
        <w:tc>
          <w:tcPr>
            <w:tcW w:w="709" w:type="dxa"/>
            <w:noWrap/>
            <w:hideMark/>
          </w:tcPr>
          <w:p w14:paraId="6B35C00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7.1%</w:t>
            </w:r>
          </w:p>
        </w:tc>
        <w:tc>
          <w:tcPr>
            <w:tcW w:w="709" w:type="dxa"/>
            <w:noWrap/>
            <w:hideMark/>
          </w:tcPr>
          <w:p w14:paraId="0813C46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18.7%</w:t>
            </w:r>
          </w:p>
        </w:tc>
        <w:tc>
          <w:tcPr>
            <w:tcW w:w="850" w:type="dxa"/>
            <w:noWrap/>
            <w:hideMark/>
          </w:tcPr>
          <w:p w14:paraId="7962556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0.38</w:t>
            </w:r>
          </w:p>
        </w:tc>
      </w:tr>
      <w:tr w:rsidR="001F4DDE" w:rsidRPr="004F2B84" w14:paraId="5B8D999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E8C9202" w14:textId="77777777" w:rsidR="001F4DDE" w:rsidRPr="00B31A61" w:rsidRDefault="001F4DDE" w:rsidP="001F4DDE">
            <w:pPr>
              <w:rPr>
                <w:bCs/>
                <w:color w:val="000000"/>
                <w:sz w:val="18"/>
                <w:szCs w:val="18"/>
              </w:rPr>
            </w:pPr>
            <w:r w:rsidRPr="00B31A61">
              <w:rPr>
                <w:bCs/>
                <w:color w:val="000000"/>
                <w:sz w:val="18"/>
                <w:szCs w:val="18"/>
              </w:rPr>
              <w:t>Denmark</w:t>
            </w:r>
          </w:p>
        </w:tc>
        <w:tc>
          <w:tcPr>
            <w:tcW w:w="709" w:type="dxa"/>
            <w:noWrap/>
            <w:hideMark/>
          </w:tcPr>
          <w:p w14:paraId="21CA51C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11.5%</w:t>
            </w:r>
          </w:p>
        </w:tc>
        <w:tc>
          <w:tcPr>
            <w:tcW w:w="709" w:type="dxa"/>
            <w:noWrap/>
            <w:hideMark/>
          </w:tcPr>
          <w:p w14:paraId="69AF633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23.5%</w:t>
            </w:r>
          </w:p>
        </w:tc>
        <w:tc>
          <w:tcPr>
            <w:tcW w:w="708" w:type="dxa"/>
            <w:noWrap/>
            <w:hideMark/>
          </w:tcPr>
          <w:p w14:paraId="087DB90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0.49</w:t>
            </w:r>
          </w:p>
        </w:tc>
        <w:tc>
          <w:tcPr>
            <w:tcW w:w="851" w:type="dxa"/>
            <w:noWrap/>
            <w:hideMark/>
          </w:tcPr>
          <w:p w14:paraId="5A30140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3.6%</w:t>
            </w:r>
          </w:p>
        </w:tc>
        <w:tc>
          <w:tcPr>
            <w:tcW w:w="850" w:type="dxa"/>
            <w:noWrap/>
            <w:hideMark/>
          </w:tcPr>
          <w:p w14:paraId="017D9CF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14.0%</w:t>
            </w:r>
          </w:p>
        </w:tc>
        <w:tc>
          <w:tcPr>
            <w:tcW w:w="709" w:type="dxa"/>
            <w:noWrap/>
            <w:hideMark/>
          </w:tcPr>
          <w:p w14:paraId="4AFADD8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0.26</w:t>
            </w:r>
          </w:p>
        </w:tc>
        <w:tc>
          <w:tcPr>
            <w:tcW w:w="709" w:type="dxa"/>
            <w:noWrap/>
            <w:hideMark/>
          </w:tcPr>
          <w:p w14:paraId="1511A0A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4.0%</w:t>
            </w:r>
          </w:p>
        </w:tc>
        <w:tc>
          <w:tcPr>
            <w:tcW w:w="709" w:type="dxa"/>
            <w:noWrap/>
            <w:hideMark/>
          </w:tcPr>
          <w:p w14:paraId="604CB10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14.4%</w:t>
            </w:r>
          </w:p>
        </w:tc>
        <w:tc>
          <w:tcPr>
            <w:tcW w:w="708" w:type="dxa"/>
            <w:noWrap/>
            <w:hideMark/>
          </w:tcPr>
          <w:p w14:paraId="792F761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709" w:type="dxa"/>
            <w:noWrap/>
            <w:hideMark/>
          </w:tcPr>
          <w:p w14:paraId="2CD30EF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7.5%</w:t>
            </w:r>
          </w:p>
        </w:tc>
        <w:tc>
          <w:tcPr>
            <w:tcW w:w="709" w:type="dxa"/>
            <w:noWrap/>
            <w:hideMark/>
          </w:tcPr>
          <w:p w14:paraId="37F1670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16.6%</w:t>
            </w:r>
          </w:p>
        </w:tc>
        <w:tc>
          <w:tcPr>
            <w:tcW w:w="850" w:type="dxa"/>
            <w:noWrap/>
            <w:hideMark/>
          </w:tcPr>
          <w:p w14:paraId="43096C5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0.45</w:t>
            </w:r>
          </w:p>
        </w:tc>
      </w:tr>
      <w:tr w:rsidR="001F4DDE" w:rsidRPr="004F2B84" w14:paraId="0BAD7D4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24B510F" w14:textId="77777777" w:rsidR="001F4DDE" w:rsidRPr="00B31A61" w:rsidRDefault="001F4DDE" w:rsidP="001F4DDE">
            <w:pPr>
              <w:rPr>
                <w:bCs/>
                <w:color w:val="000000"/>
                <w:sz w:val="18"/>
                <w:szCs w:val="18"/>
              </w:rPr>
            </w:pPr>
            <w:r w:rsidRPr="00B31A61">
              <w:rPr>
                <w:bCs/>
                <w:color w:val="000000"/>
                <w:sz w:val="18"/>
                <w:szCs w:val="18"/>
              </w:rPr>
              <w:t>Finland</w:t>
            </w:r>
          </w:p>
        </w:tc>
        <w:tc>
          <w:tcPr>
            <w:tcW w:w="709" w:type="dxa"/>
            <w:noWrap/>
            <w:hideMark/>
          </w:tcPr>
          <w:p w14:paraId="7E71A6A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10.8%</w:t>
            </w:r>
          </w:p>
        </w:tc>
        <w:tc>
          <w:tcPr>
            <w:tcW w:w="709" w:type="dxa"/>
            <w:noWrap/>
            <w:hideMark/>
          </w:tcPr>
          <w:p w14:paraId="69135EA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34.3%</w:t>
            </w:r>
          </w:p>
        </w:tc>
        <w:tc>
          <w:tcPr>
            <w:tcW w:w="708" w:type="dxa"/>
            <w:noWrap/>
            <w:hideMark/>
          </w:tcPr>
          <w:p w14:paraId="27244FE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c>
          <w:tcPr>
            <w:tcW w:w="851" w:type="dxa"/>
            <w:noWrap/>
            <w:hideMark/>
          </w:tcPr>
          <w:p w14:paraId="3719C26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5.1%</w:t>
            </w:r>
          </w:p>
        </w:tc>
        <w:tc>
          <w:tcPr>
            <w:tcW w:w="850" w:type="dxa"/>
            <w:noWrap/>
            <w:hideMark/>
          </w:tcPr>
          <w:p w14:paraId="7242FA4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18.5%</w:t>
            </w:r>
          </w:p>
        </w:tc>
        <w:tc>
          <w:tcPr>
            <w:tcW w:w="709" w:type="dxa"/>
            <w:noWrap/>
            <w:hideMark/>
          </w:tcPr>
          <w:p w14:paraId="0E89278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0.27</w:t>
            </w:r>
          </w:p>
        </w:tc>
        <w:tc>
          <w:tcPr>
            <w:tcW w:w="709" w:type="dxa"/>
            <w:noWrap/>
            <w:hideMark/>
          </w:tcPr>
          <w:p w14:paraId="3EBD36F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709" w:type="dxa"/>
            <w:noWrap/>
            <w:hideMark/>
          </w:tcPr>
          <w:p w14:paraId="7BF15C1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19.5%</w:t>
            </w:r>
          </w:p>
        </w:tc>
        <w:tc>
          <w:tcPr>
            <w:tcW w:w="708" w:type="dxa"/>
            <w:noWrap/>
            <w:hideMark/>
          </w:tcPr>
          <w:p w14:paraId="7565F1E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0.27</w:t>
            </w:r>
          </w:p>
        </w:tc>
        <w:tc>
          <w:tcPr>
            <w:tcW w:w="709" w:type="dxa"/>
            <w:noWrap/>
            <w:hideMark/>
          </w:tcPr>
          <w:p w14:paraId="62FF3E1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5.7%</w:t>
            </w:r>
          </w:p>
        </w:tc>
        <w:tc>
          <w:tcPr>
            <w:tcW w:w="709" w:type="dxa"/>
            <w:noWrap/>
            <w:hideMark/>
          </w:tcPr>
          <w:p w14:paraId="74FE7B6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25.2%</w:t>
            </w:r>
          </w:p>
        </w:tc>
        <w:tc>
          <w:tcPr>
            <w:tcW w:w="850" w:type="dxa"/>
            <w:noWrap/>
            <w:hideMark/>
          </w:tcPr>
          <w:p w14:paraId="61D035D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0.23</w:t>
            </w:r>
          </w:p>
        </w:tc>
      </w:tr>
      <w:tr w:rsidR="001F4DDE" w:rsidRPr="004F2B84" w14:paraId="1BCB0E9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9AAD06D" w14:textId="77777777" w:rsidR="001F4DDE" w:rsidRPr="00B31A61" w:rsidRDefault="001F4DDE" w:rsidP="001F4DDE">
            <w:pPr>
              <w:rPr>
                <w:bCs/>
                <w:color w:val="000000"/>
                <w:sz w:val="18"/>
                <w:szCs w:val="18"/>
              </w:rPr>
            </w:pPr>
            <w:r w:rsidRPr="00B31A61">
              <w:rPr>
                <w:bCs/>
                <w:color w:val="000000"/>
                <w:sz w:val="18"/>
                <w:szCs w:val="18"/>
              </w:rPr>
              <w:t>France</w:t>
            </w:r>
          </w:p>
        </w:tc>
        <w:tc>
          <w:tcPr>
            <w:tcW w:w="709" w:type="dxa"/>
            <w:noWrap/>
            <w:hideMark/>
          </w:tcPr>
          <w:p w14:paraId="490AA6B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7.7%</w:t>
            </w:r>
          </w:p>
        </w:tc>
        <w:tc>
          <w:tcPr>
            <w:tcW w:w="709" w:type="dxa"/>
            <w:noWrap/>
            <w:hideMark/>
          </w:tcPr>
          <w:p w14:paraId="38AA680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23.8%</w:t>
            </w:r>
          </w:p>
        </w:tc>
        <w:tc>
          <w:tcPr>
            <w:tcW w:w="708" w:type="dxa"/>
            <w:noWrap/>
            <w:hideMark/>
          </w:tcPr>
          <w:p w14:paraId="7C660BE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c>
          <w:tcPr>
            <w:tcW w:w="851" w:type="dxa"/>
            <w:noWrap/>
            <w:hideMark/>
          </w:tcPr>
          <w:p w14:paraId="71E315D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850" w:type="dxa"/>
            <w:noWrap/>
            <w:hideMark/>
          </w:tcPr>
          <w:p w14:paraId="2FCB098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16.6%</w:t>
            </w:r>
          </w:p>
        </w:tc>
        <w:tc>
          <w:tcPr>
            <w:tcW w:w="709" w:type="dxa"/>
            <w:noWrap/>
            <w:hideMark/>
          </w:tcPr>
          <w:p w14:paraId="1B38F06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c>
          <w:tcPr>
            <w:tcW w:w="709" w:type="dxa"/>
            <w:noWrap/>
            <w:hideMark/>
          </w:tcPr>
          <w:p w14:paraId="726ABAD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4.7%</w:t>
            </w:r>
          </w:p>
        </w:tc>
        <w:tc>
          <w:tcPr>
            <w:tcW w:w="709" w:type="dxa"/>
            <w:noWrap/>
            <w:hideMark/>
          </w:tcPr>
          <w:p w14:paraId="038F934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16.7%</w:t>
            </w:r>
          </w:p>
        </w:tc>
        <w:tc>
          <w:tcPr>
            <w:tcW w:w="708" w:type="dxa"/>
            <w:noWrap/>
            <w:hideMark/>
          </w:tcPr>
          <w:p w14:paraId="36116F9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709" w:type="dxa"/>
            <w:noWrap/>
            <w:hideMark/>
          </w:tcPr>
          <w:p w14:paraId="55F2F68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4.9%</w:t>
            </w:r>
          </w:p>
        </w:tc>
        <w:tc>
          <w:tcPr>
            <w:tcW w:w="709" w:type="dxa"/>
            <w:noWrap/>
            <w:hideMark/>
          </w:tcPr>
          <w:p w14:paraId="64E890D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19.2%</w:t>
            </w:r>
          </w:p>
        </w:tc>
        <w:tc>
          <w:tcPr>
            <w:tcW w:w="850" w:type="dxa"/>
            <w:noWrap/>
            <w:hideMark/>
          </w:tcPr>
          <w:p w14:paraId="4909E60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0.25</w:t>
            </w:r>
          </w:p>
        </w:tc>
      </w:tr>
      <w:tr w:rsidR="001F4DDE" w:rsidRPr="004F2B84" w14:paraId="4523DB0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7FB5B1F" w14:textId="77777777" w:rsidR="001F4DDE" w:rsidRPr="00B31A61" w:rsidRDefault="001F4DDE" w:rsidP="001F4DDE">
            <w:pPr>
              <w:rPr>
                <w:bCs/>
                <w:color w:val="000000"/>
                <w:sz w:val="18"/>
                <w:szCs w:val="18"/>
              </w:rPr>
            </w:pPr>
            <w:r w:rsidRPr="00B31A61">
              <w:rPr>
                <w:bCs/>
                <w:color w:val="000000"/>
                <w:sz w:val="18"/>
                <w:szCs w:val="18"/>
              </w:rPr>
              <w:t>Germany</w:t>
            </w:r>
          </w:p>
        </w:tc>
        <w:tc>
          <w:tcPr>
            <w:tcW w:w="709" w:type="dxa"/>
            <w:noWrap/>
            <w:hideMark/>
          </w:tcPr>
          <w:p w14:paraId="60E38AC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7.4%</w:t>
            </w:r>
          </w:p>
        </w:tc>
        <w:tc>
          <w:tcPr>
            <w:tcW w:w="709" w:type="dxa"/>
            <w:noWrap/>
            <w:hideMark/>
          </w:tcPr>
          <w:p w14:paraId="1450D2C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25.7%</w:t>
            </w:r>
          </w:p>
        </w:tc>
        <w:tc>
          <w:tcPr>
            <w:tcW w:w="708" w:type="dxa"/>
            <w:noWrap/>
            <w:hideMark/>
          </w:tcPr>
          <w:p w14:paraId="7BB41E1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0.29</w:t>
            </w:r>
          </w:p>
        </w:tc>
        <w:tc>
          <w:tcPr>
            <w:tcW w:w="851" w:type="dxa"/>
            <w:noWrap/>
            <w:hideMark/>
          </w:tcPr>
          <w:p w14:paraId="47F3893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5.7%</w:t>
            </w:r>
          </w:p>
        </w:tc>
        <w:tc>
          <w:tcPr>
            <w:tcW w:w="850" w:type="dxa"/>
            <w:noWrap/>
            <w:hideMark/>
          </w:tcPr>
          <w:p w14:paraId="64E2C3B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17.7%</w:t>
            </w:r>
          </w:p>
        </w:tc>
        <w:tc>
          <w:tcPr>
            <w:tcW w:w="709" w:type="dxa"/>
            <w:noWrap/>
            <w:hideMark/>
          </w:tcPr>
          <w:p w14:paraId="6A7A1B3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c>
          <w:tcPr>
            <w:tcW w:w="709" w:type="dxa"/>
            <w:noWrap/>
            <w:hideMark/>
          </w:tcPr>
          <w:p w14:paraId="697201F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709" w:type="dxa"/>
            <w:noWrap/>
            <w:hideMark/>
          </w:tcPr>
          <w:p w14:paraId="55C322E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18.1%</w:t>
            </w:r>
          </w:p>
        </w:tc>
        <w:tc>
          <w:tcPr>
            <w:tcW w:w="708" w:type="dxa"/>
            <w:noWrap/>
            <w:hideMark/>
          </w:tcPr>
          <w:p w14:paraId="3A1F93A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0.29</w:t>
            </w:r>
          </w:p>
        </w:tc>
        <w:tc>
          <w:tcPr>
            <w:tcW w:w="709" w:type="dxa"/>
            <w:noWrap/>
            <w:hideMark/>
          </w:tcPr>
          <w:p w14:paraId="6871027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4.8%</w:t>
            </w:r>
          </w:p>
        </w:tc>
        <w:tc>
          <w:tcPr>
            <w:tcW w:w="709" w:type="dxa"/>
            <w:noWrap/>
            <w:hideMark/>
          </w:tcPr>
          <w:p w14:paraId="5277F53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20.8%</w:t>
            </w:r>
          </w:p>
        </w:tc>
        <w:tc>
          <w:tcPr>
            <w:tcW w:w="850" w:type="dxa"/>
            <w:noWrap/>
            <w:hideMark/>
          </w:tcPr>
          <w:p w14:paraId="5F07B12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0.23</w:t>
            </w:r>
          </w:p>
        </w:tc>
      </w:tr>
      <w:tr w:rsidR="001F4DDE" w:rsidRPr="004F2B84" w14:paraId="6DBA378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B96FF7A" w14:textId="77777777" w:rsidR="001F4DDE" w:rsidRPr="00B31A61" w:rsidRDefault="001F4DDE" w:rsidP="001F4DDE">
            <w:pPr>
              <w:rPr>
                <w:bCs/>
                <w:color w:val="000000"/>
                <w:sz w:val="18"/>
                <w:szCs w:val="18"/>
              </w:rPr>
            </w:pPr>
            <w:r w:rsidRPr="00B31A61">
              <w:rPr>
                <w:bCs/>
                <w:color w:val="000000"/>
                <w:sz w:val="18"/>
                <w:szCs w:val="18"/>
              </w:rPr>
              <w:t>Hong Kong</w:t>
            </w:r>
          </w:p>
        </w:tc>
        <w:tc>
          <w:tcPr>
            <w:tcW w:w="709" w:type="dxa"/>
            <w:noWrap/>
            <w:hideMark/>
          </w:tcPr>
          <w:p w14:paraId="3AD3B3E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6.2%</w:t>
            </w:r>
          </w:p>
        </w:tc>
        <w:tc>
          <w:tcPr>
            <w:tcW w:w="709" w:type="dxa"/>
            <w:noWrap/>
            <w:hideMark/>
          </w:tcPr>
          <w:p w14:paraId="66AA654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26.6%</w:t>
            </w:r>
          </w:p>
        </w:tc>
        <w:tc>
          <w:tcPr>
            <w:tcW w:w="708" w:type="dxa"/>
            <w:noWrap/>
            <w:hideMark/>
          </w:tcPr>
          <w:p w14:paraId="31FD7C3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0.23</w:t>
            </w:r>
          </w:p>
        </w:tc>
        <w:tc>
          <w:tcPr>
            <w:tcW w:w="851" w:type="dxa"/>
            <w:noWrap/>
            <w:hideMark/>
          </w:tcPr>
          <w:p w14:paraId="64930EC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3.6%</w:t>
            </w:r>
          </w:p>
        </w:tc>
        <w:tc>
          <w:tcPr>
            <w:tcW w:w="850" w:type="dxa"/>
            <w:noWrap/>
            <w:hideMark/>
          </w:tcPr>
          <w:p w14:paraId="78AA454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10.8%</w:t>
            </w:r>
          </w:p>
        </w:tc>
        <w:tc>
          <w:tcPr>
            <w:tcW w:w="709" w:type="dxa"/>
            <w:noWrap/>
            <w:hideMark/>
          </w:tcPr>
          <w:p w14:paraId="37317B7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0.33</w:t>
            </w:r>
          </w:p>
        </w:tc>
        <w:tc>
          <w:tcPr>
            <w:tcW w:w="709" w:type="dxa"/>
            <w:noWrap/>
            <w:hideMark/>
          </w:tcPr>
          <w:p w14:paraId="005AF5B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3.8%</w:t>
            </w:r>
          </w:p>
        </w:tc>
        <w:tc>
          <w:tcPr>
            <w:tcW w:w="709" w:type="dxa"/>
            <w:noWrap/>
            <w:hideMark/>
          </w:tcPr>
          <w:p w14:paraId="3C91A47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12.1%</w:t>
            </w:r>
          </w:p>
        </w:tc>
        <w:tc>
          <w:tcPr>
            <w:tcW w:w="708" w:type="dxa"/>
            <w:noWrap/>
            <w:hideMark/>
          </w:tcPr>
          <w:p w14:paraId="3A5EE5B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c>
          <w:tcPr>
            <w:tcW w:w="709" w:type="dxa"/>
            <w:noWrap/>
            <w:hideMark/>
          </w:tcPr>
          <w:p w14:paraId="659F4AB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3.8%</w:t>
            </w:r>
          </w:p>
        </w:tc>
        <w:tc>
          <w:tcPr>
            <w:tcW w:w="709" w:type="dxa"/>
            <w:noWrap/>
            <w:hideMark/>
          </w:tcPr>
          <w:p w14:paraId="2B03036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12.6%</w:t>
            </w:r>
          </w:p>
        </w:tc>
        <w:tc>
          <w:tcPr>
            <w:tcW w:w="850" w:type="dxa"/>
            <w:noWrap/>
            <w:hideMark/>
          </w:tcPr>
          <w:p w14:paraId="2DA6A95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0.30</w:t>
            </w:r>
          </w:p>
        </w:tc>
      </w:tr>
      <w:tr w:rsidR="001F4DDE" w:rsidRPr="004F2B84" w14:paraId="0904D95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BF22618" w14:textId="77777777" w:rsidR="001F4DDE" w:rsidRPr="00B31A61" w:rsidRDefault="001F4DDE" w:rsidP="001F4DDE">
            <w:pPr>
              <w:rPr>
                <w:bCs/>
                <w:color w:val="000000"/>
                <w:sz w:val="18"/>
                <w:szCs w:val="18"/>
              </w:rPr>
            </w:pPr>
            <w:r w:rsidRPr="00B31A61">
              <w:rPr>
                <w:bCs/>
                <w:color w:val="000000"/>
                <w:sz w:val="18"/>
                <w:szCs w:val="18"/>
              </w:rPr>
              <w:t>Ireland</w:t>
            </w:r>
          </w:p>
        </w:tc>
        <w:tc>
          <w:tcPr>
            <w:tcW w:w="709" w:type="dxa"/>
            <w:noWrap/>
            <w:hideMark/>
          </w:tcPr>
          <w:p w14:paraId="33AC229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-2.2%</w:t>
            </w:r>
          </w:p>
        </w:tc>
        <w:tc>
          <w:tcPr>
            <w:tcW w:w="709" w:type="dxa"/>
            <w:noWrap/>
            <w:hideMark/>
          </w:tcPr>
          <w:p w14:paraId="6DB7B35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28.3%</w:t>
            </w:r>
          </w:p>
        </w:tc>
        <w:tc>
          <w:tcPr>
            <w:tcW w:w="708" w:type="dxa"/>
            <w:noWrap/>
            <w:hideMark/>
          </w:tcPr>
          <w:p w14:paraId="3B685BE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-0.08</w:t>
            </w:r>
          </w:p>
        </w:tc>
        <w:tc>
          <w:tcPr>
            <w:tcW w:w="851" w:type="dxa"/>
            <w:noWrap/>
            <w:hideMark/>
          </w:tcPr>
          <w:p w14:paraId="2D99E55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850" w:type="dxa"/>
            <w:noWrap/>
            <w:hideMark/>
          </w:tcPr>
          <w:p w14:paraId="0400E8B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15.1%</w:t>
            </w:r>
          </w:p>
        </w:tc>
        <w:tc>
          <w:tcPr>
            <w:tcW w:w="709" w:type="dxa"/>
            <w:noWrap/>
            <w:hideMark/>
          </w:tcPr>
          <w:p w14:paraId="31EC9CB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0.34</w:t>
            </w:r>
          </w:p>
        </w:tc>
        <w:tc>
          <w:tcPr>
            <w:tcW w:w="709" w:type="dxa"/>
            <w:noWrap/>
            <w:hideMark/>
          </w:tcPr>
          <w:p w14:paraId="5D4498A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3.2%</w:t>
            </w:r>
          </w:p>
        </w:tc>
        <w:tc>
          <w:tcPr>
            <w:tcW w:w="709" w:type="dxa"/>
            <w:noWrap/>
            <w:hideMark/>
          </w:tcPr>
          <w:p w14:paraId="2BA0404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16.2%</w:t>
            </w:r>
          </w:p>
        </w:tc>
        <w:tc>
          <w:tcPr>
            <w:tcW w:w="708" w:type="dxa"/>
            <w:noWrap/>
            <w:hideMark/>
          </w:tcPr>
          <w:p w14:paraId="3DCE3A2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0.20</w:t>
            </w:r>
          </w:p>
        </w:tc>
        <w:tc>
          <w:tcPr>
            <w:tcW w:w="709" w:type="dxa"/>
            <w:noWrap/>
            <w:hideMark/>
          </w:tcPr>
          <w:p w14:paraId="2B99047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3.5%</w:t>
            </w:r>
          </w:p>
        </w:tc>
        <w:tc>
          <w:tcPr>
            <w:tcW w:w="709" w:type="dxa"/>
            <w:noWrap/>
            <w:hideMark/>
          </w:tcPr>
          <w:p w14:paraId="284E1CF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21.6%</w:t>
            </w:r>
          </w:p>
        </w:tc>
        <w:tc>
          <w:tcPr>
            <w:tcW w:w="850" w:type="dxa"/>
            <w:noWrap/>
            <w:hideMark/>
          </w:tcPr>
          <w:p w14:paraId="57B9ABE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0.16</w:t>
            </w:r>
          </w:p>
        </w:tc>
      </w:tr>
      <w:tr w:rsidR="001F4DDE" w:rsidRPr="004F2B84" w14:paraId="3C15645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A13CF2E" w14:textId="77777777" w:rsidR="001F4DDE" w:rsidRPr="00B31A61" w:rsidRDefault="001F4DDE" w:rsidP="001F4DDE">
            <w:pPr>
              <w:rPr>
                <w:bCs/>
                <w:color w:val="000000"/>
                <w:sz w:val="18"/>
                <w:szCs w:val="18"/>
              </w:rPr>
            </w:pPr>
            <w:r w:rsidRPr="00B31A61">
              <w:rPr>
                <w:bCs/>
                <w:color w:val="000000"/>
                <w:sz w:val="18"/>
                <w:szCs w:val="18"/>
              </w:rPr>
              <w:t>Israel</w:t>
            </w:r>
          </w:p>
        </w:tc>
        <w:tc>
          <w:tcPr>
            <w:tcW w:w="709" w:type="dxa"/>
            <w:noWrap/>
            <w:hideMark/>
          </w:tcPr>
          <w:p w14:paraId="04FFDDF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8.1%</w:t>
            </w:r>
          </w:p>
        </w:tc>
        <w:tc>
          <w:tcPr>
            <w:tcW w:w="709" w:type="dxa"/>
            <w:noWrap/>
            <w:hideMark/>
          </w:tcPr>
          <w:p w14:paraId="66F441A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23.9%</w:t>
            </w:r>
          </w:p>
        </w:tc>
        <w:tc>
          <w:tcPr>
            <w:tcW w:w="708" w:type="dxa"/>
            <w:noWrap/>
            <w:hideMark/>
          </w:tcPr>
          <w:p w14:paraId="4387581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0.34</w:t>
            </w:r>
          </w:p>
        </w:tc>
        <w:tc>
          <w:tcPr>
            <w:tcW w:w="851" w:type="dxa"/>
            <w:noWrap/>
            <w:hideMark/>
          </w:tcPr>
          <w:p w14:paraId="3A4C566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3.4%</w:t>
            </w:r>
          </w:p>
        </w:tc>
        <w:tc>
          <w:tcPr>
            <w:tcW w:w="850" w:type="dxa"/>
            <w:noWrap/>
            <w:hideMark/>
          </w:tcPr>
          <w:p w14:paraId="1D9CAA8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11.2%</w:t>
            </w:r>
          </w:p>
        </w:tc>
        <w:tc>
          <w:tcPr>
            <w:tcW w:w="709" w:type="dxa"/>
            <w:noWrap/>
            <w:hideMark/>
          </w:tcPr>
          <w:p w14:paraId="1E45E9F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c>
          <w:tcPr>
            <w:tcW w:w="709" w:type="dxa"/>
            <w:noWrap/>
            <w:hideMark/>
          </w:tcPr>
          <w:p w14:paraId="7B2D46B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3.3%</w:t>
            </w:r>
          </w:p>
        </w:tc>
        <w:tc>
          <w:tcPr>
            <w:tcW w:w="709" w:type="dxa"/>
            <w:noWrap/>
            <w:hideMark/>
          </w:tcPr>
          <w:p w14:paraId="12FE340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11.5%</w:t>
            </w:r>
          </w:p>
        </w:tc>
        <w:tc>
          <w:tcPr>
            <w:tcW w:w="708" w:type="dxa"/>
            <w:noWrap/>
            <w:hideMark/>
          </w:tcPr>
          <w:p w14:paraId="3D1F5CF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0.29</w:t>
            </w:r>
          </w:p>
        </w:tc>
        <w:tc>
          <w:tcPr>
            <w:tcW w:w="709" w:type="dxa"/>
            <w:noWrap/>
            <w:hideMark/>
          </w:tcPr>
          <w:p w14:paraId="773D664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5.9%</w:t>
            </w:r>
          </w:p>
        </w:tc>
        <w:tc>
          <w:tcPr>
            <w:tcW w:w="709" w:type="dxa"/>
            <w:noWrap/>
            <w:hideMark/>
          </w:tcPr>
          <w:p w14:paraId="098ADFF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13.7%</w:t>
            </w:r>
          </w:p>
        </w:tc>
        <w:tc>
          <w:tcPr>
            <w:tcW w:w="850" w:type="dxa"/>
            <w:noWrap/>
            <w:hideMark/>
          </w:tcPr>
          <w:p w14:paraId="2FBE8C3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0.43</w:t>
            </w:r>
          </w:p>
        </w:tc>
      </w:tr>
      <w:tr w:rsidR="001F4DDE" w:rsidRPr="004F2B84" w14:paraId="1F8D95E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BB6E89F" w14:textId="77777777" w:rsidR="001F4DDE" w:rsidRPr="00B31A61" w:rsidRDefault="001F4DDE" w:rsidP="001F4DDE">
            <w:pPr>
              <w:rPr>
                <w:bCs/>
                <w:color w:val="000000"/>
                <w:sz w:val="18"/>
                <w:szCs w:val="18"/>
              </w:rPr>
            </w:pPr>
            <w:r w:rsidRPr="00B31A61">
              <w:rPr>
                <w:bCs/>
                <w:color w:val="000000"/>
                <w:sz w:val="18"/>
                <w:szCs w:val="18"/>
              </w:rPr>
              <w:t>Italy</w:t>
            </w:r>
          </w:p>
        </w:tc>
        <w:tc>
          <w:tcPr>
            <w:tcW w:w="709" w:type="dxa"/>
            <w:noWrap/>
            <w:hideMark/>
          </w:tcPr>
          <w:p w14:paraId="5306EA2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5.7%</w:t>
            </w:r>
          </w:p>
        </w:tc>
        <w:tc>
          <w:tcPr>
            <w:tcW w:w="709" w:type="dxa"/>
            <w:noWrap/>
            <w:hideMark/>
          </w:tcPr>
          <w:p w14:paraId="4B511A6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26.3%</w:t>
            </w:r>
          </w:p>
        </w:tc>
        <w:tc>
          <w:tcPr>
            <w:tcW w:w="708" w:type="dxa"/>
            <w:noWrap/>
            <w:hideMark/>
          </w:tcPr>
          <w:p w14:paraId="016ECB8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0.22</w:t>
            </w:r>
          </w:p>
        </w:tc>
        <w:tc>
          <w:tcPr>
            <w:tcW w:w="851" w:type="dxa"/>
            <w:noWrap/>
            <w:hideMark/>
          </w:tcPr>
          <w:p w14:paraId="1282689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850" w:type="dxa"/>
            <w:noWrap/>
            <w:hideMark/>
          </w:tcPr>
          <w:p w14:paraId="2FF30FF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16.0%</w:t>
            </w:r>
          </w:p>
        </w:tc>
        <w:tc>
          <w:tcPr>
            <w:tcW w:w="709" w:type="dxa"/>
            <w:noWrap/>
            <w:hideMark/>
          </w:tcPr>
          <w:p w14:paraId="1AB87B6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c>
          <w:tcPr>
            <w:tcW w:w="709" w:type="dxa"/>
            <w:noWrap/>
            <w:hideMark/>
          </w:tcPr>
          <w:p w14:paraId="326288C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4.6%</w:t>
            </w:r>
          </w:p>
        </w:tc>
        <w:tc>
          <w:tcPr>
            <w:tcW w:w="709" w:type="dxa"/>
            <w:noWrap/>
            <w:hideMark/>
          </w:tcPr>
          <w:p w14:paraId="0926FE0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16.6%</w:t>
            </w:r>
          </w:p>
        </w:tc>
        <w:tc>
          <w:tcPr>
            <w:tcW w:w="708" w:type="dxa"/>
            <w:noWrap/>
            <w:hideMark/>
          </w:tcPr>
          <w:p w14:paraId="37EBEA5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709" w:type="dxa"/>
            <w:noWrap/>
            <w:hideMark/>
          </w:tcPr>
          <w:p w14:paraId="70899F4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3.7%</w:t>
            </w:r>
          </w:p>
        </w:tc>
        <w:tc>
          <w:tcPr>
            <w:tcW w:w="709" w:type="dxa"/>
            <w:noWrap/>
            <w:hideMark/>
          </w:tcPr>
          <w:p w14:paraId="6AB0213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19.5%</w:t>
            </w:r>
          </w:p>
        </w:tc>
        <w:tc>
          <w:tcPr>
            <w:tcW w:w="850" w:type="dxa"/>
            <w:noWrap/>
            <w:hideMark/>
          </w:tcPr>
          <w:p w14:paraId="01F7EEB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0.19</w:t>
            </w:r>
          </w:p>
        </w:tc>
      </w:tr>
      <w:tr w:rsidR="001F4DDE" w:rsidRPr="004F2B84" w14:paraId="4125803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5BBC9CF" w14:textId="77777777" w:rsidR="001F4DDE" w:rsidRPr="00B31A61" w:rsidRDefault="001F4DDE" w:rsidP="001F4DDE">
            <w:pPr>
              <w:rPr>
                <w:bCs/>
                <w:color w:val="000000"/>
                <w:sz w:val="18"/>
                <w:szCs w:val="18"/>
              </w:rPr>
            </w:pPr>
            <w:r w:rsidRPr="00B31A61">
              <w:rPr>
                <w:bCs/>
                <w:color w:val="000000"/>
                <w:sz w:val="18"/>
                <w:szCs w:val="18"/>
              </w:rPr>
              <w:t>Japan</w:t>
            </w:r>
          </w:p>
        </w:tc>
        <w:tc>
          <w:tcPr>
            <w:tcW w:w="709" w:type="dxa"/>
            <w:noWrap/>
            <w:hideMark/>
          </w:tcPr>
          <w:p w14:paraId="6039D85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-0.9%</w:t>
            </w:r>
          </w:p>
        </w:tc>
        <w:tc>
          <w:tcPr>
            <w:tcW w:w="709" w:type="dxa"/>
            <w:noWrap/>
            <w:hideMark/>
          </w:tcPr>
          <w:p w14:paraId="262DB97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21.3%</w:t>
            </w:r>
          </w:p>
        </w:tc>
        <w:tc>
          <w:tcPr>
            <w:tcW w:w="708" w:type="dxa"/>
            <w:noWrap/>
            <w:hideMark/>
          </w:tcPr>
          <w:p w14:paraId="433173C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-0.04</w:t>
            </w:r>
          </w:p>
        </w:tc>
        <w:tc>
          <w:tcPr>
            <w:tcW w:w="851" w:type="dxa"/>
            <w:noWrap/>
            <w:hideMark/>
          </w:tcPr>
          <w:p w14:paraId="5B33A02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2.8%</w:t>
            </w:r>
          </w:p>
        </w:tc>
        <w:tc>
          <w:tcPr>
            <w:tcW w:w="850" w:type="dxa"/>
            <w:noWrap/>
            <w:hideMark/>
          </w:tcPr>
          <w:p w14:paraId="6694434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7.9%</w:t>
            </w:r>
          </w:p>
        </w:tc>
        <w:tc>
          <w:tcPr>
            <w:tcW w:w="709" w:type="dxa"/>
            <w:noWrap/>
            <w:hideMark/>
          </w:tcPr>
          <w:p w14:paraId="60E6A4D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0.35</w:t>
            </w:r>
          </w:p>
        </w:tc>
        <w:tc>
          <w:tcPr>
            <w:tcW w:w="709" w:type="dxa"/>
            <w:noWrap/>
            <w:hideMark/>
          </w:tcPr>
          <w:p w14:paraId="0B4F552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w:t>
            </w:r>
          </w:p>
        </w:tc>
        <w:tc>
          <w:tcPr>
            <w:tcW w:w="709" w:type="dxa"/>
            <w:noWrap/>
            <w:hideMark/>
          </w:tcPr>
          <w:p w14:paraId="7D81983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8.6%</w:t>
            </w:r>
          </w:p>
        </w:tc>
        <w:tc>
          <w:tcPr>
            <w:tcW w:w="708" w:type="dxa"/>
            <w:noWrap/>
            <w:hideMark/>
          </w:tcPr>
          <w:p w14:paraId="6FB9964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0.02</w:t>
            </w:r>
          </w:p>
        </w:tc>
        <w:tc>
          <w:tcPr>
            <w:tcW w:w="709" w:type="dxa"/>
            <w:noWrap/>
            <w:hideMark/>
          </w:tcPr>
          <w:p w14:paraId="3DC6037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w:t>
            </w:r>
          </w:p>
        </w:tc>
        <w:tc>
          <w:tcPr>
            <w:tcW w:w="709" w:type="dxa"/>
            <w:noWrap/>
            <w:hideMark/>
          </w:tcPr>
          <w:p w14:paraId="707FF3E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15.1%</w:t>
            </w:r>
          </w:p>
        </w:tc>
        <w:tc>
          <w:tcPr>
            <w:tcW w:w="850" w:type="dxa"/>
            <w:noWrap/>
            <w:hideMark/>
          </w:tcPr>
          <w:p w14:paraId="77BDA30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-0.15</w:t>
            </w:r>
          </w:p>
        </w:tc>
      </w:tr>
      <w:tr w:rsidR="001F4DDE" w:rsidRPr="004F2B84" w14:paraId="15BDAC1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6B5A5DC" w14:textId="77777777" w:rsidR="001F4DDE" w:rsidRPr="00B31A61" w:rsidRDefault="001F4DDE" w:rsidP="001F4DDE">
            <w:pPr>
              <w:rPr>
                <w:bCs/>
                <w:color w:val="000000"/>
                <w:sz w:val="18"/>
                <w:szCs w:val="18"/>
              </w:rPr>
            </w:pPr>
            <w:r w:rsidRPr="00B31A61">
              <w:rPr>
                <w:bCs/>
                <w:color w:val="000000"/>
                <w:sz w:val="18"/>
                <w:szCs w:val="18"/>
              </w:rPr>
              <w:t>Netherlands</w:t>
            </w:r>
          </w:p>
        </w:tc>
        <w:tc>
          <w:tcPr>
            <w:tcW w:w="709" w:type="dxa"/>
            <w:noWrap/>
            <w:hideMark/>
          </w:tcPr>
          <w:p w14:paraId="11A8D2E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6.4%</w:t>
            </w:r>
          </w:p>
        </w:tc>
        <w:tc>
          <w:tcPr>
            <w:tcW w:w="709" w:type="dxa"/>
            <w:noWrap/>
            <w:hideMark/>
          </w:tcPr>
          <w:p w14:paraId="14AE88B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24.3%</w:t>
            </w:r>
          </w:p>
        </w:tc>
        <w:tc>
          <w:tcPr>
            <w:tcW w:w="708" w:type="dxa"/>
            <w:noWrap/>
            <w:hideMark/>
          </w:tcPr>
          <w:p w14:paraId="06BF5D7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0.26</w:t>
            </w:r>
          </w:p>
        </w:tc>
        <w:tc>
          <w:tcPr>
            <w:tcW w:w="851" w:type="dxa"/>
            <w:noWrap/>
            <w:hideMark/>
          </w:tcPr>
          <w:p w14:paraId="7671BD0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850" w:type="dxa"/>
            <w:noWrap/>
            <w:hideMark/>
          </w:tcPr>
          <w:p w14:paraId="046CA53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15.9%</w:t>
            </w:r>
          </w:p>
        </w:tc>
        <w:tc>
          <w:tcPr>
            <w:tcW w:w="709" w:type="dxa"/>
            <w:noWrap/>
            <w:hideMark/>
          </w:tcPr>
          <w:p w14:paraId="570BA89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0.33</w:t>
            </w:r>
          </w:p>
        </w:tc>
        <w:tc>
          <w:tcPr>
            <w:tcW w:w="709" w:type="dxa"/>
            <w:noWrap/>
            <w:hideMark/>
          </w:tcPr>
          <w:p w14:paraId="754E9E3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4.4%</w:t>
            </w:r>
          </w:p>
        </w:tc>
        <w:tc>
          <w:tcPr>
            <w:tcW w:w="709" w:type="dxa"/>
            <w:noWrap/>
            <w:hideMark/>
          </w:tcPr>
          <w:p w14:paraId="641962A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16.4%</w:t>
            </w:r>
          </w:p>
        </w:tc>
        <w:tc>
          <w:tcPr>
            <w:tcW w:w="708" w:type="dxa"/>
            <w:noWrap/>
            <w:hideMark/>
          </w:tcPr>
          <w:p w14:paraId="3CEA681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0.27</w:t>
            </w:r>
          </w:p>
        </w:tc>
        <w:tc>
          <w:tcPr>
            <w:tcW w:w="709" w:type="dxa"/>
            <w:noWrap/>
            <w:hideMark/>
          </w:tcPr>
          <w:p w14:paraId="07A77EB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w:t>
            </w:r>
          </w:p>
        </w:tc>
        <w:tc>
          <w:tcPr>
            <w:tcW w:w="709" w:type="dxa"/>
            <w:noWrap/>
            <w:hideMark/>
          </w:tcPr>
          <w:p w14:paraId="3FB4F5D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19.8%</w:t>
            </w:r>
          </w:p>
        </w:tc>
        <w:tc>
          <w:tcPr>
            <w:tcW w:w="850" w:type="dxa"/>
            <w:noWrap/>
            <w:hideMark/>
          </w:tcPr>
          <w:p w14:paraId="1C481E4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0.15</w:t>
            </w:r>
          </w:p>
        </w:tc>
      </w:tr>
      <w:tr w:rsidR="001F4DDE" w:rsidRPr="004F2B84" w14:paraId="0A578A8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87E8C60" w14:textId="77777777" w:rsidR="001F4DDE" w:rsidRPr="00B31A61" w:rsidRDefault="001F4DDE" w:rsidP="001F4DDE">
            <w:pPr>
              <w:rPr>
                <w:bCs/>
                <w:color w:val="000000"/>
                <w:sz w:val="18"/>
                <w:szCs w:val="18"/>
              </w:rPr>
            </w:pPr>
            <w:r w:rsidRPr="00B31A61">
              <w:rPr>
                <w:bCs/>
                <w:color w:val="000000"/>
                <w:sz w:val="18"/>
                <w:szCs w:val="18"/>
              </w:rPr>
              <w:t>New Zealand</w:t>
            </w:r>
          </w:p>
        </w:tc>
        <w:tc>
          <w:tcPr>
            <w:tcW w:w="709" w:type="dxa"/>
            <w:noWrap/>
            <w:hideMark/>
          </w:tcPr>
          <w:p w14:paraId="19DBF8F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4.9%</w:t>
            </w:r>
          </w:p>
        </w:tc>
        <w:tc>
          <w:tcPr>
            <w:tcW w:w="709" w:type="dxa"/>
            <w:noWrap/>
            <w:hideMark/>
          </w:tcPr>
          <w:p w14:paraId="26EA2CF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22.3%</w:t>
            </w:r>
          </w:p>
        </w:tc>
        <w:tc>
          <w:tcPr>
            <w:tcW w:w="708" w:type="dxa"/>
            <w:noWrap/>
            <w:hideMark/>
          </w:tcPr>
          <w:p w14:paraId="00CCADE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0.22</w:t>
            </w:r>
          </w:p>
        </w:tc>
        <w:tc>
          <w:tcPr>
            <w:tcW w:w="851" w:type="dxa"/>
            <w:noWrap/>
            <w:hideMark/>
          </w:tcPr>
          <w:p w14:paraId="4738D93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2.7%</w:t>
            </w:r>
          </w:p>
        </w:tc>
        <w:tc>
          <w:tcPr>
            <w:tcW w:w="850" w:type="dxa"/>
            <w:noWrap/>
            <w:hideMark/>
          </w:tcPr>
          <w:p w14:paraId="6AF168A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10.6%</w:t>
            </w:r>
          </w:p>
        </w:tc>
        <w:tc>
          <w:tcPr>
            <w:tcW w:w="709" w:type="dxa"/>
            <w:noWrap/>
            <w:hideMark/>
          </w:tcPr>
          <w:p w14:paraId="4A48758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0.26</w:t>
            </w:r>
          </w:p>
        </w:tc>
        <w:tc>
          <w:tcPr>
            <w:tcW w:w="709" w:type="dxa"/>
            <w:noWrap/>
            <w:hideMark/>
          </w:tcPr>
          <w:p w14:paraId="58D2ACE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w:t>
            </w:r>
          </w:p>
        </w:tc>
        <w:tc>
          <w:tcPr>
            <w:tcW w:w="709" w:type="dxa"/>
            <w:noWrap/>
            <w:hideMark/>
          </w:tcPr>
          <w:p w14:paraId="25406F2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11.5%</w:t>
            </w:r>
          </w:p>
        </w:tc>
        <w:tc>
          <w:tcPr>
            <w:tcW w:w="708" w:type="dxa"/>
            <w:noWrap/>
            <w:hideMark/>
          </w:tcPr>
          <w:p w14:paraId="33F5762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0.10</w:t>
            </w:r>
          </w:p>
        </w:tc>
        <w:tc>
          <w:tcPr>
            <w:tcW w:w="709" w:type="dxa"/>
            <w:noWrap/>
            <w:hideMark/>
          </w:tcPr>
          <w:p w14:paraId="6AC26C1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1.8%</w:t>
            </w:r>
          </w:p>
        </w:tc>
        <w:tc>
          <w:tcPr>
            <w:tcW w:w="709" w:type="dxa"/>
            <w:noWrap/>
            <w:hideMark/>
          </w:tcPr>
          <w:p w14:paraId="3FBA8C5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15.1%</w:t>
            </w:r>
          </w:p>
        </w:tc>
        <w:tc>
          <w:tcPr>
            <w:tcW w:w="850" w:type="dxa"/>
            <w:noWrap/>
            <w:hideMark/>
          </w:tcPr>
          <w:p w14:paraId="72A6F6D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0.12</w:t>
            </w:r>
          </w:p>
        </w:tc>
      </w:tr>
      <w:tr w:rsidR="001F4DDE" w:rsidRPr="004F2B84" w14:paraId="7A8B451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B69B4A8" w14:textId="77777777" w:rsidR="001F4DDE" w:rsidRPr="00B31A61" w:rsidRDefault="001F4DDE" w:rsidP="001F4DDE">
            <w:pPr>
              <w:rPr>
                <w:bCs/>
                <w:color w:val="000000"/>
                <w:sz w:val="18"/>
                <w:szCs w:val="18"/>
              </w:rPr>
            </w:pPr>
            <w:r w:rsidRPr="00B31A61">
              <w:rPr>
                <w:bCs/>
                <w:color w:val="000000"/>
                <w:sz w:val="18"/>
                <w:szCs w:val="18"/>
              </w:rPr>
              <w:t>Portugal</w:t>
            </w:r>
          </w:p>
        </w:tc>
        <w:tc>
          <w:tcPr>
            <w:tcW w:w="709" w:type="dxa"/>
            <w:noWrap/>
            <w:hideMark/>
          </w:tcPr>
          <w:p w14:paraId="01446E8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6.5%</w:t>
            </w:r>
          </w:p>
        </w:tc>
        <w:tc>
          <w:tcPr>
            <w:tcW w:w="709" w:type="dxa"/>
            <w:noWrap/>
            <w:hideMark/>
          </w:tcPr>
          <w:p w14:paraId="3951985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22.6%</w:t>
            </w:r>
          </w:p>
        </w:tc>
        <w:tc>
          <w:tcPr>
            <w:tcW w:w="708" w:type="dxa"/>
            <w:noWrap/>
            <w:hideMark/>
          </w:tcPr>
          <w:p w14:paraId="0A4E5D9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0.29</w:t>
            </w:r>
          </w:p>
        </w:tc>
        <w:tc>
          <w:tcPr>
            <w:tcW w:w="851" w:type="dxa"/>
            <w:noWrap/>
            <w:hideMark/>
          </w:tcPr>
          <w:p w14:paraId="7B69EF5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w:t>
            </w:r>
          </w:p>
        </w:tc>
        <w:tc>
          <w:tcPr>
            <w:tcW w:w="850" w:type="dxa"/>
            <w:noWrap/>
            <w:hideMark/>
          </w:tcPr>
          <w:p w14:paraId="2A104D0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10.6%</w:t>
            </w:r>
          </w:p>
        </w:tc>
        <w:tc>
          <w:tcPr>
            <w:tcW w:w="709" w:type="dxa"/>
            <w:noWrap/>
            <w:hideMark/>
          </w:tcPr>
          <w:p w14:paraId="4E68C13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709" w:type="dxa"/>
            <w:noWrap/>
            <w:hideMark/>
          </w:tcPr>
          <w:p w14:paraId="23C93E7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w:t>
            </w:r>
          </w:p>
        </w:tc>
        <w:tc>
          <w:tcPr>
            <w:tcW w:w="709" w:type="dxa"/>
            <w:noWrap/>
            <w:hideMark/>
          </w:tcPr>
          <w:p w14:paraId="7A6EFD4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11.3%</w:t>
            </w:r>
          </w:p>
        </w:tc>
        <w:tc>
          <w:tcPr>
            <w:tcW w:w="708" w:type="dxa"/>
            <w:noWrap/>
            <w:hideMark/>
          </w:tcPr>
          <w:p w14:paraId="0EF76BA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0.20</w:t>
            </w:r>
          </w:p>
        </w:tc>
        <w:tc>
          <w:tcPr>
            <w:tcW w:w="709" w:type="dxa"/>
            <w:noWrap/>
            <w:hideMark/>
          </w:tcPr>
          <w:p w14:paraId="44E9BE0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3.9%</w:t>
            </w:r>
          </w:p>
        </w:tc>
        <w:tc>
          <w:tcPr>
            <w:tcW w:w="709" w:type="dxa"/>
            <w:noWrap/>
            <w:hideMark/>
          </w:tcPr>
          <w:p w14:paraId="562B327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13.9%</w:t>
            </w:r>
          </w:p>
        </w:tc>
        <w:tc>
          <w:tcPr>
            <w:tcW w:w="850" w:type="dxa"/>
            <w:noWrap/>
            <w:hideMark/>
          </w:tcPr>
          <w:p w14:paraId="523C9E2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r>
      <w:tr w:rsidR="001F4DDE" w:rsidRPr="004F2B84" w14:paraId="558FF18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BE62273" w14:textId="77777777" w:rsidR="001F4DDE" w:rsidRPr="00B31A61" w:rsidRDefault="001F4DDE" w:rsidP="001F4DDE">
            <w:pPr>
              <w:rPr>
                <w:bCs/>
                <w:color w:val="000000"/>
                <w:sz w:val="18"/>
                <w:szCs w:val="18"/>
              </w:rPr>
            </w:pPr>
            <w:r w:rsidRPr="00B31A61">
              <w:rPr>
                <w:bCs/>
                <w:color w:val="000000"/>
                <w:sz w:val="18"/>
                <w:szCs w:val="18"/>
              </w:rPr>
              <w:t>Singapore</w:t>
            </w:r>
          </w:p>
        </w:tc>
        <w:tc>
          <w:tcPr>
            <w:tcW w:w="709" w:type="dxa"/>
            <w:noWrap/>
            <w:hideMark/>
          </w:tcPr>
          <w:p w14:paraId="56C47E4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4.8%</w:t>
            </w:r>
          </w:p>
        </w:tc>
        <w:tc>
          <w:tcPr>
            <w:tcW w:w="709" w:type="dxa"/>
            <w:noWrap/>
            <w:hideMark/>
          </w:tcPr>
          <w:p w14:paraId="4B2E38B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26.5%</w:t>
            </w:r>
          </w:p>
        </w:tc>
        <w:tc>
          <w:tcPr>
            <w:tcW w:w="708" w:type="dxa"/>
            <w:noWrap/>
            <w:hideMark/>
          </w:tcPr>
          <w:p w14:paraId="4742E88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0.18</w:t>
            </w:r>
          </w:p>
        </w:tc>
        <w:tc>
          <w:tcPr>
            <w:tcW w:w="851" w:type="dxa"/>
            <w:noWrap/>
            <w:hideMark/>
          </w:tcPr>
          <w:p w14:paraId="6CDE416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3.2%</w:t>
            </w:r>
          </w:p>
        </w:tc>
        <w:tc>
          <w:tcPr>
            <w:tcW w:w="850" w:type="dxa"/>
            <w:noWrap/>
            <w:hideMark/>
          </w:tcPr>
          <w:p w14:paraId="2580E50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11.3%</w:t>
            </w:r>
          </w:p>
        </w:tc>
        <w:tc>
          <w:tcPr>
            <w:tcW w:w="709" w:type="dxa"/>
            <w:noWrap/>
            <w:hideMark/>
          </w:tcPr>
          <w:p w14:paraId="5CDE8C0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709" w:type="dxa"/>
            <w:noWrap/>
            <w:hideMark/>
          </w:tcPr>
          <w:p w14:paraId="60AE4CD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3.3%</w:t>
            </w:r>
          </w:p>
        </w:tc>
        <w:tc>
          <w:tcPr>
            <w:tcW w:w="709" w:type="dxa"/>
            <w:noWrap/>
            <w:hideMark/>
          </w:tcPr>
          <w:p w14:paraId="19C5E63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12.0%</w:t>
            </w:r>
          </w:p>
        </w:tc>
        <w:tc>
          <w:tcPr>
            <w:tcW w:w="708" w:type="dxa"/>
            <w:noWrap/>
            <w:hideMark/>
          </w:tcPr>
          <w:p w14:paraId="581C875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709" w:type="dxa"/>
            <w:noWrap/>
            <w:hideMark/>
          </w:tcPr>
          <w:p w14:paraId="5982095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w:t>
            </w:r>
          </w:p>
        </w:tc>
        <w:tc>
          <w:tcPr>
            <w:tcW w:w="709" w:type="dxa"/>
            <w:noWrap/>
            <w:hideMark/>
          </w:tcPr>
          <w:p w14:paraId="6CAE74C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15.9%</w:t>
            </w:r>
          </w:p>
        </w:tc>
        <w:tc>
          <w:tcPr>
            <w:tcW w:w="850" w:type="dxa"/>
            <w:noWrap/>
            <w:hideMark/>
          </w:tcPr>
          <w:p w14:paraId="7BC1D18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0.12</w:t>
            </w:r>
          </w:p>
        </w:tc>
      </w:tr>
      <w:tr w:rsidR="001F4DDE" w:rsidRPr="004F2B84" w14:paraId="7C98851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E32690B" w14:textId="77777777" w:rsidR="001F4DDE" w:rsidRPr="00B31A61" w:rsidRDefault="001F4DDE" w:rsidP="001F4DDE">
            <w:pPr>
              <w:rPr>
                <w:bCs/>
                <w:color w:val="000000"/>
                <w:sz w:val="18"/>
                <w:szCs w:val="18"/>
              </w:rPr>
            </w:pPr>
            <w:r w:rsidRPr="00B31A61">
              <w:rPr>
                <w:bCs/>
                <w:color w:val="000000"/>
                <w:sz w:val="18"/>
                <w:szCs w:val="18"/>
              </w:rPr>
              <w:t>Spain</w:t>
            </w:r>
          </w:p>
        </w:tc>
        <w:tc>
          <w:tcPr>
            <w:tcW w:w="709" w:type="dxa"/>
            <w:noWrap/>
            <w:hideMark/>
          </w:tcPr>
          <w:p w14:paraId="3EF4950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10.7%</w:t>
            </w:r>
          </w:p>
        </w:tc>
        <w:tc>
          <w:tcPr>
            <w:tcW w:w="709" w:type="dxa"/>
            <w:noWrap/>
            <w:hideMark/>
          </w:tcPr>
          <w:p w14:paraId="4805F2B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26.3%</w:t>
            </w:r>
          </w:p>
        </w:tc>
        <w:tc>
          <w:tcPr>
            <w:tcW w:w="708" w:type="dxa"/>
            <w:noWrap/>
            <w:hideMark/>
          </w:tcPr>
          <w:p w14:paraId="273CAFF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0.41</w:t>
            </w:r>
          </w:p>
        </w:tc>
        <w:tc>
          <w:tcPr>
            <w:tcW w:w="851" w:type="dxa"/>
            <w:noWrap/>
            <w:hideMark/>
          </w:tcPr>
          <w:p w14:paraId="5E3788F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4.8%</w:t>
            </w:r>
          </w:p>
        </w:tc>
        <w:tc>
          <w:tcPr>
            <w:tcW w:w="850" w:type="dxa"/>
            <w:noWrap/>
            <w:hideMark/>
          </w:tcPr>
          <w:p w14:paraId="138F788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15.9%</w:t>
            </w:r>
          </w:p>
        </w:tc>
        <w:tc>
          <w:tcPr>
            <w:tcW w:w="709" w:type="dxa"/>
            <w:noWrap/>
            <w:hideMark/>
          </w:tcPr>
          <w:p w14:paraId="021091D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0.30</w:t>
            </w:r>
          </w:p>
        </w:tc>
        <w:tc>
          <w:tcPr>
            <w:tcW w:w="709" w:type="dxa"/>
            <w:noWrap/>
            <w:hideMark/>
          </w:tcPr>
          <w:p w14:paraId="50B8A08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4.1%</w:t>
            </w:r>
          </w:p>
        </w:tc>
        <w:tc>
          <w:tcPr>
            <w:tcW w:w="709" w:type="dxa"/>
            <w:noWrap/>
            <w:hideMark/>
          </w:tcPr>
          <w:p w14:paraId="55F4363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15.9%</w:t>
            </w:r>
          </w:p>
        </w:tc>
        <w:tc>
          <w:tcPr>
            <w:tcW w:w="708" w:type="dxa"/>
            <w:noWrap/>
            <w:hideMark/>
          </w:tcPr>
          <w:p w14:paraId="14CFAEA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0.26</w:t>
            </w:r>
          </w:p>
        </w:tc>
        <w:tc>
          <w:tcPr>
            <w:tcW w:w="709" w:type="dxa"/>
            <w:noWrap/>
            <w:hideMark/>
          </w:tcPr>
          <w:p w14:paraId="7E6CD12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7.1%</w:t>
            </w:r>
          </w:p>
        </w:tc>
        <w:tc>
          <w:tcPr>
            <w:tcW w:w="709" w:type="dxa"/>
            <w:noWrap/>
            <w:hideMark/>
          </w:tcPr>
          <w:p w14:paraId="2FA0A8C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20.7%</w:t>
            </w:r>
          </w:p>
        </w:tc>
        <w:tc>
          <w:tcPr>
            <w:tcW w:w="850" w:type="dxa"/>
            <w:noWrap/>
            <w:hideMark/>
          </w:tcPr>
          <w:p w14:paraId="417690A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0.34</w:t>
            </w:r>
          </w:p>
        </w:tc>
      </w:tr>
      <w:tr w:rsidR="001F4DDE" w:rsidRPr="004F2B84" w14:paraId="2586151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2370AE5" w14:textId="77777777" w:rsidR="001F4DDE" w:rsidRPr="00B31A61" w:rsidRDefault="001F4DDE" w:rsidP="001F4DDE">
            <w:pPr>
              <w:rPr>
                <w:bCs/>
                <w:color w:val="000000"/>
                <w:sz w:val="18"/>
                <w:szCs w:val="18"/>
              </w:rPr>
            </w:pPr>
            <w:r w:rsidRPr="00B31A61">
              <w:rPr>
                <w:bCs/>
                <w:color w:val="000000"/>
                <w:sz w:val="18"/>
                <w:szCs w:val="18"/>
              </w:rPr>
              <w:t>Sweden</w:t>
            </w:r>
          </w:p>
        </w:tc>
        <w:tc>
          <w:tcPr>
            <w:tcW w:w="709" w:type="dxa"/>
            <w:noWrap/>
            <w:hideMark/>
          </w:tcPr>
          <w:p w14:paraId="14A99B9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10.4%</w:t>
            </w:r>
          </w:p>
        </w:tc>
        <w:tc>
          <w:tcPr>
            <w:tcW w:w="709" w:type="dxa"/>
            <w:noWrap/>
            <w:hideMark/>
          </w:tcPr>
          <w:p w14:paraId="49C252E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29.0%</w:t>
            </w:r>
          </w:p>
        </w:tc>
        <w:tc>
          <w:tcPr>
            <w:tcW w:w="708" w:type="dxa"/>
            <w:noWrap/>
            <w:hideMark/>
          </w:tcPr>
          <w:p w14:paraId="3EF4875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0.36</w:t>
            </w:r>
          </w:p>
        </w:tc>
        <w:tc>
          <w:tcPr>
            <w:tcW w:w="851" w:type="dxa"/>
            <w:noWrap/>
            <w:hideMark/>
          </w:tcPr>
          <w:p w14:paraId="45F82F3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3.9%</w:t>
            </w:r>
          </w:p>
        </w:tc>
        <w:tc>
          <w:tcPr>
            <w:tcW w:w="850" w:type="dxa"/>
            <w:noWrap/>
            <w:hideMark/>
          </w:tcPr>
          <w:p w14:paraId="5D38A72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19.5%</w:t>
            </w:r>
          </w:p>
        </w:tc>
        <w:tc>
          <w:tcPr>
            <w:tcW w:w="709" w:type="dxa"/>
            <w:noWrap/>
            <w:hideMark/>
          </w:tcPr>
          <w:p w14:paraId="6170556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0.20</w:t>
            </w:r>
          </w:p>
        </w:tc>
        <w:tc>
          <w:tcPr>
            <w:tcW w:w="709" w:type="dxa"/>
            <w:noWrap/>
            <w:hideMark/>
          </w:tcPr>
          <w:p w14:paraId="2D896E5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4.9%</w:t>
            </w:r>
          </w:p>
        </w:tc>
        <w:tc>
          <w:tcPr>
            <w:tcW w:w="709" w:type="dxa"/>
            <w:noWrap/>
            <w:hideMark/>
          </w:tcPr>
          <w:p w14:paraId="0C5BE21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20.0%</w:t>
            </w:r>
          </w:p>
        </w:tc>
        <w:tc>
          <w:tcPr>
            <w:tcW w:w="708" w:type="dxa"/>
            <w:noWrap/>
            <w:hideMark/>
          </w:tcPr>
          <w:p w14:paraId="3BFD734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0.25</w:t>
            </w:r>
          </w:p>
        </w:tc>
        <w:tc>
          <w:tcPr>
            <w:tcW w:w="709" w:type="dxa"/>
            <w:noWrap/>
            <w:hideMark/>
          </w:tcPr>
          <w:p w14:paraId="053D673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7.1%</w:t>
            </w:r>
          </w:p>
        </w:tc>
        <w:tc>
          <w:tcPr>
            <w:tcW w:w="709" w:type="dxa"/>
            <w:noWrap/>
            <w:hideMark/>
          </w:tcPr>
          <w:p w14:paraId="1FAD170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23.4%</w:t>
            </w:r>
          </w:p>
        </w:tc>
        <w:tc>
          <w:tcPr>
            <w:tcW w:w="850" w:type="dxa"/>
            <w:noWrap/>
            <w:hideMark/>
          </w:tcPr>
          <w:p w14:paraId="4E581E0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r>
      <w:tr w:rsidR="001F4DDE" w:rsidRPr="004F2B84" w14:paraId="7A1E58A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3E405EC" w14:textId="77777777" w:rsidR="001F4DDE" w:rsidRPr="00B31A61" w:rsidRDefault="001F4DDE" w:rsidP="001F4DDE">
            <w:pPr>
              <w:rPr>
                <w:bCs/>
                <w:color w:val="000000"/>
                <w:sz w:val="18"/>
                <w:szCs w:val="18"/>
              </w:rPr>
            </w:pPr>
            <w:r w:rsidRPr="00B31A61">
              <w:rPr>
                <w:bCs/>
                <w:color w:val="000000"/>
                <w:sz w:val="18"/>
                <w:szCs w:val="18"/>
              </w:rPr>
              <w:t>Switzerland</w:t>
            </w:r>
          </w:p>
        </w:tc>
        <w:tc>
          <w:tcPr>
            <w:tcW w:w="709" w:type="dxa"/>
            <w:noWrap/>
            <w:hideMark/>
          </w:tcPr>
          <w:p w14:paraId="7DC3FE2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8.2%</w:t>
            </w:r>
          </w:p>
        </w:tc>
        <w:tc>
          <w:tcPr>
            <w:tcW w:w="709" w:type="dxa"/>
            <w:noWrap/>
            <w:hideMark/>
          </w:tcPr>
          <w:p w14:paraId="62FA330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21.4%</w:t>
            </w:r>
          </w:p>
        </w:tc>
        <w:tc>
          <w:tcPr>
            <w:tcW w:w="708" w:type="dxa"/>
            <w:noWrap/>
            <w:hideMark/>
          </w:tcPr>
          <w:p w14:paraId="3385509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0.38</w:t>
            </w:r>
          </w:p>
        </w:tc>
        <w:tc>
          <w:tcPr>
            <w:tcW w:w="851" w:type="dxa"/>
            <w:noWrap/>
            <w:hideMark/>
          </w:tcPr>
          <w:p w14:paraId="1C70922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3.9%</w:t>
            </w:r>
          </w:p>
        </w:tc>
        <w:tc>
          <w:tcPr>
            <w:tcW w:w="850" w:type="dxa"/>
            <w:noWrap/>
            <w:hideMark/>
          </w:tcPr>
          <w:p w14:paraId="25A3ED5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12.3%</w:t>
            </w:r>
          </w:p>
        </w:tc>
        <w:tc>
          <w:tcPr>
            <w:tcW w:w="709" w:type="dxa"/>
            <w:noWrap/>
            <w:hideMark/>
          </w:tcPr>
          <w:p w14:paraId="1CD3D54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c>
          <w:tcPr>
            <w:tcW w:w="709" w:type="dxa"/>
            <w:noWrap/>
            <w:hideMark/>
          </w:tcPr>
          <w:p w14:paraId="05AAD08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2.7%</w:t>
            </w:r>
          </w:p>
        </w:tc>
        <w:tc>
          <w:tcPr>
            <w:tcW w:w="709" w:type="dxa"/>
            <w:noWrap/>
            <w:hideMark/>
          </w:tcPr>
          <w:p w14:paraId="050D9D1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12.8%</w:t>
            </w:r>
          </w:p>
        </w:tc>
        <w:tc>
          <w:tcPr>
            <w:tcW w:w="708" w:type="dxa"/>
            <w:noWrap/>
            <w:hideMark/>
          </w:tcPr>
          <w:p w14:paraId="764F2B2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0.21</w:t>
            </w:r>
          </w:p>
        </w:tc>
        <w:tc>
          <w:tcPr>
            <w:tcW w:w="709" w:type="dxa"/>
            <w:noWrap/>
            <w:hideMark/>
          </w:tcPr>
          <w:p w14:paraId="5636734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4.1%</w:t>
            </w:r>
          </w:p>
        </w:tc>
        <w:tc>
          <w:tcPr>
            <w:tcW w:w="709" w:type="dxa"/>
            <w:noWrap/>
            <w:hideMark/>
          </w:tcPr>
          <w:p w14:paraId="01F1EA1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16.4%</w:t>
            </w:r>
          </w:p>
        </w:tc>
        <w:tc>
          <w:tcPr>
            <w:tcW w:w="850" w:type="dxa"/>
            <w:noWrap/>
            <w:hideMark/>
          </w:tcPr>
          <w:p w14:paraId="38ADAEF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0.25</w:t>
            </w:r>
          </w:p>
        </w:tc>
      </w:tr>
      <w:tr w:rsidR="001F4DDE" w:rsidRPr="004F2B84" w14:paraId="0A1F8CF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noWrap/>
            <w:hideMark/>
          </w:tcPr>
          <w:p w14:paraId="793BF979" w14:textId="77777777" w:rsidR="001F4DDE" w:rsidRPr="00B31A61" w:rsidRDefault="001F4DDE" w:rsidP="001F4DDE">
            <w:pPr>
              <w:rPr>
                <w:bCs/>
                <w:color w:val="000000"/>
                <w:sz w:val="18"/>
                <w:szCs w:val="18"/>
              </w:rPr>
            </w:pPr>
            <w:r w:rsidRPr="00B31A61">
              <w:rPr>
                <w:bCs/>
                <w:color w:val="000000"/>
                <w:sz w:val="18"/>
                <w:szCs w:val="18"/>
              </w:rPr>
              <w:t>UK</w:t>
            </w:r>
          </w:p>
        </w:tc>
        <w:tc>
          <w:tcPr>
            <w:tcW w:w="709" w:type="dxa"/>
            <w:tcBorders>
              <w:bottom w:val="single" w:sz="4" w:space="0" w:color="auto"/>
            </w:tcBorders>
            <w:noWrap/>
            <w:hideMark/>
          </w:tcPr>
          <w:p w14:paraId="0CDE8C1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6.2%</w:t>
            </w:r>
          </w:p>
        </w:tc>
        <w:tc>
          <w:tcPr>
            <w:tcW w:w="709" w:type="dxa"/>
            <w:tcBorders>
              <w:bottom w:val="single" w:sz="4" w:space="0" w:color="auto"/>
            </w:tcBorders>
            <w:noWrap/>
            <w:hideMark/>
          </w:tcPr>
          <w:p w14:paraId="50B064C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20.5%</w:t>
            </w:r>
          </w:p>
        </w:tc>
        <w:tc>
          <w:tcPr>
            <w:tcW w:w="708" w:type="dxa"/>
            <w:tcBorders>
              <w:bottom w:val="single" w:sz="4" w:space="0" w:color="auto"/>
            </w:tcBorders>
            <w:noWrap/>
            <w:hideMark/>
          </w:tcPr>
          <w:p w14:paraId="1A17291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0.30</w:t>
            </w:r>
          </w:p>
        </w:tc>
        <w:tc>
          <w:tcPr>
            <w:tcW w:w="851" w:type="dxa"/>
            <w:tcBorders>
              <w:bottom w:val="single" w:sz="4" w:space="0" w:color="auto"/>
            </w:tcBorders>
            <w:noWrap/>
            <w:hideMark/>
          </w:tcPr>
          <w:p w14:paraId="0591434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4.7%</w:t>
            </w:r>
          </w:p>
        </w:tc>
        <w:tc>
          <w:tcPr>
            <w:tcW w:w="850" w:type="dxa"/>
            <w:tcBorders>
              <w:bottom w:val="single" w:sz="4" w:space="0" w:color="auto"/>
            </w:tcBorders>
            <w:noWrap/>
            <w:hideMark/>
          </w:tcPr>
          <w:p w14:paraId="30CF03C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14.2%</w:t>
            </w:r>
          </w:p>
        </w:tc>
        <w:tc>
          <w:tcPr>
            <w:tcW w:w="709" w:type="dxa"/>
            <w:tcBorders>
              <w:bottom w:val="single" w:sz="4" w:space="0" w:color="auto"/>
            </w:tcBorders>
            <w:noWrap/>
            <w:hideMark/>
          </w:tcPr>
          <w:p w14:paraId="10D02B2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0.33</w:t>
            </w:r>
          </w:p>
        </w:tc>
        <w:tc>
          <w:tcPr>
            <w:tcW w:w="709" w:type="dxa"/>
            <w:tcBorders>
              <w:bottom w:val="single" w:sz="4" w:space="0" w:color="auto"/>
            </w:tcBorders>
            <w:noWrap/>
            <w:hideMark/>
          </w:tcPr>
          <w:p w14:paraId="1D15474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3.1%</w:t>
            </w:r>
          </w:p>
        </w:tc>
        <w:tc>
          <w:tcPr>
            <w:tcW w:w="709" w:type="dxa"/>
            <w:tcBorders>
              <w:bottom w:val="single" w:sz="4" w:space="0" w:color="auto"/>
            </w:tcBorders>
            <w:noWrap/>
            <w:hideMark/>
          </w:tcPr>
          <w:p w14:paraId="545D024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14.4%</w:t>
            </w:r>
          </w:p>
        </w:tc>
        <w:tc>
          <w:tcPr>
            <w:tcW w:w="708" w:type="dxa"/>
            <w:tcBorders>
              <w:bottom w:val="single" w:sz="4" w:space="0" w:color="auto"/>
            </w:tcBorders>
            <w:noWrap/>
            <w:hideMark/>
          </w:tcPr>
          <w:p w14:paraId="0F2E400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0.22</w:t>
            </w:r>
          </w:p>
        </w:tc>
        <w:tc>
          <w:tcPr>
            <w:tcW w:w="709" w:type="dxa"/>
            <w:tcBorders>
              <w:bottom w:val="single" w:sz="4" w:space="0" w:color="auto"/>
            </w:tcBorders>
            <w:noWrap/>
            <w:hideMark/>
          </w:tcPr>
          <w:p w14:paraId="7C5C2B2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4.4%</w:t>
            </w:r>
          </w:p>
        </w:tc>
        <w:tc>
          <w:tcPr>
            <w:tcW w:w="709" w:type="dxa"/>
            <w:tcBorders>
              <w:bottom w:val="single" w:sz="4" w:space="0" w:color="auto"/>
            </w:tcBorders>
            <w:noWrap/>
            <w:hideMark/>
          </w:tcPr>
          <w:p w14:paraId="76EF8D3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17.1%</w:t>
            </w:r>
          </w:p>
        </w:tc>
        <w:tc>
          <w:tcPr>
            <w:tcW w:w="850" w:type="dxa"/>
            <w:tcBorders>
              <w:bottom w:val="single" w:sz="4" w:space="0" w:color="auto"/>
            </w:tcBorders>
            <w:noWrap/>
            <w:hideMark/>
          </w:tcPr>
          <w:p w14:paraId="5F097D7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0.26</w:t>
            </w:r>
          </w:p>
        </w:tc>
      </w:tr>
      <w:tr w:rsidR="001F4DDE" w:rsidRPr="004F2B84" w14:paraId="5D1A1D8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noWrap/>
            <w:hideMark/>
          </w:tcPr>
          <w:p w14:paraId="776F7276" w14:textId="77777777" w:rsidR="001F4DDE" w:rsidRPr="00B31A61" w:rsidRDefault="001F4DDE" w:rsidP="001F4DDE">
            <w:pPr>
              <w:rPr>
                <w:bCs/>
                <w:color w:val="000000"/>
                <w:sz w:val="18"/>
                <w:szCs w:val="18"/>
              </w:rPr>
            </w:pPr>
            <w:r w:rsidRPr="00B31A61">
              <w:rPr>
                <w:bCs/>
                <w:color w:val="000000"/>
                <w:sz w:val="18"/>
                <w:szCs w:val="18"/>
              </w:rPr>
              <w:t>Average</w:t>
            </w:r>
          </w:p>
        </w:tc>
        <w:tc>
          <w:tcPr>
            <w:tcW w:w="709" w:type="dxa"/>
            <w:tcBorders>
              <w:top w:val="single" w:sz="4" w:space="0" w:color="auto"/>
              <w:bottom w:val="single" w:sz="4" w:space="0" w:color="auto"/>
            </w:tcBorders>
            <w:noWrap/>
            <w:vAlign w:val="center"/>
            <w:hideMark/>
          </w:tcPr>
          <w:p w14:paraId="09870272"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6.9%</w:t>
            </w:r>
          </w:p>
        </w:tc>
        <w:tc>
          <w:tcPr>
            <w:tcW w:w="709" w:type="dxa"/>
            <w:tcBorders>
              <w:top w:val="single" w:sz="4" w:space="0" w:color="auto"/>
              <w:bottom w:val="single" w:sz="4" w:space="0" w:color="auto"/>
            </w:tcBorders>
            <w:noWrap/>
            <w:vAlign w:val="center"/>
            <w:hideMark/>
          </w:tcPr>
          <w:p w14:paraId="1B758058"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25.7%</w:t>
            </w:r>
          </w:p>
        </w:tc>
        <w:tc>
          <w:tcPr>
            <w:tcW w:w="708" w:type="dxa"/>
            <w:tcBorders>
              <w:top w:val="single" w:sz="4" w:space="0" w:color="auto"/>
              <w:bottom w:val="single" w:sz="4" w:space="0" w:color="auto"/>
            </w:tcBorders>
            <w:noWrap/>
            <w:vAlign w:val="center"/>
            <w:hideMark/>
          </w:tcPr>
          <w:p w14:paraId="05C97AE7"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0.27</w:t>
            </w:r>
          </w:p>
        </w:tc>
        <w:tc>
          <w:tcPr>
            <w:tcW w:w="851" w:type="dxa"/>
            <w:tcBorders>
              <w:top w:val="single" w:sz="4" w:space="0" w:color="auto"/>
              <w:bottom w:val="single" w:sz="4" w:space="0" w:color="auto"/>
            </w:tcBorders>
            <w:noWrap/>
            <w:vAlign w:val="center"/>
            <w:hideMark/>
          </w:tcPr>
          <w:p w14:paraId="1D7C959C"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4.7%</w:t>
            </w:r>
          </w:p>
        </w:tc>
        <w:tc>
          <w:tcPr>
            <w:tcW w:w="850" w:type="dxa"/>
            <w:tcBorders>
              <w:top w:val="single" w:sz="4" w:space="0" w:color="auto"/>
              <w:bottom w:val="single" w:sz="4" w:space="0" w:color="auto"/>
            </w:tcBorders>
            <w:noWrap/>
            <w:vAlign w:val="center"/>
            <w:hideMark/>
          </w:tcPr>
          <w:p w14:paraId="4F844329"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14.4%</w:t>
            </w:r>
          </w:p>
        </w:tc>
        <w:tc>
          <w:tcPr>
            <w:tcW w:w="709" w:type="dxa"/>
            <w:tcBorders>
              <w:top w:val="single" w:sz="4" w:space="0" w:color="auto"/>
              <w:bottom w:val="single" w:sz="4" w:space="0" w:color="auto"/>
            </w:tcBorders>
            <w:noWrap/>
            <w:vAlign w:val="center"/>
            <w:hideMark/>
          </w:tcPr>
          <w:p w14:paraId="20114C4B"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0.32</w:t>
            </w:r>
          </w:p>
        </w:tc>
        <w:tc>
          <w:tcPr>
            <w:tcW w:w="709" w:type="dxa"/>
            <w:tcBorders>
              <w:top w:val="single" w:sz="4" w:space="0" w:color="auto"/>
              <w:bottom w:val="single" w:sz="4" w:space="0" w:color="auto"/>
            </w:tcBorders>
            <w:noWrap/>
            <w:vAlign w:val="center"/>
            <w:hideMark/>
          </w:tcPr>
          <w:p w14:paraId="52A8AF43"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4.1%</w:t>
            </w:r>
          </w:p>
        </w:tc>
        <w:tc>
          <w:tcPr>
            <w:tcW w:w="709" w:type="dxa"/>
            <w:tcBorders>
              <w:top w:val="single" w:sz="4" w:space="0" w:color="auto"/>
              <w:bottom w:val="single" w:sz="4" w:space="0" w:color="auto"/>
            </w:tcBorders>
            <w:noWrap/>
            <w:vAlign w:val="center"/>
            <w:hideMark/>
          </w:tcPr>
          <w:p w14:paraId="2C588B43"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15.1%</w:t>
            </w:r>
          </w:p>
        </w:tc>
        <w:tc>
          <w:tcPr>
            <w:tcW w:w="708" w:type="dxa"/>
            <w:tcBorders>
              <w:top w:val="single" w:sz="4" w:space="0" w:color="auto"/>
              <w:bottom w:val="single" w:sz="4" w:space="0" w:color="auto"/>
            </w:tcBorders>
            <w:noWrap/>
            <w:vAlign w:val="center"/>
            <w:hideMark/>
          </w:tcPr>
          <w:p w14:paraId="5BE34EB9"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0.26</w:t>
            </w:r>
          </w:p>
        </w:tc>
        <w:tc>
          <w:tcPr>
            <w:tcW w:w="709" w:type="dxa"/>
            <w:tcBorders>
              <w:top w:val="single" w:sz="4" w:space="0" w:color="auto"/>
              <w:bottom w:val="single" w:sz="4" w:space="0" w:color="auto"/>
            </w:tcBorders>
            <w:noWrap/>
            <w:vAlign w:val="center"/>
            <w:hideMark/>
          </w:tcPr>
          <w:p w14:paraId="3A4FF0B0"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4.7%</w:t>
            </w:r>
          </w:p>
        </w:tc>
        <w:tc>
          <w:tcPr>
            <w:tcW w:w="709" w:type="dxa"/>
            <w:tcBorders>
              <w:top w:val="single" w:sz="4" w:space="0" w:color="auto"/>
              <w:bottom w:val="single" w:sz="4" w:space="0" w:color="auto"/>
            </w:tcBorders>
            <w:noWrap/>
            <w:vAlign w:val="center"/>
            <w:hideMark/>
          </w:tcPr>
          <w:p w14:paraId="27D175D7"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18.8%</w:t>
            </w:r>
          </w:p>
        </w:tc>
        <w:tc>
          <w:tcPr>
            <w:tcW w:w="850" w:type="dxa"/>
            <w:tcBorders>
              <w:top w:val="single" w:sz="4" w:space="0" w:color="auto"/>
              <w:bottom w:val="single" w:sz="4" w:space="0" w:color="auto"/>
            </w:tcBorders>
            <w:noWrap/>
            <w:vAlign w:val="center"/>
            <w:hideMark/>
          </w:tcPr>
          <w:p w14:paraId="29A29425" w14:textId="77777777" w:rsidR="001F4DDE" w:rsidRPr="0066555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65555">
              <w:rPr>
                <w:color w:val="000000"/>
                <w:sz w:val="18"/>
                <w:szCs w:val="18"/>
              </w:rPr>
              <w:t>0.25</w:t>
            </w:r>
          </w:p>
        </w:tc>
      </w:tr>
      <w:tr w:rsidR="001F4DDE" w:rsidRPr="004F2B84" w14:paraId="19F63DE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noWrap/>
            <w:hideMark/>
          </w:tcPr>
          <w:p w14:paraId="4DEB3522" w14:textId="77777777" w:rsidR="001F4DDE" w:rsidRPr="00B31A61" w:rsidRDefault="001F4DDE" w:rsidP="001F4DDE">
            <w:pPr>
              <w:rPr>
                <w:i/>
                <w:sz w:val="18"/>
                <w:szCs w:val="18"/>
              </w:rPr>
            </w:pPr>
            <w:r w:rsidRPr="00B31A61">
              <w:rPr>
                <w:i/>
                <w:sz w:val="18"/>
                <w:szCs w:val="18"/>
              </w:rPr>
              <w:t>Emerging Markets</w:t>
            </w:r>
          </w:p>
        </w:tc>
        <w:tc>
          <w:tcPr>
            <w:tcW w:w="709" w:type="dxa"/>
            <w:tcBorders>
              <w:top w:val="single" w:sz="4" w:space="0" w:color="auto"/>
            </w:tcBorders>
            <w:noWrap/>
          </w:tcPr>
          <w:p w14:paraId="53622D9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9" w:type="dxa"/>
            <w:tcBorders>
              <w:top w:val="single" w:sz="4" w:space="0" w:color="auto"/>
            </w:tcBorders>
            <w:noWrap/>
          </w:tcPr>
          <w:p w14:paraId="787B1A2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8" w:type="dxa"/>
            <w:tcBorders>
              <w:top w:val="single" w:sz="4" w:space="0" w:color="auto"/>
            </w:tcBorders>
            <w:noWrap/>
          </w:tcPr>
          <w:p w14:paraId="25A7E58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851" w:type="dxa"/>
            <w:tcBorders>
              <w:top w:val="single" w:sz="4" w:space="0" w:color="auto"/>
            </w:tcBorders>
            <w:noWrap/>
          </w:tcPr>
          <w:p w14:paraId="351E048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850" w:type="dxa"/>
            <w:tcBorders>
              <w:top w:val="single" w:sz="4" w:space="0" w:color="auto"/>
            </w:tcBorders>
            <w:noWrap/>
          </w:tcPr>
          <w:p w14:paraId="5B9F77C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9" w:type="dxa"/>
            <w:tcBorders>
              <w:top w:val="single" w:sz="4" w:space="0" w:color="auto"/>
            </w:tcBorders>
            <w:noWrap/>
          </w:tcPr>
          <w:p w14:paraId="0FC28F2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9" w:type="dxa"/>
            <w:tcBorders>
              <w:top w:val="single" w:sz="4" w:space="0" w:color="auto"/>
            </w:tcBorders>
            <w:noWrap/>
          </w:tcPr>
          <w:p w14:paraId="35FB2CD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9" w:type="dxa"/>
            <w:tcBorders>
              <w:top w:val="single" w:sz="4" w:space="0" w:color="auto"/>
            </w:tcBorders>
            <w:noWrap/>
          </w:tcPr>
          <w:p w14:paraId="7FF484E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8" w:type="dxa"/>
            <w:tcBorders>
              <w:top w:val="single" w:sz="4" w:space="0" w:color="auto"/>
            </w:tcBorders>
            <w:noWrap/>
          </w:tcPr>
          <w:p w14:paraId="629C813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9" w:type="dxa"/>
            <w:tcBorders>
              <w:top w:val="single" w:sz="4" w:space="0" w:color="auto"/>
            </w:tcBorders>
            <w:noWrap/>
          </w:tcPr>
          <w:p w14:paraId="2916046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09" w:type="dxa"/>
            <w:tcBorders>
              <w:top w:val="single" w:sz="4" w:space="0" w:color="auto"/>
            </w:tcBorders>
            <w:noWrap/>
          </w:tcPr>
          <w:p w14:paraId="4CB3D31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850" w:type="dxa"/>
            <w:tcBorders>
              <w:top w:val="single" w:sz="4" w:space="0" w:color="auto"/>
            </w:tcBorders>
            <w:noWrap/>
          </w:tcPr>
          <w:p w14:paraId="29B4D90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4F2B84" w14:paraId="6E7ECED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6B0A8E6" w14:textId="77777777" w:rsidR="001F4DDE" w:rsidRPr="00B31A61" w:rsidRDefault="001F4DDE" w:rsidP="001F4DDE">
            <w:pPr>
              <w:rPr>
                <w:bCs/>
                <w:color w:val="000000"/>
                <w:sz w:val="18"/>
                <w:szCs w:val="18"/>
              </w:rPr>
            </w:pPr>
            <w:r w:rsidRPr="00B31A61">
              <w:rPr>
                <w:bCs/>
                <w:color w:val="000000"/>
                <w:sz w:val="18"/>
                <w:szCs w:val="18"/>
              </w:rPr>
              <w:t>Brazil</w:t>
            </w:r>
          </w:p>
        </w:tc>
        <w:tc>
          <w:tcPr>
            <w:tcW w:w="709" w:type="dxa"/>
            <w:noWrap/>
            <w:hideMark/>
          </w:tcPr>
          <w:p w14:paraId="124C2FF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15.1%</w:t>
            </w:r>
          </w:p>
        </w:tc>
        <w:tc>
          <w:tcPr>
            <w:tcW w:w="709" w:type="dxa"/>
            <w:noWrap/>
            <w:hideMark/>
          </w:tcPr>
          <w:p w14:paraId="0FD8B0E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40.4%</w:t>
            </w:r>
          </w:p>
        </w:tc>
        <w:tc>
          <w:tcPr>
            <w:tcW w:w="708" w:type="dxa"/>
            <w:noWrap/>
            <w:hideMark/>
          </w:tcPr>
          <w:p w14:paraId="070690A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0.37</w:t>
            </w:r>
          </w:p>
        </w:tc>
        <w:tc>
          <w:tcPr>
            <w:tcW w:w="851" w:type="dxa"/>
            <w:noWrap/>
            <w:hideMark/>
          </w:tcPr>
          <w:p w14:paraId="21E7A27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10.4%</w:t>
            </w:r>
          </w:p>
        </w:tc>
        <w:tc>
          <w:tcPr>
            <w:tcW w:w="850" w:type="dxa"/>
            <w:noWrap/>
            <w:hideMark/>
          </w:tcPr>
          <w:p w14:paraId="4E4FB21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30.3%</w:t>
            </w:r>
          </w:p>
        </w:tc>
        <w:tc>
          <w:tcPr>
            <w:tcW w:w="709" w:type="dxa"/>
            <w:noWrap/>
            <w:hideMark/>
          </w:tcPr>
          <w:p w14:paraId="62705C3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0.34</w:t>
            </w:r>
          </w:p>
        </w:tc>
        <w:tc>
          <w:tcPr>
            <w:tcW w:w="709" w:type="dxa"/>
            <w:noWrap/>
            <w:hideMark/>
          </w:tcPr>
          <w:p w14:paraId="0B8FBDB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6.4%</w:t>
            </w:r>
          </w:p>
        </w:tc>
        <w:tc>
          <w:tcPr>
            <w:tcW w:w="709" w:type="dxa"/>
            <w:noWrap/>
            <w:hideMark/>
          </w:tcPr>
          <w:p w14:paraId="246D233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30.3%</w:t>
            </w:r>
          </w:p>
        </w:tc>
        <w:tc>
          <w:tcPr>
            <w:tcW w:w="708" w:type="dxa"/>
            <w:noWrap/>
            <w:hideMark/>
          </w:tcPr>
          <w:p w14:paraId="09ECCEC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0.21</w:t>
            </w:r>
          </w:p>
        </w:tc>
        <w:tc>
          <w:tcPr>
            <w:tcW w:w="709" w:type="dxa"/>
            <w:noWrap/>
            <w:hideMark/>
          </w:tcPr>
          <w:p w14:paraId="5CC4401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11.4%</w:t>
            </w:r>
          </w:p>
        </w:tc>
        <w:tc>
          <w:tcPr>
            <w:tcW w:w="709" w:type="dxa"/>
            <w:noWrap/>
            <w:hideMark/>
          </w:tcPr>
          <w:p w14:paraId="6FDB8FD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30.3%</w:t>
            </w:r>
          </w:p>
        </w:tc>
        <w:tc>
          <w:tcPr>
            <w:tcW w:w="850" w:type="dxa"/>
            <w:noWrap/>
            <w:hideMark/>
          </w:tcPr>
          <w:p w14:paraId="552B057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0.38</w:t>
            </w:r>
          </w:p>
        </w:tc>
      </w:tr>
      <w:tr w:rsidR="001F4DDE" w:rsidRPr="004F2B84" w14:paraId="68517BE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1D24263" w14:textId="77777777" w:rsidR="001F4DDE" w:rsidRPr="00B31A61" w:rsidRDefault="001F4DDE" w:rsidP="001F4DDE">
            <w:pPr>
              <w:rPr>
                <w:bCs/>
                <w:color w:val="000000"/>
                <w:sz w:val="18"/>
                <w:szCs w:val="18"/>
              </w:rPr>
            </w:pPr>
            <w:r w:rsidRPr="00B31A61">
              <w:rPr>
                <w:bCs/>
                <w:color w:val="000000"/>
                <w:sz w:val="18"/>
                <w:szCs w:val="18"/>
              </w:rPr>
              <w:t>Chile</w:t>
            </w:r>
          </w:p>
        </w:tc>
        <w:tc>
          <w:tcPr>
            <w:tcW w:w="709" w:type="dxa"/>
            <w:noWrap/>
            <w:hideMark/>
          </w:tcPr>
          <w:p w14:paraId="4A4984A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10.4%</w:t>
            </w:r>
          </w:p>
        </w:tc>
        <w:tc>
          <w:tcPr>
            <w:tcW w:w="709" w:type="dxa"/>
            <w:noWrap/>
            <w:hideMark/>
          </w:tcPr>
          <w:p w14:paraId="017255A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25.4%</w:t>
            </w:r>
          </w:p>
        </w:tc>
        <w:tc>
          <w:tcPr>
            <w:tcW w:w="708" w:type="dxa"/>
            <w:noWrap/>
            <w:hideMark/>
          </w:tcPr>
          <w:p w14:paraId="1A4CCBD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0.41</w:t>
            </w:r>
          </w:p>
        </w:tc>
        <w:tc>
          <w:tcPr>
            <w:tcW w:w="851" w:type="dxa"/>
            <w:noWrap/>
            <w:hideMark/>
          </w:tcPr>
          <w:p w14:paraId="0F35180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3.5%</w:t>
            </w:r>
          </w:p>
        </w:tc>
        <w:tc>
          <w:tcPr>
            <w:tcW w:w="850" w:type="dxa"/>
            <w:noWrap/>
            <w:hideMark/>
          </w:tcPr>
          <w:p w14:paraId="02E8965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12.3%</w:t>
            </w:r>
          </w:p>
        </w:tc>
        <w:tc>
          <w:tcPr>
            <w:tcW w:w="709" w:type="dxa"/>
            <w:noWrap/>
            <w:hideMark/>
          </w:tcPr>
          <w:p w14:paraId="2FDD0B4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709" w:type="dxa"/>
            <w:noWrap/>
            <w:hideMark/>
          </w:tcPr>
          <w:p w14:paraId="4E062EF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2.9%</w:t>
            </w:r>
          </w:p>
        </w:tc>
        <w:tc>
          <w:tcPr>
            <w:tcW w:w="709" w:type="dxa"/>
            <w:noWrap/>
            <w:hideMark/>
          </w:tcPr>
          <w:p w14:paraId="5E44D19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13.6%</w:t>
            </w:r>
          </w:p>
        </w:tc>
        <w:tc>
          <w:tcPr>
            <w:tcW w:w="708" w:type="dxa"/>
            <w:noWrap/>
            <w:hideMark/>
          </w:tcPr>
          <w:p w14:paraId="1128BEB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0.22</w:t>
            </w:r>
          </w:p>
        </w:tc>
        <w:tc>
          <w:tcPr>
            <w:tcW w:w="709" w:type="dxa"/>
            <w:noWrap/>
            <w:hideMark/>
          </w:tcPr>
          <w:p w14:paraId="6329ECF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7.4%</w:t>
            </w:r>
          </w:p>
        </w:tc>
        <w:tc>
          <w:tcPr>
            <w:tcW w:w="709" w:type="dxa"/>
            <w:noWrap/>
            <w:hideMark/>
          </w:tcPr>
          <w:p w14:paraId="5A74A22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18.2%</w:t>
            </w:r>
          </w:p>
        </w:tc>
        <w:tc>
          <w:tcPr>
            <w:tcW w:w="850" w:type="dxa"/>
            <w:noWrap/>
            <w:hideMark/>
          </w:tcPr>
          <w:p w14:paraId="477ED8D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0.40</w:t>
            </w:r>
          </w:p>
        </w:tc>
      </w:tr>
      <w:tr w:rsidR="001F4DDE" w:rsidRPr="004F2B84" w14:paraId="1E5B16A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90C52C6" w14:textId="77777777" w:rsidR="001F4DDE" w:rsidRPr="00B31A61" w:rsidRDefault="001F4DDE" w:rsidP="001F4DDE">
            <w:pPr>
              <w:rPr>
                <w:bCs/>
                <w:color w:val="000000"/>
                <w:sz w:val="18"/>
                <w:szCs w:val="18"/>
              </w:rPr>
            </w:pPr>
            <w:r w:rsidRPr="00B31A61">
              <w:rPr>
                <w:bCs/>
                <w:color w:val="000000"/>
                <w:sz w:val="18"/>
                <w:szCs w:val="18"/>
              </w:rPr>
              <w:t>China</w:t>
            </w:r>
          </w:p>
        </w:tc>
        <w:tc>
          <w:tcPr>
            <w:tcW w:w="709" w:type="dxa"/>
            <w:noWrap/>
            <w:hideMark/>
          </w:tcPr>
          <w:p w14:paraId="08D02C5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4.2%</w:t>
            </w:r>
          </w:p>
        </w:tc>
        <w:tc>
          <w:tcPr>
            <w:tcW w:w="709" w:type="dxa"/>
            <w:noWrap/>
            <w:hideMark/>
          </w:tcPr>
          <w:p w14:paraId="3541676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37.0%</w:t>
            </w:r>
          </w:p>
        </w:tc>
        <w:tc>
          <w:tcPr>
            <w:tcW w:w="708" w:type="dxa"/>
            <w:noWrap/>
            <w:hideMark/>
          </w:tcPr>
          <w:p w14:paraId="2928F94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0.11</w:t>
            </w:r>
          </w:p>
        </w:tc>
        <w:tc>
          <w:tcPr>
            <w:tcW w:w="851" w:type="dxa"/>
            <w:noWrap/>
            <w:hideMark/>
          </w:tcPr>
          <w:p w14:paraId="23EF828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4.5%</w:t>
            </w:r>
          </w:p>
        </w:tc>
        <w:tc>
          <w:tcPr>
            <w:tcW w:w="850" w:type="dxa"/>
            <w:noWrap/>
            <w:hideMark/>
          </w:tcPr>
          <w:p w14:paraId="366FC3F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12.0%</w:t>
            </w:r>
          </w:p>
        </w:tc>
        <w:tc>
          <w:tcPr>
            <w:tcW w:w="709" w:type="dxa"/>
            <w:noWrap/>
            <w:hideMark/>
          </w:tcPr>
          <w:p w14:paraId="78BEDBA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0.37</w:t>
            </w:r>
          </w:p>
        </w:tc>
        <w:tc>
          <w:tcPr>
            <w:tcW w:w="709" w:type="dxa"/>
            <w:noWrap/>
            <w:hideMark/>
          </w:tcPr>
          <w:p w14:paraId="4CFCD96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2.5%</w:t>
            </w:r>
          </w:p>
        </w:tc>
        <w:tc>
          <w:tcPr>
            <w:tcW w:w="709" w:type="dxa"/>
            <w:noWrap/>
            <w:hideMark/>
          </w:tcPr>
          <w:p w14:paraId="1B2E02F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13.6%</w:t>
            </w:r>
          </w:p>
        </w:tc>
        <w:tc>
          <w:tcPr>
            <w:tcW w:w="708" w:type="dxa"/>
            <w:noWrap/>
            <w:hideMark/>
          </w:tcPr>
          <w:p w14:paraId="4F3390F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0.18</w:t>
            </w:r>
          </w:p>
        </w:tc>
        <w:tc>
          <w:tcPr>
            <w:tcW w:w="709" w:type="dxa"/>
            <w:noWrap/>
            <w:hideMark/>
          </w:tcPr>
          <w:p w14:paraId="084C730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4.8%</w:t>
            </w:r>
          </w:p>
        </w:tc>
        <w:tc>
          <w:tcPr>
            <w:tcW w:w="709" w:type="dxa"/>
            <w:noWrap/>
            <w:hideMark/>
          </w:tcPr>
          <w:p w14:paraId="77E48DB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15.9%</w:t>
            </w:r>
          </w:p>
        </w:tc>
        <w:tc>
          <w:tcPr>
            <w:tcW w:w="850" w:type="dxa"/>
            <w:noWrap/>
            <w:hideMark/>
          </w:tcPr>
          <w:p w14:paraId="161E2AC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r>
      <w:tr w:rsidR="001F4DDE" w:rsidRPr="004F2B84" w14:paraId="78B61CF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78053F7" w14:textId="77777777" w:rsidR="001F4DDE" w:rsidRPr="00B31A61" w:rsidRDefault="001F4DDE" w:rsidP="001F4DDE">
            <w:pPr>
              <w:rPr>
                <w:bCs/>
                <w:color w:val="000000"/>
                <w:sz w:val="18"/>
                <w:szCs w:val="18"/>
              </w:rPr>
            </w:pPr>
            <w:r w:rsidRPr="00B31A61">
              <w:rPr>
                <w:bCs/>
                <w:color w:val="000000"/>
                <w:sz w:val="18"/>
                <w:szCs w:val="18"/>
              </w:rPr>
              <w:t>Colombia</w:t>
            </w:r>
          </w:p>
        </w:tc>
        <w:tc>
          <w:tcPr>
            <w:tcW w:w="709" w:type="dxa"/>
            <w:noWrap/>
            <w:hideMark/>
          </w:tcPr>
          <w:p w14:paraId="0122020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19.2%</w:t>
            </w:r>
          </w:p>
        </w:tc>
        <w:tc>
          <w:tcPr>
            <w:tcW w:w="709" w:type="dxa"/>
            <w:noWrap/>
            <w:hideMark/>
          </w:tcPr>
          <w:p w14:paraId="10B46B1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31.3%</w:t>
            </w:r>
          </w:p>
        </w:tc>
        <w:tc>
          <w:tcPr>
            <w:tcW w:w="708" w:type="dxa"/>
            <w:noWrap/>
            <w:hideMark/>
          </w:tcPr>
          <w:p w14:paraId="747DDD3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0.61</w:t>
            </w:r>
          </w:p>
        </w:tc>
        <w:tc>
          <w:tcPr>
            <w:tcW w:w="851" w:type="dxa"/>
            <w:noWrap/>
            <w:hideMark/>
          </w:tcPr>
          <w:p w14:paraId="1B9CC71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3.1%</w:t>
            </w:r>
          </w:p>
        </w:tc>
        <w:tc>
          <w:tcPr>
            <w:tcW w:w="850" w:type="dxa"/>
            <w:noWrap/>
            <w:hideMark/>
          </w:tcPr>
          <w:p w14:paraId="688D698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10.0%</w:t>
            </w:r>
          </w:p>
        </w:tc>
        <w:tc>
          <w:tcPr>
            <w:tcW w:w="709" w:type="dxa"/>
            <w:noWrap/>
            <w:hideMark/>
          </w:tcPr>
          <w:p w14:paraId="1416738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c>
          <w:tcPr>
            <w:tcW w:w="709" w:type="dxa"/>
            <w:noWrap/>
            <w:hideMark/>
          </w:tcPr>
          <w:p w14:paraId="3C59E15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2.6%</w:t>
            </w:r>
          </w:p>
        </w:tc>
        <w:tc>
          <w:tcPr>
            <w:tcW w:w="709" w:type="dxa"/>
            <w:noWrap/>
            <w:hideMark/>
          </w:tcPr>
          <w:p w14:paraId="5F25EF3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10.4%</w:t>
            </w:r>
          </w:p>
        </w:tc>
        <w:tc>
          <w:tcPr>
            <w:tcW w:w="708" w:type="dxa"/>
            <w:noWrap/>
            <w:hideMark/>
          </w:tcPr>
          <w:p w14:paraId="4D57D8F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0.25</w:t>
            </w:r>
          </w:p>
        </w:tc>
        <w:tc>
          <w:tcPr>
            <w:tcW w:w="709" w:type="dxa"/>
            <w:noWrap/>
            <w:hideMark/>
          </w:tcPr>
          <w:p w14:paraId="3E2A70F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709" w:type="dxa"/>
            <w:noWrap/>
            <w:hideMark/>
          </w:tcPr>
          <w:p w14:paraId="7D3C7E4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15.0%</w:t>
            </w:r>
          </w:p>
        </w:tc>
        <w:tc>
          <w:tcPr>
            <w:tcW w:w="850" w:type="dxa"/>
            <w:noWrap/>
            <w:hideMark/>
          </w:tcPr>
          <w:p w14:paraId="14C5861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0.35</w:t>
            </w:r>
          </w:p>
        </w:tc>
      </w:tr>
      <w:tr w:rsidR="001F4DDE" w:rsidRPr="004F2B84" w14:paraId="2D8778A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D81E5D3" w14:textId="77777777" w:rsidR="001F4DDE" w:rsidRPr="00B31A61" w:rsidRDefault="001F4DDE" w:rsidP="001F4DDE">
            <w:pPr>
              <w:rPr>
                <w:bCs/>
                <w:color w:val="000000"/>
                <w:sz w:val="18"/>
                <w:szCs w:val="18"/>
              </w:rPr>
            </w:pPr>
            <w:r w:rsidRPr="00B31A61">
              <w:rPr>
                <w:bCs/>
                <w:color w:val="000000"/>
                <w:sz w:val="18"/>
                <w:szCs w:val="18"/>
              </w:rPr>
              <w:t>India</w:t>
            </w:r>
          </w:p>
        </w:tc>
        <w:tc>
          <w:tcPr>
            <w:tcW w:w="709" w:type="dxa"/>
            <w:noWrap/>
            <w:hideMark/>
          </w:tcPr>
          <w:p w14:paraId="7B5AD58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11.5%</w:t>
            </w:r>
          </w:p>
        </w:tc>
        <w:tc>
          <w:tcPr>
            <w:tcW w:w="709" w:type="dxa"/>
            <w:noWrap/>
            <w:hideMark/>
          </w:tcPr>
          <w:p w14:paraId="66BF4C7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30.0%</w:t>
            </w:r>
          </w:p>
        </w:tc>
        <w:tc>
          <w:tcPr>
            <w:tcW w:w="708" w:type="dxa"/>
            <w:noWrap/>
            <w:hideMark/>
          </w:tcPr>
          <w:p w14:paraId="53E5BE7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0.38</w:t>
            </w:r>
          </w:p>
        </w:tc>
        <w:tc>
          <w:tcPr>
            <w:tcW w:w="851" w:type="dxa"/>
            <w:noWrap/>
            <w:hideMark/>
          </w:tcPr>
          <w:p w14:paraId="2FC87C0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w:t>
            </w:r>
          </w:p>
        </w:tc>
        <w:tc>
          <w:tcPr>
            <w:tcW w:w="850" w:type="dxa"/>
            <w:noWrap/>
            <w:hideMark/>
          </w:tcPr>
          <w:p w14:paraId="394BC7A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12.0%</w:t>
            </w:r>
          </w:p>
        </w:tc>
        <w:tc>
          <w:tcPr>
            <w:tcW w:w="709" w:type="dxa"/>
            <w:noWrap/>
            <w:hideMark/>
          </w:tcPr>
          <w:p w14:paraId="2B363B3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0.03</w:t>
            </w:r>
          </w:p>
        </w:tc>
        <w:tc>
          <w:tcPr>
            <w:tcW w:w="709" w:type="dxa"/>
            <w:noWrap/>
            <w:hideMark/>
          </w:tcPr>
          <w:p w14:paraId="5A8A6AA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w:t>
            </w:r>
          </w:p>
        </w:tc>
        <w:tc>
          <w:tcPr>
            <w:tcW w:w="709" w:type="dxa"/>
            <w:noWrap/>
            <w:hideMark/>
          </w:tcPr>
          <w:p w14:paraId="0B2A289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13.2%</w:t>
            </w:r>
          </w:p>
        </w:tc>
        <w:tc>
          <w:tcPr>
            <w:tcW w:w="708" w:type="dxa"/>
            <w:noWrap/>
            <w:hideMark/>
          </w:tcPr>
          <w:p w14:paraId="6B63EAD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0.03</w:t>
            </w:r>
          </w:p>
        </w:tc>
        <w:tc>
          <w:tcPr>
            <w:tcW w:w="709" w:type="dxa"/>
            <w:noWrap/>
            <w:hideMark/>
          </w:tcPr>
          <w:p w14:paraId="7336217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0.6%</w:t>
            </w:r>
          </w:p>
        </w:tc>
        <w:tc>
          <w:tcPr>
            <w:tcW w:w="709" w:type="dxa"/>
            <w:noWrap/>
            <w:hideMark/>
          </w:tcPr>
          <w:p w14:paraId="7EAE8B6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17.7%</w:t>
            </w:r>
          </w:p>
        </w:tc>
        <w:tc>
          <w:tcPr>
            <w:tcW w:w="850" w:type="dxa"/>
            <w:noWrap/>
            <w:hideMark/>
          </w:tcPr>
          <w:p w14:paraId="0926B8A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0.03</w:t>
            </w:r>
          </w:p>
        </w:tc>
      </w:tr>
      <w:tr w:rsidR="001F4DDE" w:rsidRPr="004F2B84" w14:paraId="5A22EDE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12B594F" w14:textId="77777777" w:rsidR="001F4DDE" w:rsidRPr="00B31A61" w:rsidRDefault="001F4DDE" w:rsidP="001F4DDE">
            <w:pPr>
              <w:rPr>
                <w:bCs/>
                <w:color w:val="000000"/>
                <w:sz w:val="18"/>
                <w:szCs w:val="18"/>
              </w:rPr>
            </w:pPr>
            <w:r w:rsidRPr="00B31A61">
              <w:rPr>
                <w:bCs/>
                <w:color w:val="000000"/>
                <w:sz w:val="18"/>
                <w:szCs w:val="18"/>
              </w:rPr>
              <w:t>Indonesia</w:t>
            </w:r>
          </w:p>
        </w:tc>
        <w:tc>
          <w:tcPr>
            <w:tcW w:w="709" w:type="dxa"/>
            <w:noWrap/>
            <w:hideMark/>
          </w:tcPr>
          <w:p w14:paraId="370DF49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5.8%</w:t>
            </w:r>
          </w:p>
        </w:tc>
        <w:tc>
          <w:tcPr>
            <w:tcW w:w="709" w:type="dxa"/>
            <w:noWrap/>
            <w:hideMark/>
          </w:tcPr>
          <w:p w14:paraId="2D6DAE0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48.8%</w:t>
            </w:r>
          </w:p>
        </w:tc>
        <w:tc>
          <w:tcPr>
            <w:tcW w:w="708" w:type="dxa"/>
            <w:noWrap/>
            <w:hideMark/>
          </w:tcPr>
          <w:p w14:paraId="63BA4CE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0.12</w:t>
            </w:r>
          </w:p>
        </w:tc>
        <w:tc>
          <w:tcPr>
            <w:tcW w:w="851" w:type="dxa"/>
            <w:noWrap/>
            <w:hideMark/>
          </w:tcPr>
          <w:p w14:paraId="7D26597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w:t>
            </w:r>
          </w:p>
        </w:tc>
        <w:tc>
          <w:tcPr>
            <w:tcW w:w="850" w:type="dxa"/>
            <w:noWrap/>
            <w:hideMark/>
          </w:tcPr>
          <w:p w14:paraId="434338F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12.3%</w:t>
            </w:r>
          </w:p>
        </w:tc>
        <w:tc>
          <w:tcPr>
            <w:tcW w:w="709" w:type="dxa"/>
            <w:noWrap/>
            <w:hideMark/>
          </w:tcPr>
          <w:p w14:paraId="04ED5CF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0.24</w:t>
            </w:r>
          </w:p>
        </w:tc>
        <w:tc>
          <w:tcPr>
            <w:tcW w:w="709" w:type="dxa"/>
            <w:noWrap/>
            <w:hideMark/>
          </w:tcPr>
          <w:p w14:paraId="2114EFB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5.0%</w:t>
            </w:r>
          </w:p>
        </w:tc>
        <w:tc>
          <w:tcPr>
            <w:tcW w:w="709" w:type="dxa"/>
            <w:noWrap/>
            <w:hideMark/>
          </w:tcPr>
          <w:p w14:paraId="3B3BF8F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15.0%</w:t>
            </w:r>
          </w:p>
        </w:tc>
        <w:tc>
          <w:tcPr>
            <w:tcW w:w="708" w:type="dxa"/>
            <w:noWrap/>
            <w:hideMark/>
          </w:tcPr>
          <w:p w14:paraId="06CC221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0.33</w:t>
            </w:r>
          </w:p>
        </w:tc>
        <w:tc>
          <w:tcPr>
            <w:tcW w:w="709" w:type="dxa"/>
            <w:noWrap/>
            <w:hideMark/>
          </w:tcPr>
          <w:p w14:paraId="60454CF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3.8%</w:t>
            </w:r>
          </w:p>
        </w:tc>
        <w:tc>
          <w:tcPr>
            <w:tcW w:w="709" w:type="dxa"/>
            <w:noWrap/>
            <w:hideMark/>
          </w:tcPr>
          <w:p w14:paraId="5DA73DF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28.5%</w:t>
            </w:r>
          </w:p>
        </w:tc>
        <w:tc>
          <w:tcPr>
            <w:tcW w:w="850" w:type="dxa"/>
            <w:noWrap/>
            <w:hideMark/>
          </w:tcPr>
          <w:p w14:paraId="7400B4B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0.13</w:t>
            </w:r>
          </w:p>
        </w:tc>
      </w:tr>
      <w:tr w:rsidR="001F4DDE" w:rsidRPr="004F2B84" w14:paraId="71FEE09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90ECF0E" w14:textId="77777777" w:rsidR="001F4DDE" w:rsidRPr="00B31A61" w:rsidRDefault="001F4DDE" w:rsidP="001F4DDE">
            <w:pPr>
              <w:rPr>
                <w:bCs/>
                <w:color w:val="000000"/>
                <w:sz w:val="18"/>
                <w:szCs w:val="18"/>
              </w:rPr>
            </w:pPr>
            <w:r w:rsidRPr="00B31A61">
              <w:rPr>
                <w:bCs/>
                <w:color w:val="000000"/>
                <w:sz w:val="18"/>
                <w:szCs w:val="18"/>
              </w:rPr>
              <w:t>Korea</w:t>
            </w:r>
          </w:p>
        </w:tc>
        <w:tc>
          <w:tcPr>
            <w:tcW w:w="709" w:type="dxa"/>
            <w:noWrap/>
            <w:hideMark/>
          </w:tcPr>
          <w:p w14:paraId="182A0EC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4.1%</w:t>
            </w:r>
          </w:p>
        </w:tc>
        <w:tc>
          <w:tcPr>
            <w:tcW w:w="709" w:type="dxa"/>
            <w:noWrap/>
            <w:hideMark/>
          </w:tcPr>
          <w:p w14:paraId="20858EB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29.0%</w:t>
            </w:r>
          </w:p>
        </w:tc>
        <w:tc>
          <w:tcPr>
            <w:tcW w:w="708" w:type="dxa"/>
            <w:noWrap/>
            <w:hideMark/>
          </w:tcPr>
          <w:p w14:paraId="3EC17CB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0.14</w:t>
            </w:r>
          </w:p>
        </w:tc>
        <w:tc>
          <w:tcPr>
            <w:tcW w:w="851" w:type="dxa"/>
            <w:noWrap/>
            <w:hideMark/>
          </w:tcPr>
          <w:p w14:paraId="1FDB529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4.2%</w:t>
            </w:r>
          </w:p>
        </w:tc>
        <w:tc>
          <w:tcPr>
            <w:tcW w:w="850" w:type="dxa"/>
            <w:noWrap/>
            <w:hideMark/>
          </w:tcPr>
          <w:p w14:paraId="3BFBAB2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17.8%</w:t>
            </w:r>
          </w:p>
        </w:tc>
        <w:tc>
          <w:tcPr>
            <w:tcW w:w="709" w:type="dxa"/>
            <w:noWrap/>
            <w:hideMark/>
          </w:tcPr>
          <w:p w14:paraId="40E25B5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0.23</w:t>
            </w:r>
          </w:p>
        </w:tc>
        <w:tc>
          <w:tcPr>
            <w:tcW w:w="709" w:type="dxa"/>
            <w:noWrap/>
            <w:hideMark/>
          </w:tcPr>
          <w:p w14:paraId="46D65CA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3.5%</w:t>
            </w:r>
          </w:p>
        </w:tc>
        <w:tc>
          <w:tcPr>
            <w:tcW w:w="709" w:type="dxa"/>
            <w:noWrap/>
            <w:hideMark/>
          </w:tcPr>
          <w:p w14:paraId="28ADB39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19.9%</w:t>
            </w:r>
          </w:p>
        </w:tc>
        <w:tc>
          <w:tcPr>
            <w:tcW w:w="708" w:type="dxa"/>
            <w:noWrap/>
            <w:hideMark/>
          </w:tcPr>
          <w:p w14:paraId="2AD036F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0.18</w:t>
            </w:r>
          </w:p>
        </w:tc>
        <w:tc>
          <w:tcPr>
            <w:tcW w:w="709" w:type="dxa"/>
            <w:noWrap/>
            <w:hideMark/>
          </w:tcPr>
          <w:p w14:paraId="10D8C28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4.1%</w:t>
            </w:r>
          </w:p>
        </w:tc>
        <w:tc>
          <w:tcPr>
            <w:tcW w:w="709" w:type="dxa"/>
            <w:noWrap/>
            <w:hideMark/>
          </w:tcPr>
          <w:p w14:paraId="66AA612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25.6%</w:t>
            </w:r>
          </w:p>
        </w:tc>
        <w:tc>
          <w:tcPr>
            <w:tcW w:w="850" w:type="dxa"/>
            <w:noWrap/>
            <w:hideMark/>
          </w:tcPr>
          <w:p w14:paraId="315DAE9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0.16</w:t>
            </w:r>
          </w:p>
        </w:tc>
      </w:tr>
      <w:tr w:rsidR="001F4DDE" w:rsidRPr="004F2B84" w14:paraId="63A9A9A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9FBF579" w14:textId="77777777" w:rsidR="001F4DDE" w:rsidRPr="00B31A61" w:rsidRDefault="001F4DDE" w:rsidP="001F4DDE">
            <w:pPr>
              <w:rPr>
                <w:bCs/>
                <w:color w:val="000000"/>
                <w:sz w:val="18"/>
                <w:szCs w:val="18"/>
              </w:rPr>
            </w:pPr>
            <w:r w:rsidRPr="00B31A61">
              <w:rPr>
                <w:bCs/>
                <w:color w:val="000000"/>
                <w:sz w:val="18"/>
                <w:szCs w:val="18"/>
              </w:rPr>
              <w:t>Malaysia</w:t>
            </w:r>
          </w:p>
        </w:tc>
        <w:tc>
          <w:tcPr>
            <w:tcW w:w="709" w:type="dxa"/>
            <w:noWrap/>
            <w:hideMark/>
          </w:tcPr>
          <w:p w14:paraId="3205085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14.2%</w:t>
            </w:r>
          </w:p>
        </w:tc>
        <w:tc>
          <w:tcPr>
            <w:tcW w:w="709" w:type="dxa"/>
            <w:noWrap/>
            <w:hideMark/>
          </w:tcPr>
          <w:p w14:paraId="061D9BD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30.5%</w:t>
            </w:r>
          </w:p>
        </w:tc>
        <w:tc>
          <w:tcPr>
            <w:tcW w:w="708" w:type="dxa"/>
            <w:noWrap/>
            <w:hideMark/>
          </w:tcPr>
          <w:p w14:paraId="38F1583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0.47</w:t>
            </w:r>
          </w:p>
        </w:tc>
        <w:tc>
          <w:tcPr>
            <w:tcW w:w="851" w:type="dxa"/>
            <w:noWrap/>
            <w:hideMark/>
          </w:tcPr>
          <w:p w14:paraId="1DD1CAD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w:t>
            </w:r>
          </w:p>
        </w:tc>
        <w:tc>
          <w:tcPr>
            <w:tcW w:w="850" w:type="dxa"/>
            <w:noWrap/>
            <w:hideMark/>
          </w:tcPr>
          <w:p w14:paraId="145E541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7.0%</w:t>
            </w:r>
          </w:p>
        </w:tc>
        <w:tc>
          <w:tcPr>
            <w:tcW w:w="709" w:type="dxa"/>
            <w:noWrap/>
            <w:hideMark/>
          </w:tcPr>
          <w:p w14:paraId="01CC0D7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0.27</w:t>
            </w:r>
          </w:p>
        </w:tc>
        <w:tc>
          <w:tcPr>
            <w:tcW w:w="709" w:type="dxa"/>
            <w:noWrap/>
            <w:hideMark/>
          </w:tcPr>
          <w:p w14:paraId="0C2D0FF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2.6%</w:t>
            </w:r>
          </w:p>
        </w:tc>
        <w:tc>
          <w:tcPr>
            <w:tcW w:w="709" w:type="dxa"/>
            <w:noWrap/>
            <w:hideMark/>
          </w:tcPr>
          <w:p w14:paraId="37C9E44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9.7%</w:t>
            </w:r>
          </w:p>
        </w:tc>
        <w:tc>
          <w:tcPr>
            <w:tcW w:w="708" w:type="dxa"/>
            <w:noWrap/>
            <w:hideMark/>
          </w:tcPr>
          <w:p w14:paraId="5748349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0.27</w:t>
            </w:r>
          </w:p>
        </w:tc>
        <w:tc>
          <w:tcPr>
            <w:tcW w:w="709" w:type="dxa"/>
            <w:noWrap/>
            <w:hideMark/>
          </w:tcPr>
          <w:p w14:paraId="081601C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0.8%</w:t>
            </w:r>
          </w:p>
        </w:tc>
        <w:tc>
          <w:tcPr>
            <w:tcW w:w="709" w:type="dxa"/>
            <w:noWrap/>
            <w:hideMark/>
          </w:tcPr>
          <w:p w14:paraId="4F4F44B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15.4%</w:t>
            </w:r>
          </w:p>
        </w:tc>
        <w:tc>
          <w:tcPr>
            <w:tcW w:w="850" w:type="dxa"/>
            <w:noWrap/>
            <w:hideMark/>
          </w:tcPr>
          <w:p w14:paraId="2F0B683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0.05</w:t>
            </w:r>
          </w:p>
        </w:tc>
      </w:tr>
      <w:tr w:rsidR="001F4DDE" w:rsidRPr="004F2B84" w14:paraId="5BFFC23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EDE0A76" w14:textId="77777777" w:rsidR="001F4DDE" w:rsidRPr="00B31A61" w:rsidRDefault="001F4DDE" w:rsidP="001F4DDE">
            <w:pPr>
              <w:rPr>
                <w:bCs/>
                <w:color w:val="000000"/>
                <w:sz w:val="18"/>
                <w:szCs w:val="18"/>
              </w:rPr>
            </w:pPr>
            <w:r w:rsidRPr="00B31A61">
              <w:rPr>
                <w:bCs/>
                <w:color w:val="000000"/>
                <w:sz w:val="18"/>
                <w:szCs w:val="18"/>
              </w:rPr>
              <w:t>Mexico</w:t>
            </w:r>
          </w:p>
        </w:tc>
        <w:tc>
          <w:tcPr>
            <w:tcW w:w="709" w:type="dxa"/>
            <w:noWrap/>
            <w:hideMark/>
          </w:tcPr>
          <w:p w14:paraId="274443C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-1.2%</w:t>
            </w:r>
          </w:p>
        </w:tc>
        <w:tc>
          <w:tcPr>
            <w:tcW w:w="709" w:type="dxa"/>
            <w:noWrap/>
            <w:hideMark/>
          </w:tcPr>
          <w:p w14:paraId="00EA284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30.9%</w:t>
            </w:r>
          </w:p>
        </w:tc>
        <w:tc>
          <w:tcPr>
            <w:tcW w:w="708" w:type="dxa"/>
            <w:noWrap/>
            <w:hideMark/>
          </w:tcPr>
          <w:p w14:paraId="3217071A"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-0.04</w:t>
            </w:r>
          </w:p>
        </w:tc>
        <w:tc>
          <w:tcPr>
            <w:tcW w:w="851" w:type="dxa"/>
            <w:noWrap/>
            <w:hideMark/>
          </w:tcPr>
          <w:p w14:paraId="387840D8"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5.2%</w:t>
            </w:r>
          </w:p>
        </w:tc>
        <w:tc>
          <w:tcPr>
            <w:tcW w:w="850" w:type="dxa"/>
            <w:noWrap/>
            <w:hideMark/>
          </w:tcPr>
          <w:p w14:paraId="785C7FF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19.2%</w:t>
            </w:r>
          </w:p>
        </w:tc>
        <w:tc>
          <w:tcPr>
            <w:tcW w:w="709" w:type="dxa"/>
            <w:noWrap/>
            <w:hideMark/>
          </w:tcPr>
          <w:p w14:paraId="0FA6E31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0.27</w:t>
            </w:r>
          </w:p>
        </w:tc>
        <w:tc>
          <w:tcPr>
            <w:tcW w:w="709" w:type="dxa"/>
            <w:noWrap/>
            <w:hideMark/>
          </w:tcPr>
          <w:p w14:paraId="10624BE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6.4%</w:t>
            </w:r>
          </w:p>
        </w:tc>
        <w:tc>
          <w:tcPr>
            <w:tcW w:w="709" w:type="dxa"/>
            <w:noWrap/>
            <w:hideMark/>
          </w:tcPr>
          <w:p w14:paraId="2606F4B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20.7%</w:t>
            </w:r>
          </w:p>
        </w:tc>
        <w:tc>
          <w:tcPr>
            <w:tcW w:w="708" w:type="dxa"/>
            <w:noWrap/>
            <w:hideMark/>
          </w:tcPr>
          <w:p w14:paraId="73E7373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c>
          <w:tcPr>
            <w:tcW w:w="709" w:type="dxa"/>
            <w:noWrap/>
            <w:hideMark/>
          </w:tcPr>
          <w:p w14:paraId="083D58C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8.5%</w:t>
            </w:r>
          </w:p>
        </w:tc>
        <w:tc>
          <w:tcPr>
            <w:tcW w:w="709" w:type="dxa"/>
            <w:noWrap/>
            <w:hideMark/>
          </w:tcPr>
          <w:p w14:paraId="3483751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23.1%</w:t>
            </w:r>
          </w:p>
        </w:tc>
        <w:tc>
          <w:tcPr>
            <w:tcW w:w="850" w:type="dxa"/>
            <w:noWrap/>
            <w:hideMark/>
          </w:tcPr>
          <w:p w14:paraId="322F4F3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0.37</w:t>
            </w:r>
          </w:p>
        </w:tc>
      </w:tr>
      <w:tr w:rsidR="001F4DDE" w:rsidRPr="004F2B84" w14:paraId="514376A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DCB40EC" w14:textId="77777777" w:rsidR="001F4DDE" w:rsidRPr="00B31A61" w:rsidRDefault="001F4DDE" w:rsidP="001F4DDE">
            <w:pPr>
              <w:rPr>
                <w:bCs/>
                <w:color w:val="000000"/>
                <w:sz w:val="18"/>
                <w:szCs w:val="18"/>
              </w:rPr>
            </w:pPr>
            <w:r w:rsidRPr="00B31A61">
              <w:rPr>
                <w:bCs/>
                <w:color w:val="000000"/>
                <w:sz w:val="18"/>
                <w:szCs w:val="18"/>
              </w:rPr>
              <w:t>Philippines</w:t>
            </w:r>
          </w:p>
        </w:tc>
        <w:tc>
          <w:tcPr>
            <w:tcW w:w="709" w:type="dxa"/>
            <w:noWrap/>
            <w:hideMark/>
          </w:tcPr>
          <w:p w14:paraId="7986A8B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6.8%</w:t>
            </w:r>
          </w:p>
        </w:tc>
        <w:tc>
          <w:tcPr>
            <w:tcW w:w="709" w:type="dxa"/>
            <w:noWrap/>
            <w:hideMark/>
          </w:tcPr>
          <w:p w14:paraId="3E03BF5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70.9%</w:t>
            </w:r>
          </w:p>
        </w:tc>
        <w:tc>
          <w:tcPr>
            <w:tcW w:w="708" w:type="dxa"/>
            <w:noWrap/>
            <w:hideMark/>
          </w:tcPr>
          <w:p w14:paraId="30CF2E8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0.10</w:t>
            </w:r>
          </w:p>
        </w:tc>
        <w:tc>
          <w:tcPr>
            <w:tcW w:w="851" w:type="dxa"/>
            <w:noWrap/>
            <w:hideMark/>
          </w:tcPr>
          <w:p w14:paraId="1738384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2.0%</w:t>
            </w:r>
          </w:p>
        </w:tc>
        <w:tc>
          <w:tcPr>
            <w:tcW w:w="850" w:type="dxa"/>
            <w:noWrap/>
            <w:hideMark/>
          </w:tcPr>
          <w:p w14:paraId="62D2AED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8.4%</w:t>
            </w:r>
          </w:p>
        </w:tc>
        <w:tc>
          <w:tcPr>
            <w:tcW w:w="709" w:type="dxa"/>
            <w:noWrap/>
            <w:hideMark/>
          </w:tcPr>
          <w:p w14:paraId="478B364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0.24</w:t>
            </w:r>
          </w:p>
        </w:tc>
        <w:tc>
          <w:tcPr>
            <w:tcW w:w="709" w:type="dxa"/>
            <w:noWrap/>
            <w:hideMark/>
          </w:tcPr>
          <w:p w14:paraId="42AEA53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3.0%</w:t>
            </w:r>
          </w:p>
        </w:tc>
        <w:tc>
          <w:tcPr>
            <w:tcW w:w="709" w:type="dxa"/>
            <w:noWrap/>
            <w:hideMark/>
          </w:tcPr>
          <w:p w14:paraId="41047A1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9.7%</w:t>
            </w:r>
          </w:p>
        </w:tc>
        <w:tc>
          <w:tcPr>
            <w:tcW w:w="708" w:type="dxa"/>
            <w:noWrap/>
            <w:hideMark/>
          </w:tcPr>
          <w:p w14:paraId="63CC4853"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0.31</w:t>
            </w:r>
          </w:p>
        </w:tc>
        <w:tc>
          <w:tcPr>
            <w:tcW w:w="709" w:type="dxa"/>
            <w:noWrap/>
            <w:hideMark/>
          </w:tcPr>
          <w:p w14:paraId="2EFF8A0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2.9%</w:t>
            </w:r>
          </w:p>
        </w:tc>
        <w:tc>
          <w:tcPr>
            <w:tcW w:w="709" w:type="dxa"/>
            <w:noWrap/>
            <w:hideMark/>
          </w:tcPr>
          <w:p w14:paraId="1C5FA56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14.4%</w:t>
            </w:r>
          </w:p>
        </w:tc>
        <w:tc>
          <w:tcPr>
            <w:tcW w:w="850" w:type="dxa"/>
            <w:noWrap/>
            <w:hideMark/>
          </w:tcPr>
          <w:p w14:paraId="1C5A5A3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0.20</w:t>
            </w:r>
          </w:p>
        </w:tc>
      </w:tr>
      <w:tr w:rsidR="001F4DDE" w:rsidRPr="004F2B84" w14:paraId="119C06E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42B9E84" w14:textId="77777777" w:rsidR="001F4DDE" w:rsidRPr="00B31A61" w:rsidRDefault="001F4DDE" w:rsidP="001F4DDE">
            <w:pPr>
              <w:rPr>
                <w:bCs/>
                <w:color w:val="000000"/>
                <w:sz w:val="18"/>
                <w:szCs w:val="18"/>
              </w:rPr>
            </w:pPr>
            <w:r w:rsidRPr="00B31A61">
              <w:rPr>
                <w:bCs/>
                <w:color w:val="000000"/>
                <w:sz w:val="18"/>
                <w:szCs w:val="18"/>
              </w:rPr>
              <w:t>Russia</w:t>
            </w:r>
          </w:p>
        </w:tc>
        <w:tc>
          <w:tcPr>
            <w:tcW w:w="709" w:type="dxa"/>
            <w:noWrap/>
            <w:hideMark/>
          </w:tcPr>
          <w:p w14:paraId="386CEA1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8.2%</w:t>
            </w:r>
          </w:p>
        </w:tc>
        <w:tc>
          <w:tcPr>
            <w:tcW w:w="709" w:type="dxa"/>
            <w:noWrap/>
            <w:hideMark/>
          </w:tcPr>
          <w:p w14:paraId="455E7BA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29.5%</w:t>
            </w:r>
          </w:p>
        </w:tc>
        <w:tc>
          <w:tcPr>
            <w:tcW w:w="708" w:type="dxa"/>
            <w:noWrap/>
            <w:hideMark/>
          </w:tcPr>
          <w:p w14:paraId="54B9BD8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0.28</w:t>
            </w:r>
          </w:p>
        </w:tc>
        <w:tc>
          <w:tcPr>
            <w:tcW w:w="851" w:type="dxa"/>
            <w:noWrap/>
            <w:hideMark/>
          </w:tcPr>
          <w:p w14:paraId="74A9EA4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9.4%</w:t>
            </w:r>
          </w:p>
        </w:tc>
        <w:tc>
          <w:tcPr>
            <w:tcW w:w="850" w:type="dxa"/>
            <w:noWrap/>
            <w:hideMark/>
          </w:tcPr>
          <w:p w14:paraId="358D324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22.4%</w:t>
            </w:r>
          </w:p>
        </w:tc>
        <w:tc>
          <w:tcPr>
            <w:tcW w:w="709" w:type="dxa"/>
            <w:noWrap/>
            <w:hideMark/>
          </w:tcPr>
          <w:p w14:paraId="04CFC111"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0.42</w:t>
            </w:r>
          </w:p>
        </w:tc>
        <w:tc>
          <w:tcPr>
            <w:tcW w:w="709" w:type="dxa"/>
            <w:noWrap/>
            <w:hideMark/>
          </w:tcPr>
          <w:p w14:paraId="312E5DC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9.2%</w:t>
            </w:r>
          </w:p>
        </w:tc>
        <w:tc>
          <w:tcPr>
            <w:tcW w:w="709" w:type="dxa"/>
            <w:noWrap/>
            <w:hideMark/>
          </w:tcPr>
          <w:p w14:paraId="5AD0626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26.0%</w:t>
            </w:r>
          </w:p>
        </w:tc>
        <w:tc>
          <w:tcPr>
            <w:tcW w:w="708" w:type="dxa"/>
            <w:noWrap/>
            <w:hideMark/>
          </w:tcPr>
          <w:p w14:paraId="075BCB5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0.35</w:t>
            </w:r>
          </w:p>
        </w:tc>
        <w:tc>
          <w:tcPr>
            <w:tcW w:w="709" w:type="dxa"/>
            <w:noWrap/>
            <w:hideMark/>
          </w:tcPr>
          <w:p w14:paraId="679535E7"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5.1%</w:t>
            </w:r>
          </w:p>
        </w:tc>
        <w:tc>
          <w:tcPr>
            <w:tcW w:w="709" w:type="dxa"/>
            <w:noWrap/>
            <w:hideMark/>
          </w:tcPr>
          <w:p w14:paraId="6241C29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31.6%</w:t>
            </w:r>
          </w:p>
        </w:tc>
        <w:tc>
          <w:tcPr>
            <w:tcW w:w="850" w:type="dxa"/>
            <w:noWrap/>
            <w:hideMark/>
          </w:tcPr>
          <w:p w14:paraId="0FD24B36"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0.16</w:t>
            </w:r>
          </w:p>
        </w:tc>
      </w:tr>
      <w:tr w:rsidR="001F4DDE" w:rsidRPr="004F2B84" w14:paraId="1C41141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9C071F4" w14:textId="77777777" w:rsidR="001F4DDE" w:rsidRPr="00B31A61" w:rsidRDefault="001F4DDE" w:rsidP="001F4DDE">
            <w:pPr>
              <w:rPr>
                <w:bCs/>
                <w:color w:val="000000"/>
                <w:sz w:val="18"/>
                <w:szCs w:val="18"/>
              </w:rPr>
            </w:pPr>
            <w:r w:rsidRPr="00B31A61">
              <w:rPr>
                <w:bCs/>
                <w:color w:val="000000"/>
                <w:sz w:val="18"/>
                <w:szCs w:val="18"/>
              </w:rPr>
              <w:t>South Africa</w:t>
            </w:r>
          </w:p>
        </w:tc>
        <w:tc>
          <w:tcPr>
            <w:tcW w:w="709" w:type="dxa"/>
            <w:noWrap/>
            <w:hideMark/>
          </w:tcPr>
          <w:p w14:paraId="56E0686B"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7.9%</w:t>
            </w:r>
          </w:p>
        </w:tc>
        <w:tc>
          <w:tcPr>
            <w:tcW w:w="709" w:type="dxa"/>
            <w:noWrap/>
            <w:hideMark/>
          </w:tcPr>
          <w:p w14:paraId="7A12B559"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41.7%</w:t>
            </w:r>
          </w:p>
        </w:tc>
        <w:tc>
          <w:tcPr>
            <w:tcW w:w="708" w:type="dxa"/>
            <w:noWrap/>
            <w:hideMark/>
          </w:tcPr>
          <w:p w14:paraId="3AC4076D"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0.19</w:t>
            </w:r>
          </w:p>
        </w:tc>
        <w:tc>
          <w:tcPr>
            <w:tcW w:w="851" w:type="dxa"/>
            <w:noWrap/>
            <w:hideMark/>
          </w:tcPr>
          <w:p w14:paraId="0D5DB040"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5.5%</w:t>
            </w:r>
          </w:p>
        </w:tc>
        <w:tc>
          <w:tcPr>
            <w:tcW w:w="850" w:type="dxa"/>
            <w:noWrap/>
            <w:hideMark/>
          </w:tcPr>
          <w:p w14:paraId="5E3F3DF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16.8%</w:t>
            </w:r>
          </w:p>
        </w:tc>
        <w:tc>
          <w:tcPr>
            <w:tcW w:w="709" w:type="dxa"/>
            <w:noWrap/>
            <w:hideMark/>
          </w:tcPr>
          <w:p w14:paraId="3B385DA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0.32</w:t>
            </w:r>
          </w:p>
        </w:tc>
        <w:tc>
          <w:tcPr>
            <w:tcW w:w="709" w:type="dxa"/>
            <w:noWrap/>
            <w:hideMark/>
          </w:tcPr>
          <w:p w14:paraId="7C6EC435"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3.6%</w:t>
            </w:r>
          </w:p>
        </w:tc>
        <w:tc>
          <w:tcPr>
            <w:tcW w:w="709" w:type="dxa"/>
            <w:noWrap/>
            <w:hideMark/>
          </w:tcPr>
          <w:p w14:paraId="406A29F4"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17.7%</w:t>
            </w:r>
          </w:p>
        </w:tc>
        <w:tc>
          <w:tcPr>
            <w:tcW w:w="708" w:type="dxa"/>
            <w:noWrap/>
            <w:hideMark/>
          </w:tcPr>
          <w:p w14:paraId="43D8437E"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0.21</w:t>
            </w:r>
          </w:p>
        </w:tc>
        <w:tc>
          <w:tcPr>
            <w:tcW w:w="709" w:type="dxa"/>
            <w:noWrap/>
            <w:hideMark/>
          </w:tcPr>
          <w:p w14:paraId="5AA2080C"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4.6%</w:t>
            </w:r>
          </w:p>
        </w:tc>
        <w:tc>
          <w:tcPr>
            <w:tcW w:w="709" w:type="dxa"/>
            <w:noWrap/>
            <w:hideMark/>
          </w:tcPr>
          <w:p w14:paraId="151B94F2"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19.7%</w:t>
            </w:r>
          </w:p>
        </w:tc>
        <w:tc>
          <w:tcPr>
            <w:tcW w:w="850" w:type="dxa"/>
            <w:noWrap/>
            <w:hideMark/>
          </w:tcPr>
          <w:p w14:paraId="5E2DC08F" w14:textId="77777777" w:rsidR="001F4DDE" w:rsidRPr="004F2B84"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F2B84">
              <w:rPr>
                <w:color w:val="000000"/>
                <w:sz w:val="18"/>
                <w:szCs w:val="18"/>
              </w:rPr>
              <w:t>0.24</w:t>
            </w:r>
          </w:p>
        </w:tc>
      </w:tr>
      <w:tr w:rsidR="001F4DDE" w:rsidRPr="004F2B84" w14:paraId="030C635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7AC0CD9" w14:textId="77777777" w:rsidR="001F4DDE" w:rsidRPr="00B31A61" w:rsidRDefault="001F4DDE" w:rsidP="001F4DDE">
            <w:pPr>
              <w:rPr>
                <w:bCs/>
                <w:color w:val="000000"/>
                <w:sz w:val="18"/>
                <w:szCs w:val="18"/>
              </w:rPr>
            </w:pPr>
            <w:r w:rsidRPr="00B31A61">
              <w:rPr>
                <w:bCs/>
                <w:color w:val="000000"/>
                <w:sz w:val="18"/>
                <w:szCs w:val="18"/>
              </w:rPr>
              <w:t>Taiwan</w:t>
            </w:r>
          </w:p>
        </w:tc>
        <w:tc>
          <w:tcPr>
            <w:tcW w:w="709" w:type="dxa"/>
            <w:noWrap/>
            <w:hideMark/>
          </w:tcPr>
          <w:p w14:paraId="6E75A28B"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4.3%</w:t>
            </w:r>
          </w:p>
        </w:tc>
        <w:tc>
          <w:tcPr>
            <w:tcW w:w="709" w:type="dxa"/>
            <w:noWrap/>
            <w:hideMark/>
          </w:tcPr>
          <w:p w14:paraId="31E993CD"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28.7%</w:t>
            </w:r>
          </w:p>
        </w:tc>
        <w:tc>
          <w:tcPr>
            <w:tcW w:w="708" w:type="dxa"/>
            <w:noWrap/>
            <w:hideMark/>
          </w:tcPr>
          <w:p w14:paraId="68D7E920"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0.15</w:t>
            </w:r>
          </w:p>
        </w:tc>
        <w:tc>
          <w:tcPr>
            <w:tcW w:w="851" w:type="dxa"/>
            <w:noWrap/>
            <w:hideMark/>
          </w:tcPr>
          <w:p w14:paraId="3E175FAB"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2.9%</w:t>
            </w:r>
          </w:p>
        </w:tc>
        <w:tc>
          <w:tcPr>
            <w:tcW w:w="850" w:type="dxa"/>
            <w:noWrap/>
            <w:hideMark/>
          </w:tcPr>
          <w:p w14:paraId="21BE044E"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11.5%</w:t>
            </w:r>
          </w:p>
        </w:tc>
        <w:tc>
          <w:tcPr>
            <w:tcW w:w="709" w:type="dxa"/>
            <w:noWrap/>
            <w:hideMark/>
          </w:tcPr>
          <w:p w14:paraId="11B7EE5E"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0.25</w:t>
            </w:r>
          </w:p>
        </w:tc>
        <w:tc>
          <w:tcPr>
            <w:tcW w:w="709" w:type="dxa"/>
            <w:noWrap/>
            <w:hideMark/>
          </w:tcPr>
          <w:p w14:paraId="5840514E"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1.7%</w:t>
            </w:r>
          </w:p>
        </w:tc>
        <w:tc>
          <w:tcPr>
            <w:tcW w:w="709" w:type="dxa"/>
            <w:noWrap/>
            <w:hideMark/>
          </w:tcPr>
          <w:p w14:paraId="367C1047"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12.8%</w:t>
            </w:r>
          </w:p>
        </w:tc>
        <w:tc>
          <w:tcPr>
            <w:tcW w:w="708" w:type="dxa"/>
            <w:noWrap/>
            <w:hideMark/>
          </w:tcPr>
          <w:p w14:paraId="50893FB2"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0.14</w:t>
            </w:r>
          </w:p>
        </w:tc>
        <w:tc>
          <w:tcPr>
            <w:tcW w:w="709" w:type="dxa"/>
            <w:noWrap/>
            <w:hideMark/>
          </w:tcPr>
          <w:p w14:paraId="3C5D6994"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1.3%</w:t>
            </w:r>
          </w:p>
        </w:tc>
        <w:tc>
          <w:tcPr>
            <w:tcW w:w="709" w:type="dxa"/>
            <w:noWrap/>
            <w:hideMark/>
          </w:tcPr>
          <w:p w14:paraId="66A82B67"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17.2%</w:t>
            </w:r>
          </w:p>
        </w:tc>
        <w:tc>
          <w:tcPr>
            <w:tcW w:w="850" w:type="dxa"/>
            <w:noWrap/>
            <w:hideMark/>
          </w:tcPr>
          <w:p w14:paraId="5C960A0C"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0.08</w:t>
            </w:r>
          </w:p>
        </w:tc>
      </w:tr>
      <w:tr w:rsidR="001F4DDE" w:rsidRPr="004F2B84" w14:paraId="6E88BE0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D4B2F63" w14:textId="77777777" w:rsidR="001F4DDE" w:rsidRPr="00B31A61" w:rsidRDefault="001F4DDE" w:rsidP="001F4DDE">
            <w:pPr>
              <w:rPr>
                <w:bCs/>
                <w:color w:val="000000"/>
                <w:sz w:val="18"/>
                <w:szCs w:val="18"/>
              </w:rPr>
            </w:pPr>
            <w:r w:rsidRPr="00B31A61">
              <w:rPr>
                <w:bCs/>
                <w:color w:val="000000"/>
                <w:sz w:val="18"/>
                <w:szCs w:val="18"/>
              </w:rPr>
              <w:t>Thailand</w:t>
            </w:r>
          </w:p>
        </w:tc>
        <w:tc>
          <w:tcPr>
            <w:tcW w:w="709" w:type="dxa"/>
            <w:noWrap/>
            <w:hideMark/>
          </w:tcPr>
          <w:p w14:paraId="1865A058"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-0.2%</w:t>
            </w:r>
          </w:p>
        </w:tc>
        <w:tc>
          <w:tcPr>
            <w:tcW w:w="709" w:type="dxa"/>
            <w:noWrap/>
            <w:hideMark/>
          </w:tcPr>
          <w:p w14:paraId="0DC4FCFF"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41.3%</w:t>
            </w:r>
          </w:p>
        </w:tc>
        <w:tc>
          <w:tcPr>
            <w:tcW w:w="708" w:type="dxa"/>
            <w:noWrap/>
            <w:hideMark/>
          </w:tcPr>
          <w:p w14:paraId="592A6D3B"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0.00</w:t>
            </w:r>
          </w:p>
        </w:tc>
        <w:tc>
          <w:tcPr>
            <w:tcW w:w="851" w:type="dxa"/>
            <w:noWrap/>
            <w:hideMark/>
          </w:tcPr>
          <w:p w14:paraId="4BAD6788"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2.1%</w:t>
            </w:r>
          </w:p>
        </w:tc>
        <w:tc>
          <w:tcPr>
            <w:tcW w:w="850" w:type="dxa"/>
            <w:noWrap/>
            <w:hideMark/>
          </w:tcPr>
          <w:p w14:paraId="5669AE90"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11.1%</w:t>
            </w:r>
          </w:p>
        </w:tc>
        <w:tc>
          <w:tcPr>
            <w:tcW w:w="709" w:type="dxa"/>
            <w:noWrap/>
            <w:hideMark/>
          </w:tcPr>
          <w:p w14:paraId="2F5AA234"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0.19</w:t>
            </w:r>
          </w:p>
        </w:tc>
        <w:tc>
          <w:tcPr>
            <w:tcW w:w="709" w:type="dxa"/>
            <w:noWrap/>
            <w:hideMark/>
          </w:tcPr>
          <w:p w14:paraId="430D8134"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0.8%</w:t>
            </w:r>
          </w:p>
        </w:tc>
        <w:tc>
          <w:tcPr>
            <w:tcW w:w="709" w:type="dxa"/>
            <w:noWrap/>
            <w:hideMark/>
          </w:tcPr>
          <w:p w14:paraId="78227956"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13.9%</w:t>
            </w:r>
          </w:p>
        </w:tc>
        <w:tc>
          <w:tcPr>
            <w:tcW w:w="708" w:type="dxa"/>
            <w:noWrap/>
            <w:hideMark/>
          </w:tcPr>
          <w:p w14:paraId="5D95C317"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0.06</w:t>
            </w:r>
          </w:p>
        </w:tc>
        <w:tc>
          <w:tcPr>
            <w:tcW w:w="709" w:type="dxa"/>
            <w:noWrap/>
            <w:hideMark/>
          </w:tcPr>
          <w:p w14:paraId="556A2418"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-2.4%</w:t>
            </w:r>
          </w:p>
        </w:tc>
        <w:tc>
          <w:tcPr>
            <w:tcW w:w="709" w:type="dxa"/>
            <w:noWrap/>
            <w:hideMark/>
          </w:tcPr>
          <w:p w14:paraId="63F78548"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18.0%</w:t>
            </w:r>
          </w:p>
        </w:tc>
        <w:tc>
          <w:tcPr>
            <w:tcW w:w="850" w:type="dxa"/>
            <w:noWrap/>
            <w:hideMark/>
          </w:tcPr>
          <w:p w14:paraId="29C10FD2"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-0.13</w:t>
            </w:r>
          </w:p>
        </w:tc>
      </w:tr>
      <w:tr w:rsidR="001F4DDE" w:rsidRPr="004F2B84" w14:paraId="012A2EBD"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noWrap/>
            <w:hideMark/>
          </w:tcPr>
          <w:p w14:paraId="0EEE40F3" w14:textId="77777777" w:rsidR="001F4DDE" w:rsidRPr="00B31A61" w:rsidRDefault="001F4DDE" w:rsidP="001F4DDE">
            <w:pPr>
              <w:rPr>
                <w:bCs/>
                <w:color w:val="000000"/>
                <w:sz w:val="18"/>
                <w:szCs w:val="18"/>
              </w:rPr>
            </w:pPr>
            <w:r w:rsidRPr="00B31A61">
              <w:rPr>
                <w:bCs/>
                <w:color w:val="000000"/>
                <w:sz w:val="18"/>
                <w:szCs w:val="18"/>
              </w:rPr>
              <w:t>Turkey</w:t>
            </w:r>
          </w:p>
        </w:tc>
        <w:tc>
          <w:tcPr>
            <w:tcW w:w="709" w:type="dxa"/>
            <w:tcBorders>
              <w:bottom w:val="single" w:sz="4" w:space="0" w:color="auto"/>
            </w:tcBorders>
            <w:noWrap/>
            <w:hideMark/>
          </w:tcPr>
          <w:p w14:paraId="653E653E"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12.1%</w:t>
            </w:r>
          </w:p>
        </w:tc>
        <w:tc>
          <w:tcPr>
            <w:tcW w:w="709" w:type="dxa"/>
            <w:tcBorders>
              <w:bottom w:val="single" w:sz="4" w:space="0" w:color="auto"/>
            </w:tcBorders>
            <w:noWrap/>
            <w:hideMark/>
          </w:tcPr>
          <w:p w14:paraId="25BEF9DB"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57.3%</w:t>
            </w:r>
          </w:p>
        </w:tc>
        <w:tc>
          <w:tcPr>
            <w:tcW w:w="708" w:type="dxa"/>
            <w:tcBorders>
              <w:bottom w:val="single" w:sz="4" w:space="0" w:color="auto"/>
            </w:tcBorders>
            <w:noWrap/>
            <w:hideMark/>
          </w:tcPr>
          <w:p w14:paraId="2A84037A"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0.21</w:t>
            </w:r>
          </w:p>
        </w:tc>
        <w:tc>
          <w:tcPr>
            <w:tcW w:w="851" w:type="dxa"/>
            <w:tcBorders>
              <w:bottom w:val="single" w:sz="4" w:space="0" w:color="auto"/>
            </w:tcBorders>
            <w:noWrap/>
            <w:hideMark/>
          </w:tcPr>
          <w:p w14:paraId="25862CA6"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5.2%</w:t>
            </w:r>
          </w:p>
        </w:tc>
        <w:tc>
          <w:tcPr>
            <w:tcW w:w="850" w:type="dxa"/>
            <w:tcBorders>
              <w:bottom w:val="single" w:sz="4" w:space="0" w:color="auto"/>
            </w:tcBorders>
            <w:noWrap/>
            <w:hideMark/>
          </w:tcPr>
          <w:p w14:paraId="276BA12A"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19.0%</w:t>
            </w:r>
          </w:p>
        </w:tc>
        <w:tc>
          <w:tcPr>
            <w:tcW w:w="709" w:type="dxa"/>
            <w:tcBorders>
              <w:bottom w:val="single" w:sz="4" w:space="0" w:color="auto"/>
            </w:tcBorders>
            <w:noWrap/>
            <w:hideMark/>
          </w:tcPr>
          <w:p w14:paraId="67129F53"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0.27</w:t>
            </w:r>
          </w:p>
        </w:tc>
        <w:tc>
          <w:tcPr>
            <w:tcW w:w="709" w:type="dxa"/>
            <w:tcBorders>
              <w:bottom w:val="single" w:sz="4" w:space="0" w:color="auto"/>
            </w:tcBorders>
            <w:noWrap/>
            <w:hideMark/>
          </w:tcPr>
          <w:p w14:paraId="50770F8A"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5.0%</w:t>
            </w:r>
          </w:p>
        </w:tc>
        <w:tc>
          <w:tcPr>
            <w:tcW w:w="709" w:type="dxa"/>
            <w:tcBorders>
              <w:bottom w:val="single" w:sz="4" w:space="0" w:color="auto"/>
            </w:tcBorders>
            <w:noWrap/>
            <w:hideMark/>
          </w:tcPr>
          <w:p w14:paraId="029BF98D"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22.9%</w:t>
            </w:r>
          </w:p>
        </w:tc>
        <w:tc>
          <w:tcPr>
            <w:tcW w:w="708" w:type="dxa"/>
            <w:tcBorders>
              <w:bottom w:val="single" w:sz="4" w:space="0" w:color="auto"/>
            </w:tcBorders>
            <w:noWrap/>
            <w:hideMark/>
          </w:tcPr>
          <w:p w14:paraId="34C15696"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0.22</w:t>
            </w:r>
          </w:p>
        </w:tc>
        <w:tc>
          <w:tcPr>
            <w:tcW w:w="709" w:type="dxa"/>
            <w:tcBorders>
              <w:bottom w:val="single" w:sz="4" w:space="0" w:color="auto"/>
            </w:tcBorders>
            <w:noWrap/>
            <w:hideMark/>
          </w:tcPr>
          <w:p w14:paraId="78239374"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6.4%</w:t>
            </w:r>
          </w:p>
        </w:tc>
        <w:tc>
          <w:tcPr>
            <w:tcW w:w="709" w:type="dxa"/>
            <w:tcBorders>
              <w:bottom w:val="single" w:sz="4" w:space="0" w:color="auto"/>
            </w:tcBorders>
            <w:noWrap/>
            <w:hideMark/>
          </w:tcPr>
          <w:p w14:paraId="07DCCD9E"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32.7%</w:t>
            </w:r>
          </w:p>
        </w:tc>
        <w:tc>
          <w:tcPr>
            <w:tcW w:w="850" w:type="dxa"/>
            <w:tcBorders>
              <w:bottom w:val="single" w:sz="4" w:space="0" w:color="auto"/>
            </w:tcBorders>
            <w:noWrap/>
            <w:hideMark/>
          </w:tcPr>
          <w:p w14:paraId="3CC8DF45" w14:textId="77777777" w:rsidR="001F4DDE" w:rsidRPr="00B31A61"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B31A61">
              <w:rPr>
                <w:color w:val="000000"/>
                <w:sz w:val="18"/>
                <w:szCs w:val="18"/>
              </w:rPr>
              <w:t>0.20</w:t>
            </w:r>
          </w:p>
        </w:tc>
      </w:tr>
      <w:tr w:rsidR="001F4DDE" w:rsidRPr="004F2B84" w14:paraId="6A3F6B41"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12" w:space="0" w:color="000000"/>
            </w:tcBorders>
            <w:noWrap/>
            <w:hideMark/>
          </w:tcPr>
          <w:p w14:paraId="4A4FC5E0" w14:textId="77777777" w:rsidR="001F4DDE" w:rsidRPr="00B31A61" w:rsidRDefault="001F4DDE" w:rsidP="001F4DDE">
            <w:pPr>
              <w:rPr>
                <w:bCs/>
                <w:color w:val="000000"/>
                <w:sz w:val="18"/>
                <w:szCs w:val="18"/>
              </w:rPr>
            </w:pPr>
            <w:r w:rsidRPr="00B31A61">
              <w:rPr>
                <w:bCs/>
                <w:color w:val="000000"/>
                <w:sz w:val="18"/>
                <w:szCs w:val="18"/>
              </w:rPr>
              <w:t>Average</w:t>
            </w:r>
          </w:p>
        </w:tc>
        <w:tc>
          <w:tcPr>
            <w:tcW w:w="709" w:type="dxa"/>
            <w:tcBorders>
              <w:top w:val="single" w:sz="4" w:space="0" w:color="auto"/>
              <w:bottom w:val="single" w:sz="12" w:space="0" w:color="000000"/>
            </w:tcBorders>
            <w:noWrap/>
            <w:vAlign w:val="center"/>
            <w:hideMark/>
          </w:tcPr>
          <w:p w14:paraId="71670B93"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8.2%</w:t>
            </w:r>
          </w:p>
        </w:tc>
        <w:tc>
          <w:tcPr>
            <w:tcW w:w="709" w:type="dxa"/>
            <w:tcBorders>
              <w:top w:val="single" w:sz="4" w:space="0" w:color="auto"/>
              <w:bottom w:val="single" w:sz="12" w:space="0" w:color="000000"/>
            </w:tcBorders>
            <w:noWrap/>
            <w:vAlign w:val="center"/>
            <w:hideMark/>
          </w:tcPr>
          <w:p w14:paraId="1933EC9B"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38.2%</w:t>
            </w:r>
          </w:p>
        </w:tc>
        <w:tc>
          <w:tcPr>
            <w:tcW w:w="708" w:type="dxa"/>
            <w:tcBorders>
              <w:top w:val="single" w:sz="4" w:space="0" w:color="auto"/>
              <w:bottom w:val="single" w:sz="12" w:space="0" w:color="000000"/>
            </w:tcBorders>
            <w:noWrap/>
            <w:vAlign w:val="center"/>
            <w:hideMark/>
          </w:tcPr>
          <w:p w14:paraId="7808C6DA"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0.23</w:t>
            </w:r>
          </w:p>
        </w:tc>
        <w:tc>
          <w:tcPr>
            <w:tcW w:w="851" w:type="dxa"/>
            <w:tcBorders>
              <w:top w:val="single" w:sz="4" w:space="0" w:color="auto"/>
              <w:bottom w:val="single" w:sz="12" w:space="0" w:color="000000"/>
            </w:tcBorders>
            <w:noWrap/>
            <w:vAlign w:val="center"/>
            <w:hideMark/>
          </w:tcPr>
          <w:p w14:paraId="03C1A384"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4.2%</w:t>
            </w:r>
          </w:p>
        </w:tc>
        <w:tc>
          <w:tcPr>
            <w:tcW w:w="850" w:type="dxa"/>
            <w:tcBorders>
              <w:top w:val="single" w:sz="4" w:space="0" w:color="auto"/>
              <w:bottom w:val="single" w:sz="12" w:space="0" w:color="000000"/>
            </w:tcBorders>
            <w:noWrap/>
            <w:vAlign w:val="center"/>
            <w:hideMark/>
          </w:tcPr>
          <w:p w14:paraId="36AABE6B"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14.8%</w:t>
            </w:r>
          </w:p>
        </w:tc>
        <w:tc>
          <w:tcPr>
            <w:tcW w:w="709" w:type="dxa"/>
            <w:tcBorders>
              <w:top w:val="single" w:sz="4" w:space="0" w:color="auto"/>
              <w:bottom w:val="single" w:sz="12" w:space="0" w:color="000000"/>
            </w:tcBorders>
            <w:noWrap/>
            <w:vAlign w:val="center"/>
            <w:hideMark/>
          </w:tcPr>
          <w:p w14:paraId="4F57E2F1"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0.27</w:t>
            </w:r>
          </w:p>
        </w:tc>
        <w:tc>
          <w:tcPr>
            <w:tcW w:w="709" w:type="dxa"/>
            <w:tcBorders>
              <w:top w:val="single" w:sz="4" w:space="0" w:color="auto"/>
              <w:bottom w:val="single" w:sz="12" w:space="0" w:color="000000"/>
            </w:tcBorders>
            <w:noWrap/>
            <w:vAlign w:val="center"/>
            <w:hideMark/>
          </w:tcPr>
          <w:p w14:paraId="79AA09BE"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w:t>
            </w:r>
          </w:p>
        </w:tc>
        <w:tc>
          <w:tcPr>
            <w:tcW w:w="709" w:type="dxa"/>
            <w:tcBorders>
              <w:top w:val="single" w:sz="4" w:space="0" w:color="auto"/>
              <w:bottom w:val="single" w:sz="12" w:space="0" w:color="000000"/>
            </w:tcBorders>
            <w:noWrap/>
            <w:vAlign w:val="center"/>
            <w:hideMark/>
          </w:tcPr>
          <w:p w14:paraId="0B44C832"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16.6%</w:t>
            </w:r>
          </w:p>
        </w:tc>
        <w:tc>
          <w:tcPr>
            <w:tcW w:w="708" w:type="dxa"/>
            <w:tcBorders>
              <w:top w:val="single" w:sz="4" w:space="0" w:color="auto"/>
              <w:bottom w:val="single" w:sz="12" w:space="0" w:color="000000"/>
            </w:tcBorders>
            <w:noWrap/>
            <w:vAlign w:val="center"/>
            <w:hideMark/>
          </w:tcPr>
          <w:p w14:paraId="68C0D78A"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0.22</w:t>
            </w:r>
          </w:p>
        </w:tc>
        <w:tc>
          <w:tcPr>
            <w:tcW w:w="709" w:type="dxa"/>
            <w:tcBorders>
              <w:top w:val="single" w:sz="4" w:space="0" w:color="auto"/>
              <w:bottom w:val="single" w:sz="12" w:space="0" w:color="000000"/>
            </w:tcBorders>
            <w:noWrap/>
            <w:vAlign w:val="center"/>
            <w:hideMark/>
          </w:tcPr>
          <w:p w14:paraId="4919BDDF"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4.3%</w:t>
            </w:r>
          </w:p>
        </w:tc>
        <w:tc>
          <w:tcPr>
            <w:tcW w:w="709" w:type="dxa"/>
            <w:tcBorders>
              <w:top w:val="single" w:sz="4" w:space="0" w:color="auto"/>
              <w:bottom w:val="single" w:sz="12" w:space="0" w:color="000000"/>
            </w:tcBorders>
            <w:noWrap/>
            <w:vAlign w:val="center"/>
            <w:hideMark/>
          </w:tcPr>
          <w:p w14:paraId="7B95EDB3"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21.6%</w:t>
            </w:r>
          </w:p>
        </w:tc>
        <w:tc>
          <w:tcPr>
            <w:tcW w:w="850" w:type="dxa"/>
            <w:tcBorders>
              <w:top w:val="single" w:sz="4" w:space="0" w:color="auto"/>
              <w:bottom w:val="single" w:sz="12" w:space="0" w:color="000000"/>
            </w:tcBorders>
            <w:noWrap/>
            <w:vAlign w:val="center"/>
            <w:hideMark/>
          </w:tcPr>
          <w:p w14:paraId="41CCD620" w14:textId="77777777" w:rsidR="001F4DDE"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0.20</w:t>
            </w:r>
          </w:p>
        </w:tc>
      </w:tr>
    </w:tbl>
    <w:p w14:paraId="1E029074" w14:textId="77777777" w:rsidR="001F4DDE" w:rsidRPr="000E6048" w:rsidRDefault="001F4DDE" w:rsidP="001F4DDE">
      <w:pPr>
        <w:spacing w:line="240" w:lineRule="auto"/>
        <w:ind w:right="-850"/>
        <w:rPr>
          <w:rFonts w:ascii="Times New Roman" w:hAnsi="Times New Roman"/>
          <w:sz w:val="18"/>
          <w:szCs w:val="18"/>
        </w:rPr>
      </w:pPr>
      <w:r w:rsidRPr="000E6048">
        <w:rPr>
          <w:rFonts w:ascii="Times New Roman" w:hAnsi="Times New Roman"/>
          <w:sz w:val="18"/>
          <w:szCs w:val="18"/>
        </w:rPr>
        <w:t xml:space="preserve">Notes: This table shows the annualised return </w:t>
      </w:r>
      <w:r>
        <w:rPr>
          <w:rFonts w:ascii="Times New Roman" w:hAnsi="Times New Roman"/>
          <w:sz w:val="18"/>
          <w:szCs w:val="18"/>
        </w:rPr>
        <w:t>and</w:t>
      </w:r>
      <w:r w:rsidRPr="000E6048">
        <w:rPr>
          <w:rFonts w:ascii="Times New Roman" w:hAnsi="Times New Roman"/>
          <w:sz w:val="18"/>
          <w:szCs w:val="18"/>
        </w:rPr>
        <w:t xml:space="preserve"> annualised standard deviation for the MSCI index of each country and of each </w:t>
      </w:r>
      <w:r>
        <w:rPr>
          <w:rFonts w:ascii="Times New Roman" w:hAnsi="Times New Roman"/>
          <w:sz w:val="18"/>
          <w:szCs w:val="18"/>
        </w:rPr>
        <w:t xml:space="preserve">of the </w:t>
      </w:r>
      <w:r w:rsidRPr="000E6048">
        <w:rPr>
          <w:rFonts w:ascii="Times New Roman" w:hAnsi="Times New Roman"/>
          <w:sz w:val="18"/>
          <w:szCs w:val="18"/>
        </w:rPr>
        <w:t>replicating portfolio</w:t>
      </w:r>
      <w:r>
        <w:rPr>
          <w:rFonts w:ascii="Times New Roman" w:hAnsi="Times New Roman"/>
          <w:sz w:val="18"/>
          <w:szCs w:val="18"/>
        </w:rPr>
        <w:t>s, D1, D2 and D3</w:t>
      </w:r>
      <w:r w:rsidRPr="000E6048">
        <w:rPr>
          <w:rFonts w:ascii="Times New Roman" w:hAnsi="Times New Roman"/>
          <w:sz w:val="18"/>
          <w:szCs w:val="18"/>
        </w:rPr>
        <w:t xml:space="preserve">.  </w:t>
      </w:r>
    </w:p>
    <w:p w14:paraId="636C84EF" w14:textId="77777777" w:rsidR="001F4DDE" w:rsidRPr="000E6048" w:rsidRDefault="008E6C2C" w:rsidP="005817F4">
      <w:pPr>
        <w:pStyle w:val="Caption"/>
        <w:rPr>
          <w:b/>
        </w:rPr>
      </w:pPr>
      <w:bookmarkStart w:id="15" w:name="_Ref384643367"/>
      <w:bookmarkStart w:id="16" w:name="_Ref377633779"/>
      <w:bookmarkStart w:id="17" w:name="_Toc383428908"/>
      <w:r>
        <w:lastRenderedPageBreak/>
        <w:t xml:space="preserve">Table </w:t>
      </w:r>
      <w:r w:rsidR="00CD4B7C">
        <w:fldChar w:fldCharType="begin"/>
      </w:r>
      <w:r w:rsidR="00CD4B7C">
        <w:instrText xml:space="preserve"> SEQ Table \* ARABIC </w:instrText>
      </w:r>
      <w:r w:rsidR="00CD4B7C">
        <w:fldChar w:fldCharType="separate"/>
      </w:r>
      <w:r w:rsidR="00A0607E">
        <w:rPr>
          <w:noProof/>
        </w:rPr>
        <w:t>6</w:t>
      </w:r>
      <w:r w:rsidR="00CD4B7C">
        <w:rPr>
          <w:noProof/>
        </w:rPr>
        <w:fldChar w:fldCharType="end"/>
      </w:r>
      <w:bookmarkEnd w:id="15"/>
      <w:r w:rsidRPr="00991889">
        <w:t xml:space="preserve"> </w:t>
      </w:r>
      <w:r w:rsidR="001F4DDE" w:rsidRPr="00991889">
        <w:t xml:space="preserve"> MVS Test Results</w:t>
      </w:r>
      <w:bookmarkEnd w:id="16"/>
      <w:bookmarkEnd w:id="17"/>
      <w:r w:rsidR="001F4DDE" w:rsidRPr="000E6048">
        <w:rPr>
          <w:b/>
        </w:rPr>
        <w:t xml:space="preserve"> </w:t>
      </w:r>
    </w:p>
    <w:tbl>
      <w:tblPr>
        <w:tblStyle w:val="TableClassic1"/>
        <w:tblW w:w="0" w:type="auto"/>
        <w:tblLook w:val="06A0" w:firstRow="1" w:lastRow="0" w:firstColumn="1" w:lastColumn="0" w:noHBand="1" w:noVBand="1"/>
      </w:tblPr>
      <w:tblGrid>
        <w:gridCol w:w="1621"/>
        <w:gridCol w:w="961"/>
        <w:gridCol w:w="961"/>
        <w:gridCol w:w="1070"/>
        <w:gridCol w:w="1070"/>
        <w:gridCol w:w="1088"/>
        <w:gridCol w:w="992"/>
      </w:tblGrid>
      <w:tr w:rsidR="001F4DDE" w:rsidRPr="0000409D" w14:paraId="69B34F2C" w14:textId="77777777" w:rsidTr="005817F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34BA03" w14:textId="77777777" w:rsidR="001F4DDE" w:rsidRPr="0000409D" w:rsidRDefault="001F4DDE" w:rsidP="001F4DDE">
            <w:pPr>
              <w:jc w:val="center"/>
              <w:rPr>
                <w:color w:val="000000"/>
                <w:sz w:val="18"/>
                <w:szCs w:val="18"/>
              </w:rPr>
            </w:pPr>
          </w:p>
        </w:tc>
        <w:tc>
          <w:tcPr>
            <w:tcW w:w="1922" w:type="dxa"/>
            <w:gridSpan w:val="2"/>
            <w:vAlign w:val="center"/>
          </w:tcPr>
          <w:p w14:paraId="62D0E239" w14:textId="77777777" w:rsidR="001F4DDE" w:rsidRPr="0000409D"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D1</w:t>
            </w:r>
          </w:p>
        </w:tc>
        <w:tc>
          <w:tcPr>
            <w:tcW w:w="2140" w:type="dxa"/>
            <w:gridSpan w:val="2"/>
            <w:vAlign w:val="center"/>
          </w:tcPr>
          <w:p w14:paraId="02839C72" w14:textId="77777777" w:rsidR="001F4DDE" w:rsidRPr="0000409D"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D2</w:t>
            </w:r>
          </w:p>
        </w:tc>
        <w:tc>
          <w:tcPr>
            <w:tcW w:w="2080" w:type="dxa"/>
            <w:gridSpan w:val="2"/>
            <w:vAlign w:val="center"/>
          </w:tcPr>
          <w:p w14:paraId="0E157EEF" w14:textId="77777777" w:rsidR="001F4DDE" w:rsidRPr="0000409D"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D3</w:t>
            </w:r>
          </w:p>
        </w:tc>
      </w:tr>
      <w:tr w:rsidR="001F4DDE" w:rsidRPr="0000409D" w14:paraId="09A52F1B"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EF12C3E" w14:textId="77777777" w:rsidR="001F4DDE" w:rsidRPr="0000409D" w:rsidRDefault="001F4DDE" w:rsidP="001F4DDE">
            <w:pPr>
              <w:jc w:val="center"/>
              <w:rPr>
                <w:i/>
                <w:color w:val="000000"/>
                <w:sz w:val="18"/>
                <w:szCs w:val="18"/>
              </w:rPr>
            </w:pPr>
            <w:r w:rsidRPr="0000409D">
              <w:rPr>
                <w:i/>
                <w:color w:val="000000"/>
                <w:sz w:val="18"/>
                <w:szCs w:val="18"/>
              </w:rPr>
              <w:t>Developed Markets</w:t>
            </w:r>
          </w:p>
        </w:tc>
        <w:tc>
          <w:tcPr>
            <w:tcW w:w="961" w:type="dxa"/>
            <w:vAlign w:val="center"/>
          </w:tcPr>
          <w:p w14:paraId="253B178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F-statistic</w:t>
            </w:r>
          </w:p>
        </w:tc>
        <w:tc>
          <w:tcPr>
            <w:tcW w:w="961" w:type="dxa"/>
            <w:noWrap/>
            <w:vAlign w:val="center"/>
          </w:tcPr>
          <w:p w14:paraId="670230B7" w14:textId="77777777" w:rsidR="001F4DDE" w:rsidRPr="0000409D" w:rsidRDefault="00E21ABC"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00409D">
              <w:rPr>
                <w:color w:val="000000"/>
                <w:sz w:val="18"/>
                <w:szCs w:val="18"/>
              </w:rPr>
              <w:t>-value</w:t>
            </w:r>
          </w:p>
        </w:tc>
        <w:tc>
          <w:tcPr>
            <w:tcW w:w="1070" w:type="dxa"/>
            <w:vAlign w:val="center"/>
          </w:tcPr>
          <w:p w14:paraId="5A13CFC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F-statistic</w:t>
            </w:r>
          </w:p>
        </w:tc>
        <w:tc>
          <w:tcPr>
            <w:tcW w:w="1070" w:type="dxa"/>
            <w:noWrap/>
            <w:vAlign w:val="center"/>
          </w:tcPr>
          <w:p w14:paraId="45178D7D" w14:textId="77777777" w:rsidR="001F4DDE" w:rsidRPr="0000409D" w:rsidRDefault="00E21ABC"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00409D">
              <w:rPr>
                <w:color w:val="000000"/>
                <w:sz w:val="18"/>
                <w:szCs w:val="18"/>
              </w:rPr>
              <w:t>-value</w:t>
            </w:r>
          </w:p>
        </w:tc>
        <w:tc>
          <w:tcPr>
            <w:tcW w:w="1088" w:type="dxa"/>
            <w:vAlign w:val="center"/>
          </w:tcPr>
          <w:p w14:paraId="339BE01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F-statistic</w:t>
            </w:r>
          </w:p>
        </w:tc>
        <w:tc>
          <w:tcPr>
            <w:tcW w:w="992" w:type="dxa"/>
            <w:noWrap/>
            <w:vAlign w:val="center"/>
          </w:tcPr>
          <w:p w14:paraId="7DF06024" w14:textId="77777777" w:rsidR="001F4DDE" w:rsidRPr="0000409D" w:rsidRDefault="00E21ABC"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00409D">
              <w:rPr>
                <w:color w:val="000000"/>
                <w:sz w:val="18"/>
                <w:szCs w:val="18"/>
              </w:rPr>
              <w:t>-value</w:t>
            </w:r>
          </w:p>
        </w:tc>
      </w:tr>
      <w:tr w:rsidR="001F4DDE" w:rsidRPr="0000409D" w14:paraId="5F1E0F78"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10CD330" w14:textId="77777777" w:rsidR="001F4DDE" w:rsidRPr="0000409D" w:rsidRDefault="001F4DDE" w:rsidP="001F4DDE">
            <w:pPr>
              <w:jc w:val="center"/>
              <w:rPr>
                <w:color w:val="000000"/>
                <w:sz w:val="18"/>
                <w:szCs w:val="18"/>
              </w:rPr>
            </w:pPr>
            <w:r w:rsidRPr="0000409D">
              <w:rPr>
                <w:color w:val="000000"/>
                <w:sz w:val="18"/>
                <w:szCs w:val="18"/>
              </w:rPr>
              <w:t>Argentina</w:t>
            </w:r>
          </w:p>
        </w:tc>
        <w:tc>
          <w:tcPr>
            <w:tcW w:w="961" w:type="dxa"/>
            <w:vAlign w:val="center"/>
          </w:tcPr>
          <w:p w14:paraId="040E8AA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0.03</w:t>
            </w:r>
          </w:p>
        </w:tc>
        <w:tc>
          <w:tcPr>
            <w:tcW w:w="961" w:type="dxa"/>
            <w:noWrap/>
            <w:vAlign w:val="center"/>
            <w:hideMark/>
          </w:tcPr>
          <w:p w14:paraId="3CE983E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0.97</w:t>
            </w:r>
          </w:p>
        </w:tc>
        <w:tc>
          <w:tcPr>
            <w:tcW w:w="1070" w:type="dxa"/>
            <w:vAlign w:val="center"/>
          </w:tcPr>
          <w:p w14:paraId="6575217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0.06</w:t>
            </w:r>
          </w:p>
        </w:tc>
        <w:tc>
          <w:tcPr>
            <w:tcW w:w="1070" w:type="dxa"/>
            <w:noWrap/>
            <w:vAlign w:val="center"/>
            <w:hideMark/>
          </w:tcPr>
          <w:p w14:paraId="599173B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0.94</w:t>
            </w:r>
          </w:p>
        </w:tc>
        <w:tc>
          <w:tcPr>
            <w:tcW w:w="1088" w:type="dxa"/>
            <w:vAlign w:val="center"/>
          </w:tcPr>
          <w:p w14:paraId="3C11617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0.11</w:t>
            </w:r>
          </w:p>
        </w:tc>
        <w:tc>
          <w:tcPr>
            <w:tcW w:w="992" w:type="dxa"/>
            <w:noWrap/>
            <w:vAlign w:val="center"/>
            <w:hideMark/>
          </w:tcPr>
          <w:p w14:paraId="01D4E33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0.89</w:t>
            </w:r>
          </w:p>
        </w:tc>
      </w:tr>
      <w:tr w:rsidR="001F4DDE" w:rsidRPr="0000409D" w14:paraId="4964C910"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4461EA" w14:textId="77777777" w:rsidR="001F4DDE" w:rsidRPr="0000409D" w:rsidRDefault="001F4DDE" w:rsidP="001F4DDE">
            <w:pPr>
              <w:jc w:val="center"/>
              <w:rPr>
                <w:color w:val="000000"/>
                <w:sz w:val="18"/>
                <w:szCs w:val="18"/>
              </w:rPr>
            </w:pPr>
            <w:r w:rsidRPr="0000409D">
              <w:rPr>
                <w:color w:val="000000"/>
                <w:sz w:val="18"/>
                <w:szCs w:val="18"/>
              </w:rPr>
              <w:t>Australia</w:t>
            </w:r>
          </w:p>
        </w:tc>
        <w:tc>
          <w:tcPr>
            <w:tcW w:w="961" w:type="dxa"/>
            <w:vAlign w:val="center"/>
          </w:tcPr>
          <w:p w14:paraId="1D6D070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0.43</w:t>
            </w:r>
          </w:p>
        </w:tc>
        <w:tc>
          <w:tcPr>
            <w:tcW w:w="961" w:type="dxa"/>
            <w:noWrap/>
            <w:vAlign w:val="center"/>
            <w:hideMark/>
          </w:tcPr>
          <w:p w14:paraId="7AB37A2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0.57</w:t>
            </w:r>
          </w:p>
        </w:tc>
        <w:tc>
          <w:tcPr>
            <w:tcW w:w="1070" w:type="dxa"/>
            <w:vAlign w:val="center"/>
          </w:tcPr>
          <w:p w14:paraId="5261DF2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1.95</w:t>
            </w:r>
          </w:p>
        </w:tc>
        <w:tc>
          <w:tcPr>
            <w:tcW w:w="1070" w:type="dxa"/>
            <w:noWrap/>
            <w:vAlign w:val="center"/>
            <w:hideMark/>
          </w:tcPr>
          <w:p w14:paraId="0FBA521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0.15</w:t>
            </w:r>
          </w:p>
        </w:tc>
        <w:tc>
          <w:tcPr>
            <w:tcW w:w="1088" w:type="dxa"/>
            <w:vAlign w:val="center"/>
          </w:tcPr>
          <w:p w14:paraId="79EC8A1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1.54</w:t>
            </w:r>
          </w:p>
        </w:tc>
        <w:tc>
          <w:tcPr>
            <w:tcW w:w="992" w:type="dxa"/>
            <w:noWrap/>
            <w:vAlign w:val="center"/>
            <w:hideMark/>
          </w:tcPr>
          <w:p w14:paraId="027B25C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0.23</w:t>
            </w:r>
          </w:p>
        </w:tc>
      </w:tr>
      <w:tr w:rsidR="001F4DDE" w:rsidRPr="0000409D" w14:paraId="78C40D0F"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824421" w14:textId="77777777" w:rsidR="001F4DDE" w:rsidRPr="0000409D" w:rsidRDefault="001F4DDE" w:rsidP="001F4DDE">
            <w:pPr>
              <w:jc w:val="center"/>
              <w:rPr>
                <w:color w:val="000000"/>
                <w:sz w:val="18"/>
                <w:szCs w:val="18"/>
              </w:rPr>
            </w:pPr>
            <w:r w:rsidRPr="0000409D">
              <w:rPr>
                <w:color w:val="000000"/>
                <w:sz w:val="18"/>
                <w:szCs w:val="18"/>
              </w:rPr>
              <w:t>Austria</w:t>
            </w:r>
          </w:p>
        </w:tc>
        <w:tc>
          <w:tcPr>
            <w:tcW w:w="961" w:type="dxa"/>
            <w:vAlign w:val="center"/>
          </w:tcPr>
          <w:p w14:paraId="327C844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0.01</w:t>
            </w:r>
          </w:p>
        </w:tc>
        <w:tc>
          <w:tcPr>
            <w:tcW w:w="961" w:type="dxa"/>
            <w:noWrap/>
            <w:vAlign w:val="center"/>
            <w:hideMark/>
          </w:tcPr>
          <w:p w14:paraId="6DEA520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c>
          <w:tcPr>
            <w:tcW w:w="1070" w:type="dxa"/>
            <w:vAlign w:val="center"/>
          </w:tcPr>
          <w:p w14:paraId="515AD5E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0.08</w:t>
            </w:r>
          </w:p>
        </w:tc>
        <w:tc>
          <w:tcPr>
            <w:tcW w:w="1070" w:type="dxa"/>
            <w:noWrap/>
            <w:vAlign w:val="center"/>
            <w:hideMark/>
          </w:tcPr>
          <w:p w14:paraId="24CBD6B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0.92</w:t>
            </w:r>
          </w:p>
        </w:tc>
        <w:tc>
          <w:tcPr>
            <w:tcW w:w="1088" w:type="dxa"/>
            <w:vAlign w:val="center"/>
          </w:tcPr>
          <w:p w14:paraId="3AF8998C"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0.11</w:t>
            </w:r>
          </w:p>
        </w:tc>
        <w:tc>
          <w:tcPr>
            <w:tcW w:w="992" w:type="dxa"/>
            <w:noWrap/>
            <w:vAlign w:val="center"/>
            <w:hideMark/>
          </w:tcPr>
          <w:p w14:paraId="6E2767B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0.89</w:t>
            </w:r>
          </w:p>
        </w:tc>
      </w:tr>
      <w:tr w:rsidR="001F4DDE" w:rsidRPr="0000409D" w14:paraId="6E13E39C"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35F043" w14:textId="77777777" w:rsidR="001F4DDE" w:rsidRPr="0000409D" w:rsidRDefault="001F4DDE" w:rsidP="001F4DDE">
            <w:pPr>
              <w:jc w:val="center"/>
              <w:rPr>
                <w:color w:val="000000"/>
                <w:sz w:val="18"/>
                <w:szCs w:val="18"/>
              </w:rPr>
            </w:pPr>
            <w:r w:rsidRPr="0000409D">
              <w:rPr>
                <w:color w:val="000000"/>
                <w:sz w:val="18"/>
                <w:szCs w:val="18"/>
              </w:rPr>
              <w:t>Belgium</w:t>
            </w:r>
          </w:p>
        </w:tc>
        <w:tc>
          <w:tcPr>
            <w:tcW w:w="961" w:type="dxa"/>
            <w:vAlign w:val="center"/>
          </w:tcPr>
          <w:p w14:paraId="744EFEE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0.04</w:t>
            </w:r>
          </w:p>
        </w:tc>
        <w:tc>
          <w:tcPr>
            <w:tcW w:w="961" w:type="dxa"/>
            <w:noWrap/>
            <w:vAlign w:val="center"/>
            <w:hideMark/>
          </w:tcPr>
          <w:p w14:paraId="15959F1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0.96</w:t>
            </w:r>
          </w:p>
        </w:tc>
        <w:tc>
          <w:tcPr>
            <w:tcW w:w="1070" w:type="dxa"/>
            <w:vAlign w:val="center"/>
          </w:tcPr>
          <w:p w14:paraId="2805E23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0.03</w:t>
            </w:r>
          </w:p>
        </w:tc>
        <w:tc>
          <w:tcPr>
            <w:tcW w:w="1070" w:type="dxa"/>
            <w:noWrap/>
            <w:vAlign w:val="center"/>
            <w:hideMark/>
          </w:tcPr>
          <w:p w14:paraId="04C356A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0.97</w:t>
            </w:r>
          </w:p>
        </w:tc>
        <w:tc>
          <w:tcPr>
            <w:tcW w:w="1088" w:type="dxa"/>
            <w:vAlign w:val="center"/>
          </w:tcPr>
          <w:p w14:paraId="54E0313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0.07</w:t>
            </w:r>
          </w:p>
        </w:tc>
        <w:tc>
          <w:tcPr>
            <w:tcW w:w="992" w:type="dxa"/>
            <w:noWrap/>
            <w:vAlign w:val="center"/>
            <w:hideMark/>
          </w:tcPr>
          <w:p w14:paraId="37CDD29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0.93</w:t>
            </w:r>
          </w:p>
        </w:tc>
      </w:tr>
      <w:tr w:rsidR="001F4DDE" w:rsidRPr="0000409D" w14:paraId="364FF034"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C0FB6D6" w14:textId="77777777" w:rsidR="001F4DDE" w:rsidRPr="0000409D" w:rsidRDefault="001F4DDE" w:rsidP="001F4DDE">
            <w:pPr>
              <w:jc w:val="center"/>
              <w:rPr>
                <w:color w:val="000000"/>
                <w:sz w:val="18"/>
                <w:szCs w:val="18"/>
              </w:rPr>
            </w:pPr>
            <w:r w:rsidRPr="0000409D">
              <w:rPr>
                <w:color w:val="000000"/>
                <w:sz w:val="18"/>
                <w:szCs w:val="18"/>
              </w:rPr>
              <w:t>Canada</w:t>
            </w:r>
          </w:p>
        </w:tc>
        <w:tc>
          <w:tcPr>
            <w:tcW w:w="961" w:type="dxa"/>
            <w:vAlign w:val="center"/>
          </w:tcPr>
          <w:p w14:paraId="51E5D73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0.53</w:t>
            </w:r>
          </w:p>
        </w:tc>
        <w:tc>
          <w:tcPr>
            <w:tcW w:w="961" w:type="dxa"/>
            <w:noWrap/>
            <w:vAlign w:val="center"/>
            <w:hideMark/>
          </w:tcPr>
          <w:p w14:paraId="797EC1B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0.38</w:t>
            </w:r>
          </w:p>
        </w:tc>
        <w:tc>
          <w:tcPr>
            <w:tcW w:w="1070" w:type="dxa"/>
            <w:vAlign w:val="center"/>
          </w:tcPr>
          <w:p w14:paraId="0EDA1D5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2.05</w:t>
            </w:r>
          </w:p>
        </w:tc>
        <w:tc>
          <w:tcPr>
            <w:tcW w:w="1070" w:type="dxa"/>
            <w:noWrap/>
            <w:vAlign w:val="center"/>
            <w:hideMark/>
          </w:tcPr>
          <w:p w14:paraId="60A44B5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0.17</w:t>
            </w:r>
          </w:p>
        </w:tc>
        <w:tc>
          <w:tcPr>
            <w:tcW w:w="1088" w:type="dxa"/>
            <w:vAlign w:val="center"/>
          </w:tcPr>
          <w:p w14:paraId="19EA9C4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0.75</w:t>
            </w:r>
          </w:p>
        </w:tc>
        <w:tc>
          <w:tcPr>
            <w:tcW w:w="992" w:type="dxa"/>
            <w:noWrap/>
            <w:vAlign w:val="center"/>
            <w:hideMark/>
          </w:tcPr>
          <w:p w14:paraId="587908B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0.49</w:t>
            </w:r>
          </w:p>
        </w:tc>
      </w:tr>
      <w:tr w:rsidR="001F4DDE" w:rsidRPr="0000409D" w14:paraId="613AEFAB"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BEDCAC" w14:textId="77777777" w:rsidR="001F4DDE" w:rsidRPr="0000409D" w:rsidRDefault="001F4DDE" w:rsidP="001F4DDE">
            <w:pPr>
              <w:jc w:val="center"/>
              <w:rPr>
                <w:color w:val="000000"/>
                <w:sz w:val="18"/>
                <w:szCs w:val="18"/>
              </w:rPr>
            </w:pPr>
            <w:r w:rsidRPr="0000409D">
              <w:rPr>
                <w:color w:val="000000"/>
                <w:sz w:val="18"/>
                <w:szCs w:val="18"/>
              </w:rPr>
              <w:t>Denmark</w:t>
            </w:r>
          </w:p>
        </w:tc>
        <w:tc>
          <w:tcPr>
            <w:tcW w:w="961" w:type="dxa"/>
            <w:vAlign w:val="center"/>
          </w:tcPr>
          <w:p w14:paraId="3C248DE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1.52</w:t>
            </w:r>
          </w:p>
        </w:tc>
        <w:tc>
          <w:tcPr>
            <w:tcW w:w="961" w:type="dxa"/>
            <w:noWrap/>
            <w:vAlign w:val="center"/>
            <w:hideMark/>
          </w:tcPr>
          <w:p w14:paraId="61647B1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0.26</w:t>
            </w:r>
          </w:p>
        </w:tc>
        <w:tc>
          <w:tcPr>
            <w:tcW w:w="1070" w:type="dxa"/>
            <w:vAlign w:val="center"/>
          </w:tcPr>
          <w:p w14:paraId="66D3B0B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1.50</w:t>
            </w:r>
          </w:p>
        </w:tc>
        <w:tc>
          <w:tcPr>
            <w:tcW w:w="1070" w:type="dxa"/>
            <w:noWrap/>
            <w:vAlign w:val="center"/>
            <w:hideMark/>
          </w:tcPr>
          <w:p w14:paraId="6230657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0.28</w:t>
            </w:r>
          </w:p>
        </w:tc>
        <w:tc>
          <w:tcPr>
            <w:tcW w:w="1088" w:type="dxa"/>
            <w:vAlign w:val="center"/>
          </w:tcPr>
          <w:p w14:paraId="75B1EE3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0.43</w:t>
            </w:r>
          </w:p>
        </w:tc>
        <w:tc>
          <w:tcPr>
            <w:tcW w:w="992" w:type="dxa"/>
            <w:noWrap/>
            <w:vAlign w:val="center"/>
            <w:hideMark/>
          </w:tcPr>
          <w:p w14:paraId="460C4EE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0.63</w:t>
            </w:r>
          </w:p>
        </w:tc>
      </w:tr>
      <w:tr w:rsidR="001F4DDE" w:rsidRPr="0000409D" w14:paraId="006C8AE0"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095C79" w14:textId="77777777" w:rsidR="001F4DDE" w:rsidRPr="0000409D" w:rsidRDefault="001F4DDE" w:rsidP="001F4DDE">
            <w:pPr>
              <w:jc w:val="center"/>
              <w:rPr>
                <w:color w:val="000000"/>
                <w:sz w:val="18"/>
                <w:szCs w:val="18"/>
              </w:rPr>
            </w:pPr>
            <w:r w:rsidRPr="0000409D">
              <w:rPr>
                <w:color w:val="000000"/>
                <w:sz w:val="18"/>
                <w:szCs w:val="18"/>
              </w:rPr>
              <w:t>Finland</w:t>
            </w:r>
          </w:p>
        </w:tc>
        <w:tc>
          <w:tcPr>
            <w:tcW w:w="961" w:type="dxa"/>
            <w:vAlign w:val="center"/>
          </w:tcPr>
          <w:p w14:paraId="5B2D504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0.28</w:t>
            </w:r>
          </w:p>
        </w:tc>
        <w:tc>
          <w:tcPr>
            <w:tcW w:w="961" w:type="dxa"/>
            <w:noWrap/>
            <w:vAlign w:val="center"/>
            <w:hideMark/>
          </w:tcPr>
          <w:p w14:paraId="746D376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0.74</w:t>
            </w:r>
          </w:p>
        </w:tc>
        <w:tc>
          <w:tcPr>
            <w:tcW w:w="1070" w:type="dxa"/>
            <w:vAlign w:val="center"/>
          </w:tcPr>
          <w:p w14:paraId="1CF2C66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0.28</w:t>
            </w:r>
          </w:p>
        </w:tc>
        <w:tc>
          <w:tcPr>
            <w:tcW w:w="1070" w:type="dxa"/>
            <w:noWrap/>
            <w:vAlign w:val="center"/>
            <w:hideMark/>
          </w:tcPr>
          <w:p w14:paraId="28B142F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0.74</w:t>
            </w:r>
          </w:p>
        </w:tc>
        <w:tc>
          <w:tcPr>
            <w:tcW w:w="1088" w:type="dxa"/>
            <w:vAlign w:val="center"/>
          </w:tcPr>
          <w:p w14:paraId="3363D64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0.39</w:t>
            </w:r>
          </w:p>
        </w:tc>
        <w:tc>
          <w:tcPr>
            <w:tcW w:w="992" w:type="dxa"/>
            <w:noWrap/>
            <w:vAlign w:val="center"/>
            <w:hideMark/>
          </w:tcPr>
          <w:p w14:paraId="181F362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0.67</w:t>
            </w:r>
          </w:p>
        </w:tc>
      </w:tr>
      <w:tr w:rsidR="001F4DDE" w:rsidRPr="0000409D" w14:paraId="5F5E0C47"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1862A7" w14:textId="77777777" w:rsidR="001F4DDE" w:rsidRPr="0000409D" w:rsidRDefault="001F4DDE" w:rsidP="001F4DDE">
            <w:pPr>
              <w:jc w:val="center"/>
              <w:rPr>
                <w:color w:val="000000"/>
                <w:sz w:val="18"/>
                <w:szCs w:val="18"/>
              </w:rPr>
            </w:pPr>
            <w:r w:rsidRPr="0000409D">
              <w:rPr>
                <w:color w:val="000000"/>
                <w:sz w:val="18"/>
                <w:szCs w:val="18"/>
              </w:rPr>
              <w:t>France</w:t>
            </w:r>
          </w:p>
        </w:tc>
        <w:tc>
          <w:tcPr>
            <w:tcW w:w="961" w:type="dxa"/>
            <w:vAlign w:val="center"/>
          </w:tcPr>
          <w:p w14:paraId="458D921C"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0.12</w:t>
            </w:r>
          </w:p>
        </w:tc>
        <w:tc>
          <w:tcPr>
            <w:tcW w:w="961" w:type="dxa"/>
            <w:noWrap/>
            <w:vAlign w:val="center"/>
            <w:hideMark/>
          </w:tcPr>
          <w:p w14:paraId="632B219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0.88</w:t>
            </w:r>
          </w:p>
        </w:tc>
        <w:tc>
          <w:tcPr>
            <w:tcW w:w="1070" w:type="dxa"/>
            <w:vAlign w:val="center"/>
          </w:tcPr>
          <w:p w14:paraId="08B5CEB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0.25</w:t>
            </w:r>
          </w:p>
        </w:tc>
        <w:tc>
          <w:tcPr>
            <w:tcW w:w="1070" w:type="dxa"/>
            <w:noWrap/>
            <w:vAlign w:val="center"/>
            <w:hideMark/>
          </w:tcPr>
          <w:p w14:paraId="41C8294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0.79</w:t>
            </w:r>
          </w:p>
        </w:tc>
        <w:tc>
          <w:tcPr>
            <w:tcW w:w="1088" w:type="dxa"/>
            <w:vAlign w:val="center"/>
          </w:tcPr>
          <w:p w14:paraId="36E4911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0.29</w:t>
            </w:r>
          </w:p>
        </w:tc>
        <w:tc>
          <w:tcPr>
            <w:tcW w:w="992" w:type="dxa"/>
            <w:noWrap/>
            <w:vAlign w:val="center"/>
            <w:hideMark/>
          </w:tcPr>
          <w:p w14:paraId="799EE25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0.73</w:t>
            </w:r>
          </w:p>
        </w:tc>
      </w:tr>
      <w:tr w:rsidR="001F4DDE" w:rsidRPr="0000409D" w14:paraId="438AC203"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09F68E" w14:textId="77777777" w:rsidR="001F4DDE" w:rsidRPr="0000409D" w:rsidRDefault="001F4DDE" w:rsidP="001F4DDE">
            <w:pPr>
              <w:jc w:val="center"/>
              <w:rPr>
                <w:color w:val="000000"/>
                <w:sz w:val="18"/>
                <w:szCs w:val="18"/>
              </w:rPr>
            </w:pPr>
            <w:r w:rsidRPr="0000409D">
              <w:rPr>
                <w:color w:val="000000"/>
                <w:sz w:val="18"/>
                <w:szCs w:val="18"/>
              </w:rPr>
              <w:t>Germany</w:t>
            </w:r>
          </w:p>
        </w:tc>
        <w:tc>
          <w:tcPr>
            <w:tcW w:w="961" w:type="dxa"/>
            <w:vAlign w:val="center"/>
          </w:tcPr>
          <w:p w14:paraId="37447B9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0.02</w:t>
            </w:r>
          </w:p>
        </w:tc>
        <w:tc>
          <w:tcPr>
            <w:tcW w:w="961" w:type="dxa"/>
            <w:noWrap/>
            <w:vAlign w:val="center"/>
            <w:hideMark/>
          </w:tcPr>
          <w:p w14:paraId="5946B0D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70" w:type="dxa"/>
            <w:vAlign w:val="center"/>
          </w:tcPr>
          <w:p w14:paraId="07FBFA0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0.11</w:t>
            </w:r>
          </w:p>
        </w:tc>
        <w:tc>
          <w:tcPr>
            <w:tcW w:w="1070" w:type="dxa"/>
            <w:noWrap/>
            <w:vAlign w:val="center"/>
            <w:hideMark/>
          </w:tcPr>
          <w:p w14:paraId="68B3E66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0.89</w:t>
            </w:r>
          </w:p>
        </w:tc>
        <w:tc>
          <w:tcPr>
            <w:tcW w:w="1088" w:type="dxa"/>
            <w:vAlign w:val="center"/>
          </w:tcPr>
          <w:p w14:paraId="589A49D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0.22</w:t>
            </w:r>
          </w:p>
        </w:tc>
        <w:tc>
          <w:tcPr>
            <w:tcW w:w="992" w:type="dxa"/>
            <w:noWrap/>
            <w:vAlign w:val="center"/>
            <w:hideMark/>
          </w:tcPr>
          <w:p w14:paraId="3210A4B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w:t>
            </w:r>
          </w:p>
        </w:tc>
      </w:tr>
      <w:tr w:rsidR="001F4DDE" w:rsidRPr="0000409D" w14:paraId="769D24C0"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41D145" w14:textId="77777777" w:rsidR="001F4DDE" w:rsidRPr="0000409D" w:rsidRDefault="001F4DDE" w:rsidP="001F4DDE">
            <w:pPr>
              <w:jc w:val="center"/>
              <w:rPr>
                <w:color w:val="000000"/>
                <w:sz w:val="18"/>
                <w:szCs w:val="18"/>
              </w:rPr>
            </w:pPr>
            <w:r w:rsidRPr="0000409D">
              <w:rPr>
                <w:color w:val="000000"/>
                <w:sz w:val="18"/>
                <w:szCs w:val="18"/>
              </w:rPr>
              <w:t>Hong Kong</w:t>
            </w:r>
          </w:p>
        </w:tc>
        <w:tc>
          <w:tcPr>
            <w:tcW w:w="961" w:type="dxa"/>
            <w:vAlign w:val="center"/>
          </w:tcPr>
          <w:p w14:paraId="2106184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0.09</w:t>
            </w:r>
          </w:p>
        </w:tc>
        <w:tc>
          <w:tcPr>
            <w:tcW w:w="961" w:type="dxa"/>
            <w:noWrap/>
            <w:vAlign w:val="center"/>
            <w:hideMark/>
          </w:tcPr>
          <w:p w14:paraId="01DE88A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0.91</w:t>
            </w:r>
          </w:p>
        </w:tc>
        <w:tc>
          <w:tcPr>
            <w:tcW w:w="1070" w:type="dxa"/>
            <w:vAlign w:val="center"/>
          </w:tcPr>
          <w:p w14:paraId="512D4A3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0.08</w:t>
            </w:r>
          </w:p>
        </w:tc>
        <w:tc>
          <w:tcPr>
            <w:tcW w:w="1070" w:type="dxa"/>
            <w:noWrap/>
            <w:vAlign w:val="center"/>
            <w:hideMark/>
          </w:tcPr>
          <w:p w14:paraId="518591E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0.92</w:t>
            </w:r>
          </w:p>
        </w:tc>
        <w:tc>
          <w:tcPr>
            <w:tcW w:w="1088" w:type="dxa"/>
            <w:vAlign w:val="center"/>
          </w:tcPr>
          <w:p w14:paraId="0C3C0F7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0.08</w:t>
            </w:r>
          </w:p>
        </w:tc>
        <w:tc>
          <w:tcPr>
            <w:tcW w:w="992" w:type="dxa"/>
            <w:noWrap/>
            <w:vAlign w:val="center"/>
            <w:hideMark/>
          </w:tcPr>
          <w:p w14:paraId="7728E31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0.92</w:t>
            </w:r>
          </w:p>
        </w:tc>
      </w:tr>
      <w:tr w:rsidR="001F4DDE" w:rsidRPr="0000409D" w14:paraId="6455C097"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97BE88" w14:textId="77777777" w:rsidR="001F4DDE" w:rsidRPr="0000409D" w:rsidRDefault="001F4DDE" w:rsidP="001F4DDE">
            <w:pPr>
              <w:jc w:val="center"/>
              <w:rPr>
                <w:color w:val="000000"/>
                <w:sz w:val="18"/>
                <w:szCs w:val="18"/>
              </w:rPr>
            </w:pPr>
            <w:r w:rsidRPr="0000409D">
              <w:rPr>
                <w:color w:val="000000"/>
                <w:sz w:val="18"/>
                <w:szCs w:val="18"/>
              </w:rPr>
              <w:t>Ireland</w:t>
            </w:r>
          </w:p>
        </w:tc>
        <w:tc>
          <w:tcPr>
            <w:tcW w:w="961" w:type="dxa"/>
            <w:vAlign w:val="center"/>
          </w:tcPr>
          <w:p w14:paraId="297526B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0.76</w:t>
            </w:r>
          </w:p>
        </w:tc>
        <w:tc>
          <w:tcPr>
            <w:tcW w:w="961" w:type="dxa"/>
            <w:noWrap/>
            <w:vAlign w:val="center"/>
            <w:hideMark/>
          </w:tcPr>
          <w:p w14:paraId="0E5B4D5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0.48</w:t>
            </w:r>
          </w:p>
        </w:tc>
        <w:tc>
          <w:tcPr>
            <w:tcW w:w="1070" w:type="dxa"/>
            <w:vAlign w:val="center"/>
          </w:tcPr>
          <w:p w14:paraId="5FB2DD0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0.40</w:t>
            </w:r>
          </w:p>
        </w:tc>
        <w:tc>
          <w:tcPr>
            <w:tcW w:w="1070" w:type="dxa"/>
            <w:noWrap/>
            <w:vAlign w:val="center"/>
            <w:hideMark/>
          </w:tcPr>
          <w:p w14:paraId="6BD6D20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0.66</w:t>
            </w:r>
          </w:p>
        </w:tc>
        <w:tc>
          <w:tcPr>
            <w:tcW w:w="1088" w:type="dxa"/>
            <w:vAlign w:val="center"/>
          </w:tcPr>
          <w:p w14:paraId="2B451B8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0.77</w:t>
            </w:r>
          </w:p>
        </w:tc>
        <w:tc>
          <w:tcPr>
            <w:tcW w:w="992" w:type="dxa"/>
            <w:noWrap/>
            <w:vAlign w:val="center"/>
            <w:hideMark/>
          </w:tcPr>
          <w:p w14:paraId="153D1B8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0.47</w:t>
            </w:r>
          </w:p>
        </w:tc>
      </w:tr>
      <w:tr w:rsidR="001F4DDE" w:rsidRPr="0000409D" w14:paraId="44FCFAC8"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CA43B0" w14:textId="77777777" w:rsidR="001F4DDE" w:rsidRPr="0000409D" w:rsidRDefault="001F4DDE" w:rsidP="001F4DDE">
            <w:pPr>
              <w:jc w:val="center"/>
              <w:rPr>
                <w:color w:val="000000"/>
                <w:sz w:val="18"/>
                <w:szCs w:val="18"/>
              </w:rPr>
            </w:pPr>
            <w:r w:rsidRPr="0000409D">
              <w:rPr>
                <w:color w:val="000000"/>
                <w:sz w:val="18"/>
                <w:szCs w:val="18"/>
              </w:rPr>
              <w:t>Israel</w:t>
            </w:r>
          </w:p>
        </w:tc>
        <w:tc>
          <w:tcPr>
            <w:tcW w:w="961" w:type="dxa"/>
            <w:vAlign w:val="center"/>
          </w:tcPr>
          <w:p w14:paraId="129380D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0.37</w:t>
            </w:r>
          </w:p>
        </w:tc>
        <w:tc>
          <w:tcPr>
            <w:tcW w:w="961" w:type="dxa"/>
            <w:noWrap/>
            <w:vAlign w:val="center"/>
            <w:hideMark/>
          </w:tcPr>
          <w:p w14:paraId="3FC1AF8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0.69</w:t>
            </w:r>
          </w:p>
        </w:tc>
        <w:tc>
          <w:tcPr>
            <w:tcW w:w="1070" w:type="dxa"/>
            <w:vAlign w:val="center"/>
          </w:tcPr>
          <w:p w14:paraId="0477096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0.39</w:t>
            </w:r>
          </w:p>
        </w:tc>
        <w:tc>
          <w:tcPr>
            <w:tcW w:w="1070" w:type="dxa"/>
            <w:noWrap/>
            <w:vAlign w:val="center"/>
            <w:hideMark/>
          </w:tcPr>
          <w:p w14:paraId="65B0CC4C"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0.67</w:t>
            </w:r>
          </w:p>
        </w:tc>
        <w:tc>
          <w:tcPr>
            <w:tcW w:w="1088" w:type="dxa"/>
            <w:vAlign w:val="center"/>
          </w:tcPr>
          <w:p w14:paraId="4A9A609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0.09</w:t>
            </w:r>
          </w:p>
        </w:tc>
        <w:tc>
          <w:tcPr>
            <w:tcW w:w="992" w:type="dxa"/>
            <w:noWrap/>
            <w:vAlign w:val="center"/>
            <w:hideMark/>
          </w:tcPr>
          <w:p w14:paraId="1F77762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0.91</w:t>
            </w:r>
          </w:p>
        </w:tc>
      </w:tr>
      <w:tr w:rsidR="001F4DDE" w:rsidRPr="0000409D" w14:paraId="56302B96"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2D961C" w14:textId="77777777" w:rsidR="001F4DDE" w:rsidRPr="0000409D" w:rsidRDefault="001F4DDE" w:rsidP="001F4DDE">
            <w:pPr>
              <w:jc w:val="center"/>
              <w:rPr>
                <w:color w:val="000000"/>
                <w:sz w:val="18"/>
                <w:szCs w:val="18"/>
              </w:rPr>
            </w:pPr>
            <w:r w:rsidRPr="0000409D">
              <w:rPr>
                <w:color w:val="000000"/>
                <w:sz w:val="18"/>
                <w:szCs w:val="18"/>
              </w:rPr>
              <w:t>Italy</w:t>
            </w:r>
          </w:p>
        </w:tc>
        <w:tc>
          <w:tcPr>
            <w:tcW w:w="961" w:type="dxa"/>
            <w:vAlign w:val="center"/>
          </w:tcPr>
          <w:p w14:paraId="47E486A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0.01</w:t>
            </w:r>
          </w:p>
        </w:tc>
        <w:tc>
          <w:tcPr>
            <w:tcW w:w="961" w:type="dxa"/>
            <w:noWrap/>
            <w:vAlign w:val="center"/>
            <w:hideMark/>
          </w:tcPr>
          <w:p w14:paraId="250E0C9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c>
          <w:tcPr>
            <w:tcW w:w="1070" w:type="dxa"/>
            <w:vAlign w:val="center"/>
          </w:tcPr>
          <w:p w14:paraId="2705832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0.02</w:t>
            </w:r>
          </w:p>
        </w:tc>
        <w:tc>
          <w:tcPr>
            <w:tcW w:w="1070" w:type="dxa"/>
            <w:noWrap/>
            <w:vAlign w:val="center"/>
            <w:hideMark/>
          </w:tcPr>
          <w:p w14:paraId="19852C8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88" w:type="dxa"/>
            <w:vAlign w:val="center"/>
          </w:tcPr>
          <w:p w14:paraId="250A548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0.09</w:t>
            </w:r>
          </w:p>
        </w:tc>
        <w:tc>
          <w:tcPr>
            <w:tcW w:w="992" w:type="dxa"/>
            <w:noWrap/>
            <w:vAlign w:val="center"/>
            <w:hideMark/>
          </w:tcPr>
          <w:p w14:paraId="185A2AF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0.91</w:t>
            </w:r>
          </w:p>
        </w:tc>
      </w:tr>
      <w:tr w:rsidR="001F4DDE" w:rsidRPr="0000409D" w14:paraId="64601BF7"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05071E" w14:textId="77777777" w:rsidR="001F4DDE" w:rsidRPr="0000409D" w:rsidRDefault="001F4DDE" w:rsidP="001F4DDE">
            <w:pPr>
              <w:jc w:val="center"/>
              <w:rPr>
                <w:color w:val="000000"/>
                <w:sz w:val="18"/>
                <w:szCs w:val="18"/>
              </w:rPr>
            </w:pPr>
            <w:r w:rsidRPr="0000409D">
              <w:rPr>
                <w:color w:val="000000"/>
                <w:sz w:val="18"/>
                <w:szCs w:val="18"/>
              </w:rPr>
              <w:t>Japan</w:t>
            </w:r>
          </w:p>
        </w:tc>
        <w:tc>
          <w:tcPr>
            <w:tcW w:w="961" w:type="dxa"/>
            <w:vAlign w:val="center"/>
          </w:tcPr>
          <w:p w14:paraId="08EEB36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0.25</w:t>
            </w:r>
          </w:p>
        </w:tc>
        <w:tc>
          <w:tcPr>
            <w:tcW w:w="961" w:type="dxa"/>
            <w:noWrap/>
            <w:vAlign w:val="center"/>
            <w:hideMark/>
          </w:tcPr>
          <w:p w14:paraId="48658EB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0.77</w:t>
            </w:r>
          </w:p>
        </w:tc>
        <w:tc>
          <w:tcPr>
            <w:tcW w:w="1070" w:type="dxa"/>
            <w:vAlign w:val="center"/>
          </w:tcPr>
          <w:p w14:paraId="7B2219C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0.02</w:t>
            </w:r>
          </w:p>
        </w:tc>
        <w:tc>
          <w:tcPr>
            <w:tcW w:w="1070" w:type="dxa"/>
            <w:noWrap/>
            <w:vAlign w:val="center"/>
            <w:hideMark/>
          </w:tcPr>
          <w:p w14:paraId="6644438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88" w:type="dxa"/>
            <w:vAlign w:val="center"/>
          </w:tcPr>
          <w:p w14:paraId="63DEA61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0.07</w:t>
            </w:r>
          </w:p>
        </w:tc>
        <w:tc>
          <w:tcPr>
            <w:tcW w:w="992" w:type="dxa"/>
            <w:noWrap/>
            <w:vAlign w:val="center"/>
            <w:hideMark/>
          </w:tcPr>
          <w:p w14:paraId="6F95E43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0.93</w:t>
            </w:r>
          </w:p>
        </w:tc>
      </w:tr>
      <w:tr w:rsidR="001F4DDE" w:rsidRPr="0000409D" w14:paraId="13007DA6"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61DCFC9" w14:textId="77777777" w:rsidR="001F4DDE" w:rsidRPr="0000409D" w:rsidRDefault="001F4DDE" w:rsidP="001F4DDE">
            <w:pPr>
              <w:jc w:val="center"/>
              <w:rPr>
                <w:color w:val="000000"/>
                <w:sz w:val="18"/>
                <w:szCs w:val="18"/>
              </w:rPr>
            </w:pPr>
            <w:r w:rsidRPr="0000409D">
              <w:rPr>
                <w:color w:val="000000"/>
                <w:sz w:val="18"/>
                <w:szCs w:val="18"/>
              </w:rPr>
              <w:t>Netherlands</w:t>
            </w:r>
          </w:p>
        </w:tc>
        <w:tc>
          <w:tcPr>
            <w:tcW w:w="961" w:type="dxa"/>
            <w:vAlign w:val="center"/>
          </w:tcPr>
          <w:p w14:paraId="50B931E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0.02</w:t>
            </w:r>
          </w:p>
        </w:tc>
        <w:tc>
          <w:tcPr>
            <w:tcW w:w="961" w:type="dxa"/>
            <w:noWrap/>
            <w:vAlign w:val="center"/>
            <w:hideMark/>
          </w:tcPr>
          <w:p w14:paraId="6BBD3E1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70" w:type="dxa"/>
            <w:vAlign w:val="center"/>
          </w:tcPr>
          <w:p w14:paraId="5604E9C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0.08</w:t>
            </w:r>
          </w:p>
        </w:tc>
        <w:tc>
          <w:tcPr>
            <w:tcW w:w="1070" w:type="dxa"/>
            <w:noWrap/>
            <w:vAlign w:val="center"/>
            <w:hideMark/>
          </w:tcPr>
          <w:p w14:paraId="1588577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0.92</w:t>
            </w:r>
          </w:p>
        </w:tc>
        <w:tc>
          <w:tcPr>
            <w:tcW w:w="1088" w:type="dxa"/>
            <w:vAlign w:val="center"/>
          </w:tcPr>
          <w:p w14:paraId="2A9085F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0.41</w:t>
            </w:r>
          </w:p>
        </w:tc>
        <w:tc>
          <w:tcPr>
            <w:tcW w:w="992" w:type="dxa"/>
            <w:noWrap/>
            <w:vAlign w:val="center"/>
            <w:hideMark/>
          </w:tcPr>
          <w:p w14:paraId="056F1EE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0.65</w:t>
            </w:r>
          </w:p>
        </w:tc>
      </w:tr>
      <w:tr w:rsidR="001F4DDE" w:rsidRPr="0000409D" w14:paraId="7A138E20"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E10FF7" w14:textId="77777777" w:rsidR="001F4DDE" w:rsidRPr="0000409D" w:rsidRDefault="001F4DDE" w:rsidP="001F4DDE">
            <w:pPr>
              <w:jc w:val="center"/>
              <w:rPr>
                <w:color w:val="000000"/>
                <w:sz w:val="18"/>
                <w:szCs w:val="18"/>
              </w:rPr>
            </w:pPr>
            <w:r w:rsidRPr="0000409D">
              <w:rPr>
                <w:color w:val="000000"/>
                <w:sz w:val="18"/>
                <w:szCs w:val="18"/>
              </w:rPr>
              <w:t>New Zealand</w:t>
            </w:r>
          </w:p>
        </w:tc>
        <w:tc>
          <w:tcPr>
            <w:tcW w:w="961" w:type="dxa"/>
            <w:vAlign w:val="center"/>
          </w:tcPr>
          <w:p w14:paraId="192E353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0.08</w:t>
            </w:r>
          </w:p>
        </w:tc>
        <w:tc>
          <w:tcPr>
            <w:tcW w:w="961" w:type="dxa"/>
            <w:noWrap/>
            <w:vAlign w:val="center"/>
            <w:hideMark/>
          </w:tcPr>
          <w:p w14:paraId="1CBC91E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0.91</w:t>
            </w:r>
          </w:p>
        </w:tc>
        <w:tc>
          <w:tcPr>
            <w:tcW w:w="1070" w:type="dxa"/>
            <w:vAlign w:val="center"/>
          </w:tcPr>
          <w:p w14:paraId="09369F6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0.27</w:t>
            </w:r>
          </w:p>
        </w:tc>
        <w:tc>
          <w:tcPr>
            <w:tcW w:w="1070" w:type="dxa"/>
            <w:noWrap/>
            <w:vAlign w:val="center"/>
            <w:hideMark/>
          </w:tcPr>
          <w:p w14:paraId="0F8E847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0.75</w:t>
            </w:r>
          </w:p>
        </w:tc>
        <w:tc>
          <w:tcPr>
            <w:tcW w:w="1088" w:type="dxa"/>
            <w:vAlign w:val="center"/>
          </w:tcPr>
          <w:p w14:paraId="697BC23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0.26</w:t>
            </w:r>
          </w:p>
        </w:tc>
        <w:tc>
          <w:tcPr>
            <w:tcW w:w="992" w:type="dxa"/>
            <w:noWrap/>
            <w:vAlign w:val="center"/>
            <w:hideMark/>
          </w:tcPr>
          <w:p w14:paraId="4BD65F5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0.76</w:t>
            </w:r>
          </w:p>
        </w:tc>
      </w:tr>
      <w:tr w:rsidR="001F4DDE" w:rsidRPr="0000409D" w14:paraId="12657FD1"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404A73" w14:textId="77777777" w:rsidR="001F4DDE" w:rsidRPr="0000409D" w:rsidRDefault="001F4DDE" w:rsidP="001F4DDE">
            <w:pPr>
              <w:jc w:val="center"/>
              <w:rPr>
                <w:color w:val="000000"/>
                <w:sz w:val="18"/>
                <w:szCs w:val="18"/>
              </w:rPr>
            </w:pPr>
            <w:r w:rsidRPr="0000409D">
              <w:rPr>
                <w:color w:val="000000"/>
                <w:sz w:val="18"/>
                <w:szCs w:val="18"/>
              </w:rPr>
              <w:t>Portugal</w:t>
            </w:r>
          </w:p>
        </w:tc>
        <w:tc>
          <w:tcPr>
            <w:tcW w:w="961" w:type="dxa"/>
            <w:vAlign w:val="center"/>
          </w:tcPr>
          <w:p w14:paraId="4C74FC1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0.23</w:t>
            </w:r>
          </w:p>
        </w:tc>
        <w:tc>
          <w:tcPr>
            <w:tcW w:w="961" w:type="dxa"/>
            <w:noWrap/>
            <w:vAlign w:val="center"/>
            <w:hideMark/>
          </w:tcPr>
          <w:p w14:paraId="3EF8B25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0.79</w:t>
            </w:r>
          </w:p>
        </w:tc>
        <w:tc>
          <w:tcPr>
            <w:tcW w:w="1070" w:type="dxa"/>
            <w:vAlign w:val="center"/>
          </w:tcPr>
          <w:p w14:paraId="65DD6F5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0.35</w:t>
            </w:r>
          </w:p>
        </w:tc>
        <w:tc>
          <w:tcPr>
            <w:tcW w:w="1070" w:type="dxa"/>
            <w:noWrap/>
            <w:vAlign w:val="center"/>
            <w:hideMark/>
          </w:tcPr>
          <w:p w14:paraId="7B064DD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0.70</w:t>
            </w:r>
          </w:p>
        </w:tc>
        <w:tc>
          <w:tcPr>
            <w:tcW w:w="1088" w:type="dxa"/>
            <w:vAlign w:val="center"/>
          </w:tcPr>
          <w:p w14:paraId="3BE582D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0.17</w:t>
            </w:r>
          </w:p>
        </w:tc>
        <w:tc>
          <w:tcPr>
            <w:tcW w:w="992" w:type="dxa"/>
            <w:noWrap/>
            <w:vAlign w:val="center"/>
            <w:hideMark/>
          </w:tcPr>
          <w:p w14:paraId="6ED8E8B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0.85</w:t>
            </w:r>
          </w:p>
        </w:tc>
      </w:tr>
      <w:tr w:rsidR="001F4DDE" w:rsidRPr="0000409D" w14:paraId="0F8FEE3F"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AE530CB" w14:textId="77777777" w:rsidR="001F4DDE" w:rsidRPr="0000409D" w:rsidRDefault="001F4DDE" w:rsidP="001F4DDE">
            <w:pPr>
              <w:jc w:val="center"/>
              <w:rPr>
                <w:color w:val="000000"/>
                <w:sz w:val="18"/>
                <w:szCs w:val="18"/>
              </w:rPr>
            </w:pPr>
            <w:r w:rsidRPr="0000409D">
              <w:rPr>
                <w:color w:val="000000"/>
                <w:sz w:val="18"/>
                <w:szCs w:val="18"/>
              </w:rPr>
              <w:t>Singapore</w:t>
            </w:r>
          </w:p>
        </w:tc>
        <w:tc>
          <w:tcPr>
            <w:tcW w:w="961" w:type="dxa"/>
            <w:vAlign w:val="center"/>
          </w:tcPr>
          <w:p w14:paraId="258DBA9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0.03</w:t>
            </w:r>
          </w:p>
        </w:tc>
        <w:tc>
          <w:tcPr>
            <w:tcW w:w="961" w:type="dxa"/>
            <w:noWrap/>
            <w:vAlign w:val="center"/>
            <w:hideMark/>
          </w:tcPr>
          <w:p w14:paraId="493CA48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0.97</w:t>
            </w:r>
          </w:p>
        </w:tc>
        <w:tc>
          <w:tcPr>
            <w:tcW w:w="1070" w:type="dxa"/>
            <w:vAlign w:val="center"/>
          </w:tcPr>
          <w:p w14:paraId="367F945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0.03</w:t>
            </w:r>
          </w:p>
        </w:tc>
        <w:tc>
          <w:tcPr>
            <w:tcW w:w="1070" w:type="dxa"/>
            <w:noWrap/>
            <w:vAlign w:val="center"/>
            <w:hideMark/>
          </w:tcPr>
          <w:p w14:paraId="5769F51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0.97</w:t>
            </w:r>
          </w:p>
        </w:tc>
        <w:tc>
          <w:tcPr>
            <w:tcW w:w="1088" w:type="dxa"/>
            <w:vAlign w:val="center"/>
          </w:tcPr>
          <w:p w14:paraId="16ED45E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0.16</w:t>
            </w:r>
          </w:p>
        </w:tc>
        <w:tc>
          <w:tcPr>
            <w:tcW w:w="992" w:type="dxa"/>
            <w:noWrap/>
            <w:vAlign w:val="center"/>
            <w:hideMark/>
          </w:tcPr>
          <w:p w14:paraId="279EBB9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0.86</w:t>
            </w:r>
          </w:p>
        </w:tc>
      </w:tr>
      <w:tr w:rsidR="001F4DDE" w:rsidRPr="0000409D" w14:paraId="5F3C5DCD"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B39E90" w14:textId="77777777" w:rsidR="001F4DDE" w:rsidRPr="0000409D" w:rsidRDefault="001F4DDE" w:rsidP="001F4DDE">
            <w:pPr>
              <w:jc w:val="center"/>
              <w:rPr>
                <w:color w:val="000000"/>
                <w:sz w:val="18"/>
                <w:szCs w:val="18"/>
              </w:rPr>
            </w:pPr>
            <w:r w:rsidRPr="0000409D">
              <w:rPr>
                <w:color w:val="000000"/>
                <w:sz w:val="18"/>
                <w:szCs w:val="18"/>
              </w:rPr>
              <w:t>Spain</w:t>
            </w:r>
          </w:p>
        </w:tc>
        <w:tc>
          <w:tcPr>
            <w:tcW w:w="961" w:type="dxa"/>
            <w:vAlign w:val="center"/>
          </w:tcPr>
          <w:p w14:paraId="48D6AC3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0.45</w:t>
            </w:r>
          </w:p>
        </w:tc>
        <w:tc>
          <w:tcPr>
            <w:tcW w:w="961" w:type="dxa"/>
            <w:noWrap/>
            <w:vAlign w:val="center"/>
            <w:hideMark/>
          </w:tcPr>
          <w:p w14:paraId="6E9992C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0.55</w:t>
            </w:r>
          </w:p>
        </w:tc>
        <w:tc>
          <w:tcPr>
            <w:tcW w:w="1070" w:type="dxa"/>
            <w:vAlign w:val="center"/>
          </w:tcPr>
          <w:p w14:paraId="14A072C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0.77</w:t>
            </w:r>
          </w:p>
        </w:tc>
        <w:tc>
          <w:tcPr>
            <w:tcW w:w="1070" w:type="dxa"/>
            <w:noWrap/>
            <w:vAlign w:val="center"/>
            <w:hideMark/>
          </w:tcPr>
          <w:p w14:paraId="6A5FDC4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0.47</w:t>
            </w:r>
          </w:p>
        </w:tc>
        <w:tc>
          <w:tcPr>
            <w:tcW w:w="1088" w:type="dxa"/>
            <w:vAlign w:val="center"/>
          </w:tcPr>
          <w:p w14:paraId="7A92CBDC"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0.37</w:t>
            </w:r>
          </w:p>
        </w:tc>
        <w:tc>
          <w:tcPr>
            <w:tcW w:w="992" w:type="dxa"/>
            <w:noWrap/>
            <w:vAlign w:val="center"/>
            <w:hideMark/>
          </w:tcPr>
          <w:p w14:paraId="6CA3B3F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0.69</w:t>
            </w:r>
          </w:p>
        </w:tc>
      </w:tr>
      <w:tr w:rsidR="001F4DDE" w:rsidRPr="0000409D" w14:paraId="3B65D080"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E7758A" w14:textId="77777777" w:rsidR="001F4DDE" w:rsidRPr="0000409D" w:rsidRDefault="001F4DDE" w:rsidP="001F4DDE">
            <w:pPr>
              <w:jc w:val="center"/>
              <w:rPr>
                <w:color w:val="000000"/>
                <w:sz w:val="18"/>
                <w:szCs w:val="18"/>
              </w:rPr>
            </w:pPr>
            <w:r w:rsidRPr="0000409D">
              <w:rPr>
                <w:color w:val="000000"/>
                <w:sz w:val="18"/>
                <w:szCs w:val="18"/>
              </w:rPr>
              <w:t>Sweden</w:t>
            </w:r>
          </w:p>
        </w:tc>
        <w:tc>
          <w:tcPr>
            <w:tcW w:w="961" w:type="dxa"/>
            <w:vAlign w:val="center"/>
          </w:tcPr>
          <w:p w14:paraId="2F94F07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0.75</w:t>
            </w:r>
          </w:p>
        </w:tc>
        <w:tc>
          <w:tcPr>
            <w:tcW w:w="961" w:type="dxa"/>
            <w:noWrap/>
            <w:vAlign w:val="center"/>
            <w:hideMark/>
          </w:tcPr>
          <w:p w14:paraId="7FDA146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0.49</w:t>
            </w:r>
          </w:p>
        </w:tc>
        <w:tc>
          <w:tcPr>
            <w:tcW w:w="1070" w:type="dxa"/>
            <w:vAlign w:val="center"/>
          </w:tcPr>
          <w:p w14:paraId="6C4E2B2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0.41</w:t>
            </w:r>
          </w:p>
        </w:tc>
        <w:tc>
          <w:tcPr>
            <w:tcW w:w="1070" w:type="dxa"/>
            <w:noWrap/>
            <w:vAlign w:val="center"/>
            <w:hideMark/>
          </w:tcPr>
          <w:p w14:paraId="0DD97E5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0.59</w:t>
            </w:r>
          </w:p>
        </w:tc>
        <w:tc>
          <w:tcPr>
            <w:tcW w:w="1088" w:type="dxa"/>
            <w:vAlign w:val="center"/>
          </w:tcPr>
          <w:p w14:paraId="6BCF772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0.27</w:t>
            </w:r>
          </w:p>
        </w:tc>
        <w:tc>
          <w:tcPr>
            <w:tcW w:w="992" w:type="dxa"/>
            <w:noWrap/>
            <w:vAlign w:val="center"/>
            <w:hideMark/>
          </w:tcPr>
          <w:p w14:paraId="111A5CC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0.75</w:t>
            </w:r>
          </w:p>
        </w:tc>
      </w:tr>
      <w:tr w:rsidR="001F4DDE" w:rsidRPr="0000409D" w14:paraId="77D68B19"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FC9DA9" w14:textId="77777777" w:rsidR="001F4DDE" w:rsidRPr="0000409D" w:rsidRDefault="001F4DDE" w:rsidP="001F4DDE">
            <w:pPr>
              <w:jc w:val="center"/>
              <w:rPr>
                <w:color w:val="000000"/>
                <w:sz w:val="18"/>
                <w:szCs w:val="18"/>
              </w:rPr>
            </w:pPr>
            <w:r w:rsidRPr="0000409D">
              <w:rPr>
                <w:color w:val="000000"/>
                <w:sz w:val="18"/>
                <w:szCs w:val="18"/>
              </w:rPr>
              <w:t>Switzerland</w:t>
            </w:r>
          </w:p>
        </w:tc>
        <w:tc>
          <w:tcPr>
            <w:tcW w:w="961" w:type="dxa"/>
            <w:vAlign w:val="center"/>
          </w:tcPr>
          <w:p w14:paraId="35392A1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0.43</w:t>
            </w:r>
          </w:p>
        </w:tc>
        <w:tc>
          <w:tcPr>
            <w:tcW w:w="961" w:type="dxa"/>
            <w:noWrap/>
            <w:vAlign w:val="center"/>
            <w:hideMark/>
          </w:tcPr>
          <w:p w14:paraId="6D10C26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0.63</w:t>
            </w:r>
          </w:p>
        </w:tc>
        <w:tc>
          <w:tcPr>
            <w:tcW w:w="1070" w:type="dxa"/>
            <w:vAlign w:val="center"/>
          </w:tcPr>
          <w:p w14:paraId="36FF6BB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0.78</w:t>
            </w:r>
          </w:p>
        </w:tc>
        <w:tc>
          <w:tcPr>
            <w:tcW w:w="1070" w:type="dxa"/>
            <w:noWrap/>
            <w:vAlign w:val="center"/>
            <w:hideMark/>
          </w:tcPr>
          <w:p w14:paraId="7FD369F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0.46</w:t>
            </w:r>
          </w:p>
        </w:tc>
        <w:tc>
          <w:tcPr>
            <w:tcW w:w="1088" w:type="dxa"/>
            <w:vAlign w:val="center"/>
          </w:tcPr>
          <w:p w14:paraId="6C964FC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0.49</w:t>
            </w:r>
          </w:p>
        </w:tc>
        <w:tc>
          <w:tcPr>
            <w:tcW w:w="992" w:type="dxa"/>
            <w:noWrap/>
            <w:vAlign w:val="center"/>
            <w:hideMark/>
          </w:tcPr>
          <w:p w14:paraId="5D7F4DB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0.51</w:t>
            </w:r>
          </w:p>
        </w:tc>
      </w:tr>
      <w:tr w:rsidR="001F4DDE" w:rsidRPr="0000409D" w14:paraId="4F7D69FF"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A341CD" w14:textId="77777777" w:rsidR="001F4DDE" w:rsidRPr="0000409D" w:rsidRDefault="001F4DDE" w:rsidP="001F4DDE">
            <w:pPr>
              <w:jc w:val="center"/>
              <w:rPr>
                <w:color w:val="000000"/>
                <w:sz w:val="18"/>
                <w:szCs w:val="18"/>
              </w:rPr>
            </w:pPr>
            <w:r w:rsidRPr="0000409D">
              <w:rPr>
                <w:color w:val="000000"/>
                <w:sz w:val="18"/>
                <w:szCs w:val="18"/>
              </w:rPr>
              <w:t>UK</w:t>
            </w:r>
          </w:p>
        </w:tc>
        <w:tc>
          <w:tcPr>
            <w:tcW w:w="961" w:type="dxa"/>
            <w:vAlign w:val="center"/>
          </w:tcPr>
          <w:p w14:paraId="1E20624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0.08</w:t>
            </w:r>
          </w:p>
        </w:tc>
        <w:tc>
          <w:tcPr>
            <w:tcW w:w="961" w:type="dxa"/>
            <w:noWrap/>
            <w:vAlign w:val="center"/>
            <w:hideMark/>
          </w:tcPr>
          <w:p w14:paraId="5B6689D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0.92</w:t>
            </w:r>
          </w:p>
        </w:tc>
        <w:tc>
          <w:tcPr>
            <w:tcW w:w="1070" w:type="dxa"/>
            <w:vAlign w:val="center"/>
          </w:tcPr>
          <w:p w14:paraId="07C3E83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0.35</w:t>
            </w:r>
          </w:p>
        </w:tc>
        <w:tc>
          <w:tcPr>
            <w:tcW w:w="1070" w:type="dxa"/>
            <w:noWrap/>
            <w:vAlign w:val="center"/>
            <w:hideMark/>
          </w:tcPr>
          <w:p w14:paraId="01B01BF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0.71</w:t>
            </w:r>
          </w:p>
        </w:tc>
        <w:tc>
          <w:tcPr>
            <w:tcW w:w="1088" w:type="dxa"/>
            <w:vAlign w:val="center"/>
          </w:tcPr>
          <w:p w14:paraId="5C2C822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0.19</w:t>
            </w:r>
          </w:p>
        </w:tc>
        <w:tc>
          <w:tcPr>
            <w:tcW w:w="992" w:type="dxa"/>
            <w:noWrap/>
            <w:vAlign w:val="center"/>
            <w:hideMark/>
          </w:tcPr>
          <w:p w14:paraId="328911D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0.83</w:t>
            </w:r>
          </w:p>
        </w:tc>
      </w:tr>
      <w:tr w:rsidR="001F4DDE" w:rsidRPr="0000409D" w14:paraId="37A11BEE"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9584B22" w14:textId="77777777" w:rsidR="001F4DDE" w:rsidRPr="0000409D" w:rsidRDefault="001F4DDE" w:rsidP="001F4DDE">
            <w:pPr>
              <w:jc w:val="center"/>
              <w:rPr>
                <w:i/>
                <w:color w:val="000000"/>
                <w:sz w:val="18"/>
                <w:szCs w:val="18"/>
              </w:rPr>
            </w:pPr>
            <w:r w:rsidRPr="0000409D">
              <w:rPr>
                <w:i/>
                <w:color w:val="000000"/>
                <w:sz w:val="18"/>
                <w:szCs w:val="18"/>
              </w:rPr>
              <w:t>Emerging Markets</w:t>
            </w:r>
          </w:p>
        </w:tc>
        <w:tc>
          <w:tcPr>
            <w:tcW w:w="961" w:type="dxa"/>
            <w:vAlign w:val="center"/>
          </w:tcPr>
          <w:p w14:paraId="6B47159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61" w:type="dxa"/>
            <w:noWrap/>
            <w:vAlign w:val="center"/>
          </w:tcPr>
          <w:p w14:paraId="2115261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070" w:type="dxa"/>
            <w:vAlign w:val="center"/>
          </w:tcPr>
          <w:p w14:paraId="436221B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070" w:type="dxa"/>
            <w:noWrap/>
            <w:vAlign w:val="center"/>
          </w:tcPr>
          <w:p w14:paraId="26B4EEA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088" w:type="dxa"/>
            <w:vAlign w:val="center"/>
          </w:tcPr>
          <w:p w14:paraId="06356AB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92" w:type="dxa"/>
            <w:noWrap/>
            <w:vAlign w:val="center"/>
          </w:tcPr>
          <w:p w14:paraId="4A4AEE3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00409D" w14:paraId="4EBBB8CB"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B94789" w14:textId="77777777" w:rsidR="001F4DDE" w:rsidRPr="0000409D" w:rsidRDefault="001F4DDE" w:rsidP="001F4DDE">
            <w:pPr>
              <w:jc w:val="center"/>
              <w:rPr>
                <w:color w:val="000000"/>
                <w:sz w:val="18"/>
                <w:szCs w:val="18"/>
              </w:rPr>
            </w:pPr>
            <w:r w:rsidRPr="0000409D">
              <w:rPr>
                <w:color w:val="000000"/>
                <w:sz w:val="18"/>
                <w:szCs w:val="18"/>
              </w:rPr>
              <w:t>Brazil</w:t>
            </w:r>
          </w:p>
        </w:tc>
        <w:tc>
          <w:tcPr>
            <w:tcW w:w="961" w:type="dxa"/>
            <w:vAlign w:val="center"/>
          </w:tcPr>
          <w:p w14:paraId="70FA36F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0.40</w:t>
            </w:r>
          </w:p>
        </w:tc>
        <w:tc>
          <w:tcPr>
            <w:tcW w:w="961" w:type="dxa"/>
            <w:noWrap/>
            <w:vAlign w:val="center"/>
            <w:hideMark/>
          </w:tcPr>
          <w:p w14:paraId="4A1ADC7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0.66</w:t>
            </w:r>
          </w:p>
        </w:tc>
        <w:tc>
          <w:tcPr>
            <w:tcW w:w="1070" w:type="dxa"/>
            <w:vAlign w:val="center"/>
          </w:tcPr>
          <w:p w14:paraId="0389D44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0.43</w:t>
            </w:r>
          </w:p>
        </w:tc>
        <w:tc>
          <w:tcPr>
            <w:tcW w:w="1070" w:type="dxa"/>
            <w:noWrap/>
            <w:vAlign w:val="center"/>
            <w:hideMark/>
          </w:tcPr>
          <w:p w14:paraId="59A136A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0.57</w:t>
            </w:r>
          </w:p>
        </w:tc>
        <w:tc>
          <w:tcPr>
            <w:tcW w:w="1088" w:type="dxa"/>
            <w:vAlign w:val="center"/>
          </w:tcPr>
          <w:p w14:paraId="18B996F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0.10</w:t>
            </w:r>
          </w:p>
        </w:tc>
        <w:tc>
          <w:tcPr>
            <w:tcW w:w="992" w:type="dxa"/>
            <w:noWrap/>
            <w:vAlign w:val="center"/>
            <w:hideMark/>
          </w:tcPr>
          <w:p w14:paraId="22E1E28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w:t>
            </w:r>
          </w:p>
        </w:tc>
      </w:tr>
      <w:tr w:rsidR="001F4DDE" w:rsidRPr="0000409D" w14:paraId="68A11F1F"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AD3198" w14:textId="77777777" w:rsidR="001F4DDE" w:rsidRPr="0000409D" w:rsidRDefault="001F4DDE" w:rsidP="001F4DDE">
            <w:pPr>
              <w:jc w:val="center"/>
              <w:rPr>
                <w:color w:val="000000"/>
                <w:sz w:val="18"/>
                <w:szCs w:val="18"/>
              </w:rPr>
            </w:pPr>
            <w:r w:rsidRPr="0000409D">
              <w:rPr>
                <w:color w:val="000000"/>
                <w:sz w:val="18"/>
                <w:szCs w:val="18"/>
              </w:rPr>
              <w:t>Chile</w:t>
            </w:r>
          </w:p>
        </w:tc>
        <w:tc>
          <w:tcPr>
            <w:tcW w:w="961" w:type="dxa"/>
            <w:vAlign w:val="center"/>
          </w:tcPr>
          <w:p w14:paraId="195452A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0.77</w:t>
            </w:r>
          </w:p>
        </w:tc>
        <w:tc>
          <w:tcPr>
            <w:tcW w:w="961" w:type="dxa"/>
            <w:noWrap/>
            <w:vAlign w:val="center"/>
            <w:hideMark/>
          </w:tcPr>
          <w:p w14:paraId="52F2F67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0.47</w:t>
            </w:r>
          </w:p>
        </w:tc>
        <w:tc>
          <w:tcPr>
            <w:tcW w:w="1070" w:type="dxa"/>
            <w:vAlign w:val="center"/>
          </w:tcPr>
          <w:p w14:paraId="4DE5A5A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0.51</w:t>
            </w:r>
          </w:p>
        </w:tc>
        <w:tc>
          <w:tcPr>
            <w:tcW w:w="1070" w:type="dxa"/>
            <w:noWrap/>
            <w:vAlign w:val="center"/>
            <w:hideMark/>
          </w:tcPr>
          <w:p w14:paraId="7E116FA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0.39</w:t>
            </w:r>
          </w:p>
        </w:tc>
        <w:tc>
          <w:tcPr>
            <w:tcW w:w="1088" w:type="dxa"/>
            <w:vAlign w:val="center"/>
          </w:tcPr>
          <w:p w14:paraId="7DF648E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0.22</w:t>
            </w:r>
          </w:p>
        </w:tc>
        <w:tc>
          <w:tcPr>
            <w:tcW w:w="992" w:type="dxa"/>
            <w:noWrap/>
            <w:vAlign w:val="center"/>
            <w:hideMark/>
          </w:tcPr>
          <w:p w14:paraId="6C57353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w:t>
            </w:r>
          </w:p>
        </w:tc>
      </w:tr>
      <w:tr w:rsidR="001F4DDE" w:rsidRPr="0000409D" w14:paraId="37B3ED7F"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833E59F" w14:textId="77777777" w:rsidR="001F4DDE" w:rsidRPr="0000409D" w:rsidRDefault="001F4DDE" w:rsidP="001F4DDE">
            <w:pPr>
              <w:jc w:val="center"/>
              <w:rPr>
                <w:color w:val="000000"/>
                <w:sz w:val="18"/>
                <w:szCs w:val="18"/>
              </w:rPr>
            </w:pPr>
            <w:r w:rsidRPr="0000409D">
              <w:rPr>
                <w:color w:val="000000"/>
                <w:sz w:val="18"/>
                <w:szCs w:val="18"/>
              </w:rPr>
              <w:t>China</w:t>
            </w:r>
          </w:p>
        </w:tc>
        <w:tc>
          <w:tcPr>
            <w:tcW w:w="961" w:type="dxa"/>
            <w:vAlign w:val="center"/>
          </w:tcPr>
          <w:p w14:paraId="49FCB3D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0.01</w:t>
            </w:r>
          </w:p>
        </w:tc>
        <w:tc>
          <w:tcPr>
            <w:tcW w:w="961" w:type="dxa"/>
            <w:noWrap/>
            <w:vAlign w:val="center"/>
            <w:hideMark/>
          </w:tcPr>
          <w:p w14:paraId="7E8B357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c>
          <w:tcPr>
            <w:tcW w:w="1070" w:type="dxa"/>
            <w:vAlign w:val="center"/>
          </w:tcPr>
          <w:p w14:paraId="3D8ED63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0.02</w:t>
            </w:r>
          </w:p>
        </w:tc>
        <w:tc>
          <w:tcPr>
            <w:tcW w:w="1070" w:type="dxa"/>
            <w:noWrap/>
            <w:vAlign w:val="center"/>
            <w:hideMark/>
          </w:tcPr>
          <w:p w14:paraId="2BBD00F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88" w:type="dxa"/>
            <w:vAlign w:val="center"/>
          </w:tcPr>
          <w:p w14:paraId="0CDB607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0.01</w:t>
            </w:r>
          </w:p>
        </w:tc>
        <w:tc>
          <w:tcPr>
            <w:tcW w:w="992" w:type="dxa"/>
            <w:noWrap/>
            <w:vAlign w:val="center"/>
            <w:hideMark/>
          </w:tcPr>
          <w:p w14:paraId="5710B9C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r>
      <w:tr w:rsidR="001F4DDE" w:rsidRPr="0000409D" w14:paraId="52D22773"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CAAF1B0" w14:textId="77777777" w:rsidR="001F4DDE" w:rsidRPr="0000409D" w:rsidRDefault="001F4DDE" w:rsidP="001F4DDE">
            <w:pPr>
              <w:jc w:val="center"/>
              <w:rPr>
                <w:color w:val="000000"/>
                <w:sz w:val="18"/>
                <w:szCs w:val="18"/>
              </w:rPr>
            </w:pPr>
            <w:r w:rsidRPr="0000409D">
              <w:rPr>
                <w:color w:val="000000"/>
                <w:sz w:val="18"/>
                <w:szCs w:val="18"/>
              </w:rPr>
              <w:t>Colombia</w:t>
            </w:r>
          </w:p>
        </w:tc>
        <w:tc>
          <w:tcPr>
            <w:tcW w:w="961" w:type="dxa"/>
            <w:vAlign w:val="center"/>
          </w:tcPr>
          <w:p w14:paraId="1506AA8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2.48</w:t>
            </w:r>
          </w:p>
        </w:tc>
        <w:tc>
          <w:tcPr>
            <w:tcW w:w="961" w:type="dxa"/>
            <w:noWrap/>
            <w:vAlign w:val="center"/>
            <w:hideMark/>
          </w:tcPr>
          <w:p w14:paraId="3BC8E2B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0.09</w:t>
            </w:r>
          </w:p>
        </w:tc>
        <w:tc>
          <w:tcPr>
            <w:tcW w:w="1070" w:type="dxa"/>
            <w:vAlign w:val="center"/>
          </w:tcPr>
          <w:p w14:paraId="24AE995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2.50</w:t>
            </w:r>
          </w:p>
        </w:tc>
        <w:tc>
          <w:tcPr>
            <w:tcW w:w="1070" w:type="dxa"/>
            <w:noWrap/>
            <w:vAlign w:val="center"/>
            <w:hideMark/>
          </w:tcPr>
          <w:p w14:paraId="593D790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0.08</w:t>
            </w:r>
          </w:p>
        </w:tc>
        <w:tc>
          <w:tcPr>
            <w:tcW w:w="1088" w:type="dxa"/>
            <w:vAlign w:val="center"/>
          </w:tcPr>
          <w:p w14:paraId="26597E0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1.97</w:t>
            </w:r>
          </w:p>
        </w:tc>
        <w:tc>
          <w:tcPr>
            <w:tcW w:w="992" w:type="dxa"/>
            <w:noWrap/>
            <w:vAlign w:val="center"/>
            <w:hideMark/>
          </w:tcPr>
          <w:p w14:paraId="5245978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0.14</w:t>
            </w:r>
          </w:p>
        </w:tc>
      </w:tr>
      <w:tr w:rsidR="001F4DDE" w:rsidRPr="0000409D" w14:paraId="1E3D8642"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403CB8" w14:textId="77777777" w:rsidR="001F4DDE" w:rsidRPr="0000409D" w:rsidRDefault="001F4DDE" w:rsidP="001F4DDE">
            <w:pPr>
              <w:jc w:val="center"/>
              <w:rPr>
                <w:color w:val="000000"/>
                <w:sz w:val="18"/>
                <w:szCs w:val="18"/>
              </w:rPr>
            </w:pPr>
            <w:r w:rsidRPr="0000409D">
              <w:rPr>
                <w:color w:val="000000"/>
                <w:sz w:val="18"/>
                <w:szCs w:val="18"/>
              </w:rPr>
              <w:t>India</w:t>
            </w:r>
          </w:p>
        </w:tc>
        <w:tc>
          <w:tcPr>
            <w:tcW w:w="961" w:type="dxa"/>
            <w:vAlign w:val="center"/>
          </w:tcPr>
          <w:p w14:paraId="326645CC"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0.44</w:t>
            </w:r>
          </w:p>
        </w:tc>
        <w:tc>
          <w:tcPr>
            <w:tcW w:w="961" w:type="dxa"/>
            <w:noWrap/>
            <w:vAlign w:val="center"/>
            <w:hideMark/>
          </w:tcPr>
          <w:p w14:paraId="18906C9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0.56</w:t>
            </w:r>
          </w:p>
        </w:tc>
        <w:tc>
          <w:tcPr>
            <w:tcW w:w="1070" w:type="dxa"/>
            <w:vAlign w:val="center"/>
          </w:tcPr>
          <w:p w14:paraId="77A3A42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0.47</w:t>
            </w:r>
          </w:p>
        </w:tc>
        <w:tc>
          <w:tcPr>
            <w:tcW w:w="1070" w:type="dxa"/>
            <w:noWrap/>
            <w:vAlign w:val="center"/>
            <w:hideMark/>
          </w:tcPr>
          <w:p w14:paraId="5BDCE28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0.53</w:t>
            </w:r>
          </w:p>
        </w:tc>
        <w:tc>
          <w:tcPr>
            <w:tcW w:w="1088" w:type="dxa"/>
            <w:vAlign w:val="center"/>
          </w:tcPr>
          <w:p w14:paraId="43EA383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0.38</w:t>
            </w:r>
          </w:p>
        </w:tc>
        <w:tc>
          <w:tcPr>
            <w:tcW w:w="992" w:type="dxa"/>
            <w:noWrap/>
            <w:vAlign w:val="center"/>
            <w:hideMark/>
          </w:tcPr>
          <w:p w14:paraId="0B7B8F8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0.68</w:t>
            </w:r>
          </w:p>
        </w:tc>
      </w:tr>
      <w:tr w:rsidR="001F4DDE" w:rsidRPr="0000409D" w14:paraId="4EBF2A0D"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545A82" w14:textId="77777777" w:rsidR="001F4DDE" w:rsidRPr="0000409D" w:rsidRDefault="001F4DDE" w:rsidP="001F4DDE">
            <w:pPr>
              <w:jc w:val="center"/>
              <w:rPr>
                <w:color w:val="000000"/>
                <w:sz w:val="18"/>
                <w:szCs w:val="18"/>
              </w:rPr>
            </w:pPr>
            <w:r w:rsidRPr="0000409D">
              <w:rPr>
                <w:color w:val="000000"/>
                <w:sz w:val="18"/>
                <w:szCs w:val="18"/>
              </w:rPr>
              <w:t>Indonesia</w:t>
            </w:r>
          </w:p>
        </w:tc>
        <w:tc>
          <w:tcPr>
            <w:tcW w:w="961" w:type="dxa"/>
            <w:vAlign w:val="center"/>
          </w:tcPr>
          <w:p w14:paraId="7421007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0.03</w:t>
            </w:r>
          </w:p>
        </w:tc>
        <w:tc>
          <w:tcPr>
            <w:tcW w:w="961" w:type="dxa"/>
            <w:noWrap/>
            <w:vAlign w:val="center"/>
            <w:hideMark/>
          </w:tcPr>
          <w:p w14:paraId="311BF43B"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0.97</w:t>
            </w:r>
          </w:p>
        </w:tc>
        <w:tc>
          <w:tcPr>
            <w:tcW w:w="1070" w:type="dxa"/>
            <w:vAlign w:val="center"/>
          </w:tcPr>
          <w:p w14:paraId="18753FF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0.01</w:t>
            </w:r>
          </w:p>
        </w:tc>
        <w:tc>
          <w:tcPr>
            <w:tcW w:w="1070" w:type="dxa"/>
            <w:noWrap/>
            <w:vAlign w:val="center"/>
            <w:hideMark/>
          </w:tcPr>
          <w:p w14:paraId="6524D4D4"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c>
          <w:tcPr>
            <w:tcW w:w="1088" w:type="dxa"/>
            <w:vAlign w:val="center"/>
          </w:tcPr>
          <w:p w14:paraId="5105B5E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0.02</w:t>
            </w:r>
          </w:p>
        </w:tc>
        <w:tc>
          <w:tcPr>
            <w:tcW w:w="992" w:type="dxa"/>
            <w:noWrap/>
            <w:vAlign w:val="center"/>
            <w:hideMark/>
          </w:tcPr>
          <w:p w14:paraId="631F9C6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r>
      <w:tr w:rsidR="001F4DDE" w:rsidRPr="0000409D" w14:paraId="15834739"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BD1562" w14:textId="77777777" w:rsidR="001F4DDE" w:rsidRPr="0000409D" w:rsidRDefault="001F4DDE" w:rsidP="001F4DDE">
            <w:pPr>
              <w:jc w:val="center"/>
              <w:rPr>
                <w:color w:val="000000"/>
                <w:sz w:val="18"/>
                <w:szCs w:val="18"/>
              </w:rPr>
            </w:pPr>
            <w:r w:rsidRPr="0000409D">
              <w:rPr>
                <w:color w:val="000000"/>
                <w:sz w:val="18"/>
                <w:szCs w:val="18"/>
              </w:rPr>
              <w:t>Korea</w:t>
            </w:r>
          </w:p>
        </w:tc>
        <w:tc>
          <w:tcPr>
            <w:tcW w:w="961" w:type="dxa"/>
            <w:vAlign w:val="center"/>
          </w:tcPr>
          <w:p w14:paraId="6EEA103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0.07</w:t>
            </w:r>
          </w:p>
        </w:tc>
        <w:tc>
          <w:tcPr>
            <w:tcW w:w="961" w:type="dxa"/>
            <w:noWrap/>
            <w:vAlign w:val="center"/>
            <w:hideMark/>
          </w:tcPr>
          <w:p w14:paraId="247CEFF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0.93</w:t>
            </w:r>
          </w:p>
        </w:tc>
        <w:tc>
          <w:tcPr>
            <w:tcW w:w="1070" w:type="dxa"/>
            <w:vAlign w:val="center"/>
          </w:tcPr>
          <w:p w14:paraId="680F86D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0.11</w:t>
            </w:r>
          </w:p>
        </w:tc>
        <w:tc>
          <w:tcPr>
            <w:tcW w:w="1070" w:type="dxa"/>
            <w:noWrap/>
            <w:vAlign w:val="center"/>
            <w:hideMark/>
          </w:tcPr>
          <w:p w14:paraId="36B5B0D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0.89</w:t>
            </w:r>
          </w:p>
        </w:tc>
        <w:tc>
          <w:tcPr>
            <w:tcW w:w="1088" w:type="dxa"/>
            <w:vAlign w:val="center"/>
          </w:tcPr>
          <w:p w14:paraId="734DF8C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0.10</w:t>
            </w:r>
          </w:p>
        </w:tc>
        <w:tc>
          <w:tcPr>
            <w:tcW w:w="992" w:type="dxa"/>
            <w:noWrap/>
            <w:vAlign w:val="center"/>
            <w:hideMark/>
          </w:tcPr>
          <w:p w14:paraId="114EC25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w:t>
            </w:r>
          </w:p>
        </w:tc>
      </w:tr>
      <w:tr w:rsidR="001F4DDE" w:rsidRPr="0000409D" w14:paraId="2E24DAA5"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501C96" w14:textId="77777777" w:rsidR="001F4DDE" w:rsidRPr="0000409D" w:rsidRDefault="001F4DDE" w:rsidP="001F4DDE">
            <w:pPr>
              <w:jc w:val="center"/>
              <w:rPr>
                <w:color w:val="000000"/>
                <w:sz w:val="18"/>
                <w:szCs w:val="18"/>
              </w:rPr>
            </w:pPr>
            <w:r w:rsidRPr="0000409D">
              <w:rPr>
                <w:color w:val="000000"/>
                <w:sz w:val="18"/>
                <w:szCs w:val="18"/>
              </w:rPr>
              <w:t>Malaysia</w:t>
            </w:r>
          </w:p>
        </w:tc>
        <w:tc>
          <w:tcPr>
            <w:tcW w:w="961" w:type="dxa"/>
            <w:vAlign w:val="center"/>
          </w:tcPr>
          <w:p w14:paraId="6465A04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0.04</w:t>
            </w:r>
          </w:p>
        </w:tc>
        <w:tc>
          <w:tcPr>
            <w:tcW w:w="961" w:type="dxa"/>
            <w:noWrap/>
            <w:vAlign w:val="center"/>
            <w:hideMark/>
          </w:tcPr>
          <w:p w14:paraId="29C1977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0.96</w:t>
            </w:r>
          </w:p>
        </w:tc>
        <w:tc>
          <w:tcPr>
            <w:tcW w:w="1070" w:type="dxa"/>
            <w:vAlign w:val="center"/>
          </w:tcPr>
          <w:p w14:paraId="02DC460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0.02</w:t>
            </w:r>
          </w:p>
        </w:tc>
        <w:tc>
          <w:tcPr>
            <w:tcW w:w="1070" w:type="dxa"/>
            <w:noWrap/>
            <w:vAlign w:val="center"/>
            <w:hideMark/>
          </w:tcPr>
          <w:p w14:paraId="57779BA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88" w:type="dxa"/>
            <w:vAlign w:val="center"/>
          </w:tcPr>
          <w:p w14:paraId="229AAA4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0.15</w:t>
            </w:r>
          </w:p>
        </w:tc>
        <w:tc>
          <w:tcPr>
            <w:tcW w:w="992" w:type="dxa"/>
            <w:noWrap/>
            <w:vAlign w:val="center"/>
            <w:hideMark/>
          </w:tcPr>
          <w:p w14:paraId="22839CD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0.87</w:t>
            </w:r>
          </w:p>
        </w:tc>
      </w:tr>
      <w:tr w:rsidR="001F4DDE" w:rsidRPr="0000409D" w14:paraId="3D883630"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6E4AD0E" w14:textId="77777777" w:rsidR="001F4DDE" w:rsidRPr="0000409D" w:rsidRDefault="001F4DDE" w:rsidP="001F4DDE">
            <w:pPr>
              <w:jc w:val="center"/>
              <w:rPr>
                <w:color w:val="000000"/>
                <w:sz w:val="18"/>
                <w:szCs w:val="18"/>
              </w:rPr>
            </w:pPr>
            <w:r w:rsidRPr="0000409D">
              <w:rPr>
                <w:color w:val="000000"/>
                <w:sz w:val="18"/>
                <w:szCs w:val="18"/>
              </w:rPr>
              <w:t>Mexico</w:t>
            </w:r>
          </w:p>
        </w:tc>
        <w:tc>
          <w:tcPr>
            <w:tcW w:w="961" w:type="dxa"/>
            <w:vAlign w:val="center"/>
          </w:tcPr>
          <w:p w14:paraId="1DCFC60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0.53</w:t>
            </w:r>
          </w:p>
        </w:tc>
        <w:tc>
          <w:tcPr>
            <w:tcW w:w="961" w:type="dxa"/>
            <w:noWrap/>
            <w:vAlign w:val="center"/>
            <w:hideMark/>
          </w:tcPr>
          <w:p w14:paraId="46EBFEFC"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0.36</w:t>
            </w:r>
          </w:p>
        </w:tc>
        <w:tc>
          <w:tcPr>
            <w:tcW w:w="1070" w:type="dxa"/>
            <w:vAlign w:val="center"/>
          </w:tcPr>
          <w:p w14:paraId="66A1F59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0.51</w:t>
            </w:r>
          </w:p>
        </w:tc>
        <w:tc>
          <w:tcPr>
            <w:tcW w:w="1070" w:type="dxa"/>
            <w:noWrap/>
            <w:vAlign w:val="center"/>
            <w:hideMark/>
          </w:tcPr>
          <w:p w14:paraId="6E579F3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0.39</w:t>
            </w:r>
          </w:p>
        </w:tc>
        <w:tc>
          <w:tcPr>
            <w:tcW w:w="1088" w:type="dxa"/>
            <w:vAlign w:val="center"/>
          </w:tcPr>
          <w:p w14:paraId="3283B00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0.47</w:t>
            </w:r>
          </w:p>
        </w:tc>
        <w:tc>
          <w:tcPr>
            <w:tcW w:w="992" w:type="dxa"/>
            <w:noWrap/>
            <w:vAlign w:val="center"/>
            <w:hideMark/>
          </w:tcPr>
          <w:p w14:paraId="010525C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0.53</w:t>
            </w:r>
          </w:p>
        </w:tc>
      </w:tr>
      <w:tr w:rsidR="001F4DDE" w:rsidRPr="0000409D" w14:paraId="67FCB218"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93ADED" w14:textId="77777777" w:rsidR="001F4DDE" w:rsidRPr="0000409D" w:rsidRDefault="001F4DDE" w:rsidP="001F4DDE">
            <w:pPr>
              <w:jc w:val="center"/>
              <w:rPr>
                <w:color w:val="000000"/>
                <w:sz w:val="18"/>
                <w:szCs w:val="18"/>
              </w:rPr>
            </w:pPr>
            <w:r w:rsidRPr="0000409D">
              <w:rPr>
                <w:color w:val="000000"/>
                <w:sz w:val="18"/>
                <w:szCs w:val="18"/>
              </w:rPr>
              <w:t>Philippines</w:t>
            </w:r>
          </w:p>
        </w:tc>
        <w:tc>
          <w:tcPr>
            <w:tcW w:w="961" w:type="dxa"/>
            <w:vAlign w:val="center"/>
          </w:tcPr>
          <w:p w14:paraId="15841DE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0.09</w:t>
            </w:r>
          </w:p>
        </w:tc>
        <w:tc>
          <w:tcPr>
            <w:tcW w:w="961" w:type="dxa"/>
            <w:noWrap/>
            <w:vAlign w:val="center"/>
            <w:hideMark/>
          </w:tcPr>
          <w:p w14:paraId="087C520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0.91</w:t>
            </w:r>
          </w:p>
        </w:tc>
        <w:tc>
          <w:tcPr>
            <w:tcW w:w="1070" w:type="dxa"/>
            <w:vAlign w:val="center"/>
          </w:tcPr>
          <w:p w14:paraId="2464B7D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0.14</w:t>
            </w:r>
          </w:p>
        </w:tc>
        <w:tc>
          <w:tcPr>
            <w:tcW w:w="1070" w:type="dxa"/>
            <w:noWrap/>
            <w:vAlign w:val="center"/>
            <w:hideMark/>
          </w:tcPr>
          <w:p w14:paraId="46ED2A9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0.86</w:t>
            </w:r>
          </w:p>
        </w:tc>
        <w:tc>
          <w:tcPr>
            <w:tcW w:w="1088" w:type="dxa"/>
            <w:vAlign w:val="center"/>
          </w:tcPr>
          <w:p w14:paraId="1386BB6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0.18</w:t>
            </w:r>
          </w:p>
        </w:tc>
        <w:tc>
          <w:tcPr>
            <w:tcW w:w="992" w:type="dxa"/>
            <w:noWrap/>
            <w:vAlign w:val="center"/>
            <w:hideMark/>
          </w:tcPr>
          <w:p w14:paraId="32CFC67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0.84</w:t>
            </w:r>
          </w:p>
        </w:tc>
      </w:tr>
      <w:tr w:rsidR="001F4DDE" w:rsidRPr="0000409D" w14:paraId="2854B6C1"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44922C6" w14:textId="77777777" w:rsidR="001F4DDE" w:rsidRPr="0000409D" w:rsidRDefault="001F4DDE" w:rsidP="001F4DDE">
            <w:pPr>
              <w:jc w:val="center"/>
              <w:rPr>
                <w:color w:val="000000"/>
                <w:sz w:val="18"/>
                <w:szCs w:val="18"/>
              </w:rPr>
            </w:pPr>
            <w:r w:rsidRPr="0000409D">
              <w:rPr>
                <w:color w:val="000000"/>
                <w:sz w:val="18"/>
                <w:szCs w:val="18"/>
              </w:rPr>
              <w:t>Russia</w:t>
            </w:r>
          </w:p>
        </w:tc>
        <w:tc>
          <w:tcPr>
            <w:tcW w:w="961" w:type="dxa"/>
            <w:vAlign w:val="center"/>
          </w:tcPr>
          <w:p w14:paraId="64C800E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0.01</w:t>
            </w:r>
          </w:p>
        </w:tc>
        <w:tc>
          <w:tcPr>
            <w:tcW w:w="961" w:type="dxa"/>
            <w:noWrap/>
            <w:vAlign w:val="center"/>
            <w:hideMark/>
          </w:tcPr>
          <w:p w14:paraId="67D6E113"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c>
          <w:tcPr>
            <w:tcW w:w="1070" w:type="dxa"/>
            <w:vAlign w:val="center"/>
          </w:tcPr>
          <w:p w14:paraId="3985833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0.01</w:t>
            </w:r>
          </w:p>
        </w:tc>
        <w:tc>
          <w:tcPr>
            <w:tcW w:w="1070" w:type="dxa"/>
            <w:noWrap/>
            <w:vAlign w:val="center"/>
            <w:hideMark/>
          </w:tcPr>
          <w:p w14:paraId="5207FC1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c>
          <w:tcPr>
            <w:tcW w:w="1088" w:type="dxa"/>
            <w:vAlign w:val="center"/>
          </w:tcPr>
          <w:p w14:paraId="175E1AA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0.01</w:t>
            </w:r>
          </w:p>
        </w:tc>
        <w:tc>
          <w:tcPr>
            <w:tcW w:w="992" w:type="dxa"/>
            <w:noWrap/>
            <w:vAlign w:val="center"/>
            <w:hideMark/>
          </w:tcPr>
          <w:p w14:paraId="10304F0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r>
      <w:tr w:rsidR="001F4DDE" w:rsidRPr="0000409D" w14:paraId="2BFBCBCF"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F3E394" w14:textId="77777777" w:rsidR="001F4DDE" w:rsidRPr="0000409D" w:rsidRDefault="001F4DDE" w:rsidP="001F4DDE">
            <w:pPr>
              <w:jc w:val="center"/>
              <w:rPr>
                <w:color w:val="000000"/>
                <w:sz w:val="18"/>
                <w:szCs w:val="18"/>
              </w:rPr>
            </w:pPr>
            <w:r w:rsidRPr="0000409D">
              <w:rPr>
                <w:color w:val="000000"/>
                <w:sz w:val="18"/>
                <w:szCs w:val="18"/>
              </w:rPr>
              <w:t>South Africa</w:t>
            </w:r>
          </w:p>
        </w:tc>
        <w:tc>
          <w:tcPr>
            <w:tcW w:w="961" w:type="dxa"/>
            <w:vAlign w:val="center"/>
          </w:tcPr>
          <w:p w14:paraId="2B6E79F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0.09</w:t>
            </w:r>
          </w:p>
        </w:tc>
        <w:tc>
          <w:tcPr>
            <w:tcW w:w="961" w:type="dxa"/>
            <w:noWrap/>
            <w:vAlign w:val="center"/>
            <w:hideMark/>
          </w:tcPr>
          <w:p w14:paraId="48499A0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0.91</w:t>
            </w:r>
          </w:p>
        </w:tc>
        <w:tc>
          <w:tcPr>
            <w:tcW w:w="1070" w:type="dxa"/>
            <w:vAlign w:val="center"/>
          </w:tcPr>
          <w:p w14:paraId="4AA5BE5A"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0.26</w:t>
            </w:r>
          </w:p>
        </w:tc>
        <w:tc>
          <w:tcPr>
            <w:tcW w:w="1070" w:type="dxa"/>
            <w:noWrap/>
            <w:vAlign w:val="center"/>
            <w:hideMark/>
          </w:tcPr>
          <w:p w14:paraId="5384600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0.76</w:t>
            </w:r>
          </w:p>
        </w:tc>
        <w:tc>
          <w:tcPr>
            <w:tcW w:w="1088" w:type="dxa"/>
            <w:vAlign w:val="center"/>
          </w:tcPr>
          <w:p w14:paraId="1865DF5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0.21</w:t>
            </w:r>
          </w:p>
        </w:tc>
        <w:tc>
          <w:tcPr>
            <w:tcW w:w="992" w:type="dxa"/>
            <w:noWrap/>
            <w:vAlign w:val="center"/>
            <w:hideMark/>
          </w:tcPr>
          <w:p w14:paraId="1736CA4E"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0.81</w:t>
            </w:r>
          </w:p>
        </w:tc>
      </w:tr>
      <w:tr w:rsidR="001F4DDE" w:rsidRPr="0000409D" w14:paraId="6107BEF8"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C683E3" w14:textId="77777777" w:rsidR="001F4DDE" w:rsidRPr="0000409D" w:rsidRDefault="001F4DDE" w:rsidP="001F4DDE">
            <w:pPr>
              <w:jc w:val="center"/>
              <w:rPr>
                <w:color w:val="000000"/>
                <w:sz w:val="18"/>
                <w:szCs w:val="18"/>
              </w:rPr>
            </w:pPr>
            <w:r w:rsidRPr="0000409D">
              <w:rPr>
                <w:color w:val="000000"/>
                <w:sz w:val="18"/>
                <w:szCs w:val="18"/>
              </w:rPr>
              <w:t>Taiwan</w:t>
            </w:r>
          </w:p>
        </w:tc>
        <w:tc>
          <w:tcPr>
            <w:tcW w:w="961" w:type="dxa"/>
            <w:vAlign w:val="center"/>
          </w:tcPr>
          <w:p w14:paraId="5BBE847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0.02</w:t>
            </w:r>
          </w:p>
        </w:tc>
        <w:tc>
          <w:tcPr>
            <w:tcW w:w="961" w:type="dxa"/>
            <w:noWrap/>
            <w:vAlign w:val="center"/>
            <w:hideMark/>
          </w:tcPr>
          <w:p w14:paraId="36EBA8F6"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70" w:type="dxa"/>
            <w:vAlign w:val="center"/>
          </w:tcPr>
          <w:p w14:paraId="09BDAAE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0.07</w:t>
            </w:r>
          </w:p>
        </w:tc>
        <w:tc>
          <w:tcPr>
            <w:tcW w:w="1070" w:type="dxa"/>
            <w:noWrap/>
            <w:vAlign w:val="center"/>
            <w:hideMark/>
          </w:tcPr>
          <w:p w14:paraId="4C5228F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0.93</w:t>
            </w:r>
          </w:p>
        </w:tc>
        <w:tc>
          <w:tcPr>
            <w:tcW w:w="1088" w:type="dxa"/>
            <w:vAlign w:val="center"/>
          </w:tcPr>
          <w:p w14:paraId="06FAB61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0.12</w:t>
            </w:r>
          </w:p>
        </w:tc>
        <w:tc>
          <w:tcPr>
            <w:tcW w:w="992" w:type="dxa"/>
            <w:noWrap/>
            <w:vAlign w:val="center"/>
            <w:hideMark/>
          </w:tcPr>
          <w:p w14:paraId="5B2978AF"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0.88</w:t>
            </w:r>
          </w:p>
        </w:tc>
      </w:tr>
      <w:tr w:rsidR="001F4DDE" w:rsidRPr="0000409D" w14:paraId="68DA465C"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36116E" w14:textId="77777777" w:rsidR="001F4DDE" w:rsidRPr="0000409D" w:rsidRDefault="001F4DDE" w:rsidP="001F4DDE">
            <w:pPr>
              <w:jc w:val="center"/>
              <w:rPr>
                <w:color w:val="000000"/>
                <w:sz w:val="18"/>
                <w:szCs w:val="18"/>
              </w:rPr>
            </w:pPr>
            <w:r w:rsidRPr="0000409D">
              <w:rPr>
                <w:color w:val="000000"/>
                <w:sz w:val="18"/>
                <w:szCs w:val="18"/>
              </w:rPr>
              <w:t>Thailand</w:t>
            </w:r>
          </w:p>
        </w:tc>
        <w:tc>
          <w:tcPr>
            <w:tcW w:w="961" w:type="dxa"/>
            <w:vAlign w:val="center"/>
          </w:tcPr>
          <w:p w14:paraId="12475A91"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0.02</w:t>
            </w:r>
          </w:p>
        </w:tc>
        <w:tc>
          <w:tcPr>
            <w:tcW w:w="961" w:type="dxa"/>
            <w:noWrap/>
            <w:vAlign w:val="center"/>
            <w:hideMark/>
          </w:tcPr>
          <w:p w14:paraId="566A2998"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0.98</w:t>
            </w:r>
          </w:p>
        </w:tc>
        <w:tc>
          <w:tcPr>
            <w:tcW w:w="1070" w:type="dxa"/>
            <w:vAlign w:val="center"/>
          </w:tcPr>
          <w:p w14:paraId="41CA850C"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0.01</w:t>
            </w:r>
          </w:p>
        </w:tc>
        <w:tc>
          <w:tcPr>
            <w:tcW w:w="1070" w:type="dxa"/>
            <w:noWrap/>
            <w:vAlign w:val="center"/>
            <w:hideMark/>
          </w:tcPr>
          <w:p w14:paraId="115EF0D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0.99</w:t>
            </w:r>
          </w:p>
        </w:tc>
        <w:tc>
          <w:tcPr>
            <w:tcW w:w="1088" w:type="dxa"/>
            <w:vAlign w:val="center"/>
          </w:tcPr>
          <w:p w14:paraId="0249DC32"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00409D">
              <w:rPr>
                <w:bCs/>
                <w:color w:val="000000"/>
                <w:sz w:val="18"/>
                <w:szCs w:val="18"/>
              </w:rPr>
              <w:t>0.03</w:t>
            </w:r>
          </w:p>
        </w:tc>
        <w:tc>
          <w:tcPr>
            <w:tcW w:w="992" w:type="dxa"/>
            <w:noWrap/>
            <w:vAlign w:val="center"/>
            <w:hideMark/>
          </w:tcPr>
          <w:p w14:paraId="6691223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0.97</w:t>
            </w:r>
          </w:p>
        </w:tc>
      </w:tr>
      <w:tr w:rsidR="001F4DDE" w:rsidRPr="0000409D" w14:paraId="0769A64C"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8CA38FA" w14:textId="77777777" w:rsidR="001F4DDE" w:rsidRPr="0000409D" w:rsidRDefault="001F4DDE" w:rsidP="001F4DDE">
            <w:pPr>
              <w:jc w:val="center"/>
              <w:rPr>
                <w:color w:val="000000"/>
                <w:sz w:val="18"/>
                <w:szCs w:val="18"/>
              </w:rPr>
            </w:pPr>
            <w:r w:rsidRPr="0000409D">
              <w:rPr>
                <w:color w:val="000000"/>
                <w:sz w:val="18"/>
                <w:szCs w:val="18"/>
              </w:rPr>
              <w:t>Turkey</w:t>
            </w:r>
          </w:p>
        </w:tc>
        <w:tc>
          <w:tcPr>
            <w:tcW w:w="961" w:type="dxa"/>
            <w:vAlign w:val="center"/>
          </w:tcPr>
          <w:p w14:paraId="20F88479"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0.11</w:t>
            </w:r>
          </w:p>
        </w:tc>
        <w:tc>
          <w:tcPr>
            <w:tcW w:w="961" w:type="dxa"/>
            <w:noWrap/>
            <w:vAlign w:val="center"/>
            <w:hideMark/>
          </w:tcPr>
          <w:p w14:paraId="78FECB87"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0.89</w:t>
            </w:r>
          </w:p>
        </w:tc>
        <w:tc>
          <w:tcPr>
            <w:tcW w:w="1070" w:type="dxa"/>
            <w:vAlign w:val="center"/>
          </w:tcPr>
          <w:p w14:paraId="61D2F56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0.13</w:t>
            </w:r>
          </w:p>
        </w:tc>
        <w:tc>
          <w:tcPr>
            <w:tcW w:w="1070" w:type="dxa"/>
            <w:noWrap/>
            <w:vAlign w:val="center"/>
            <w:hideMark/>
          </w:tcPr>
          <w:p w14:paraId="751C3D1D"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0.87</w:t>
            </w:r>
          </w:p>
        </w:tc>
        <w:tc>
          <w:tcPr>
            <w:tcW w:w="1088" w:type="dxa"/>
            <w:vAlign w:val="center"/>
          </w:tcPr>
          <w:p w14:paraId="57616830"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0.10</w:t>
            </w:r>
          </w:p>
        </w:tc>
        <w:tc>
          <w:tcPr>
            <w:tcW w:w="992" w:type="dxa"/>
            <w:noWrap/>
            <w:vAlign w:val="center"/>
            <w:hideMark/>
          </w:tcPr>
          <w:p w14:paraId="4EE6CD95" w14:textId="77777777" w:rsidR="001F4DDE" w:rsidRPr="0000409D"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409D">
              <w:rPr>
                <w:color w:val="000000"/>
                <w:sz w:val="18"/>
                <w:szCs w:val="18"/>
              </w:rPr>
              <w:t>0.9</w:t>
            </w:r>
          </w:p>
        </w:tc>
      </w:tr>
    </w:tbl>
    <w:p w14:paraId="7B1D6AED" w14:textId="77777777" w:rsidR="001F4DDE" w:rsidRDefault="001F4DDE" w:rsidP="001F4DDE">
      <w:pPr>
        <w:spacing w:line="240" w:lineRule="auto"/>
        <w:ind w:right="1757"/>
        <w:rPr>
          <w:rFonts w:ascii="Times New Roman" w:hAnsi="Times New Roman"/>
          <w:sz w:val="18"/>
          <w:szCs w:val="18"/>
        </w:rPr>
      </w:pPr>
      <w:r w:rsidRPr="000E6048">
        <w:rPr>
          <w:rFonts w:ascii="Times New Roman" w:hAnsi="Times New Roman"/>
          <w:i/>
          <w:sz w:val="18"/>
          <w:szCs w:val="18"/>
        </w:rPr>
        <w:t>Notes:</w:t>
      </w:r>
      <w:r w:rsidRPr="000E6048">
        <w:rPr>
          <w:rFonts w:ascii="Times New Roman" w:hAnsi="Times New Roman"/>
          <w:sz w:val="18"/>
          <w:szCs w:val="18"/>
        </w:rPr>
        <w:t xml:space="preserve"> For each portfolio, this table shows the </w:t>
      </w:r>
      <w:r w:rsidR="00E21ABC">
        <w:rPr>
          <w:rFonts w:ascii="Times New Roman" w:hAnsi="Times New Roman"/>
          <w:sz w:val="18"/>
          <w:szCs w:val="18"/>
        </w:rPr>
        <w:t>F-statistic and p</w:t>
      </w:r>
      <w:r>
        <w:rPr>
          <w:rFonts w:ascii="Times New Roman" w:hAnsi="Times New Roman"/>
          <w:sz w:val="18"/>
          <w:szCs w:val="18"/>
        </w:rPr>
        <w:t>-values from the Wald tests of Mean Variance spanning</w:t>
      </w:r>
      <w:r w:rsidRPr="000E6048">
        <w:rPr>
          <w:rFonts w:ascii="Times New Roman" w:hAnsi="Times New Roman"/>
          <w:sz w:val="18"/>
          <w:szCs w:val="18"/>
        </w:rPr>
        <w:t>, which tests if the addition of the foreign country index to the replicating portfolio shifts the mea</w:t>
      </w:r>
      <w:r>
        <w:rPr>
          <w:rFonts w:ascii="Times New Roman" w:hAnsi="Times New Roman"/>
          <w:sz w:val="18"/>
          <w:szCs w:val="18"/>
        </w:rPr>
        <w:t xml:space="preserve">n variance efficient frontier. </w:t>
      </w:r>
      <w:r w:rsidRPr="000E6048">
        <w:rPr>
          <w:rFonts w:ascii="Times New Roman" w:hAnsi="Times New Roman"/>
          <w:sz w:val="18"/>
          <w:szCs w:val="18"/>
        </w:rPr>
        <w:t xml:space="preserve">If spanning is not rejected, the addition of the foreign country index does not shift the mean variance frontier and there is no significant diversification benefit to be gained by investing overseas.  </w:t>
      </w:r>
    </w:p>
    <w:p w14:paraId="329C0494" w14:textId="77777777" w:rsidR="008E6C2C" w:rsidRDefault="008E6C2C">
      <w:pPr>
        <w:rPr>
          <w:rFonts w:ascii="Times New Roman" w:eastAsia="Times New Roman" w:hAnsi="Times New Roman" w:cs="Times New Roman"/>
          <w:b/>
          <w:bCs/>
          <w:sz w:val="20"/>
          <w:szCs w:val="20"/>
          <w:lang w:val="en-US"/>
        </w:rPr>
      </w:pPr>
      <w:bookmarkStart w:id="18" w:name="_Toc383428909"/>
      <w:r>
        <w:br w:type="page"/>
      </w:r>
    </w:p>
    <w:p w14:paraId="26686C9F" w14:textId="77777777" w:rsidR="001F4DDE" w:rsidRPr="00991889" w:rsidRDefault="008E6C2C" w:rsidP="005817F4">
      <w:pPr>
        <w:pStyle w:val="Caption"/>
      </w:pPr>
      <w:bookmarkStart w:id="19" w:name="_Ref384643424"/>
      <w:r w:rsidRPr="00991889">
        <w:lastRenderedPageBreak/>
        <w:t xml:space="preserve">Table </w:t>
      </w:r>
      <w:r w:rsidR="00CD4B7C">
        <w:fldChar w:fldCharType="begin"/>
      </w:r>
      <w:r w:rsidR="00CD4B7C">
        <w:instrText xml:space="preserve"> SEQ Table \* ARABIC </w:instrText>
      </w:r>
      <w:r w:rsidR="00CD4B7C">
        <w:fldChar w:fldCharType="separate"/>
      </w:r>
      <w:r w:rsidR="00A0607E">
        <w:rPr>
          <w:noProof/>
        </w:rPr>
        <w:t>7</w:t>
      </w:r>
      <w:r w:rsidR="00CD4B7C">
        <w:rPr>
          <w:noProof/>
        </w:rPr>
        <w:fldChar w:fldCharType="end"/>
      </w:r>
      <w:bookmarkEnd w:id="19"/>
      <w:r w:rsidRPr="00991889">
        <w:t xml:space="preserve"> </w:t>
      </w:r>
      <w:proofErr w:type="spellStart"/>
      <w:r w:rsidR="001F4DDE" w:rsidRPr="00991889">
        <w:t>mVAR</w:t>
      </w:r>
      <w:proofErr w:type="spellEnd"/>
      <w:r w:rsidR="001F4DDE" w:rsidRPr="00991889">
        <w:t xml:space="preserve"> Results</w:t>
      </w:r>
      <w:bookmarkEnd w:id="18"/>
    </w:p>
    <w:tbl>
      <w:tblPr>
        <w:tblStyle w:val="TableClassic1"/>
        <w:tblW w:w="9580" w:type="dxa"/>
        <w:tblLook w:val="04A0" w:firstRow="1" w:lastRow="0" w:firstColumn="1" w:lastColumn="0" w:noHBand="0" w:noVBand="1"/>
      </w:tblPr>
      <w:tblGrid>
        <w:gridCol w:w="1900"/>
        <w:gridCol w:w="917"/>
        <w:gridCol w:w="1003"/>
        <w:gridCol w:w="960"/>
        <w:gridCol w:w="960"/>
        <w:gridCol w:w="960"/>
        <w:gridCol w:w="960"/>
        <w:gridCol w:w="960"/>
        <w:gridCol w:w="960"/>
      </w:tblGrid>
      <w:tr w:rsidR="001F4DDE" w:rsidRPr="006F2183" w14:paraId="63C5EB7D" w14:textId="77777777" w:rsidTr="001F4D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0F1BD4D9" w14:textId="77777777" w:rsidR="001F4DDE" w:rsidRPr="006F2183" w:rsidRDefault="001F4DDE" w:rsidP="001F4DDE">
            <w:pPr>
              <w:rPr>
                <w:b/>
                <w:bCs/>
                <w:color w:val="000000"/>
                <w:sz w:val="18"/>
                <w:szCs w:val="18"/>
              </w:rPr>
            </w:pPr>
            <w:r w:rsidRPr="006F2183">
              <w:rPr>
                <w:b/>
                <w:bCs/>
                <w:color w:val="000000"/>
                <w:sz w:val="18"/>
                <w:szCs w:val="18"/>
              </w:rPr>
              <w:t> </w:t>
            </w:r>
          </w:p>
        </w:tc>
        <w:tc>
          <w:tcPr>
            <w:tcW w:w="1920" w:type="dxa"/>
            <w:gridSpan w:val="2"/>
            <w:tcBorders>
              <w:right w:val="single" w:sz="4" w:space="0" w:color="auto"/>
            </w:tcBorders>
            <w:noWrap/>
            <w:vAlign w:val="center"/>
            <w:hideMark/>
          </w:tcPr>
          <w:p w14:paraId="39C14E71" w14:textId="77777777" w:rsidR="001F4DDE" w:rsidRPr="006F2183" w:rsidRDefault="001F4DDE" w:rsidP="001F4DDE">
            <w:pPr>
              <w:jc w:val="center"/>
              <w:cnfStyle w:val="100000000000" w:firstRow="1" w:lastRow="0" w:firstColumn="0" w:lastColumn="0" w:oddVBand="0" w:evenVBand="0" w:oddHBand="0" w:evenHBand="0" w:firstRowFirstColumn="0" w:firstRowLastColumn="0" w:lastRowFirstColumn="0" w:lastRowLastColumn="0"/>
              <w:rPr>
                <w:i w:val="0"/>
                <w:color w:val="000000"/>
                <w:sz w:val="18"/>
                <w:szCs w:val="18"/>
              </w:rPr>
            </w:pPr>
            <w:r w:rsidRPr="006F2183">
              <w:rPr>
                <w:i w:val="0"/>
                <w:color w:val="000000"/>
                <w:sz w:val="18"/>
                <w:szCs w:val="18"/>
              </w:rPr>
              <w:t>Country Indices</w:t>
            </w:r>
          </w:p>
        </w:tc>
        <w:tc>
          <w:tcPr>
            <w:tcW w:w="1920" w:type="dxa"/>
            <w:gridSpan w:val="2"/>
            <w:tcBorders>
              <w:top w:val="single" w:sz="12" w:space="0" w:color="000000"/>
              <w:left w:val="single" w:sz="4" w:space="0" w:color="auto"/>
              <w:right w:val="single" w:sz="4" w:space="0" w:color="auto"/>
            </w:tcBorders>
            <w:noWrap/>
            <w:vAlign w:val="center"/>
            <w:hideMark/>
          </w:tcPr>
          <w:p w14:paraId="47EB1513" w14:textId="77777777" w:rsidR="001F4DDE" w:rsidRPr="006F2183" w:rsidRDefault="001F4DDE" w:rsidP="001F4DDE">
            <w:pPr>
              <w:jc w:val="center"/>
              <w:cnfStyle w:val="100000000000" w:firstRow="1" w:lastRow="0" w:firstColumn="0" w:lastColumn="0" w:oddVBand="0" w:evenVBand="0" w:oddHBand="0" w:evenHBand="0" w:firstRowFirstColumn="0" w:firstRowLastColumn="0" w:lastRowFirstColumn="0" w:lastRowLastColumn="0"/>
              <w:rPr>
                <w:i w:val="0"/>
                <w:color w:val="000000"/>
                <w:sz w:val="18"/>
                <w:szCs w:val="18"/>
              </w:rPr>
            </w:pPr>
            <w:r w:rsidRPr="006F2183">
              <w:rPr>
                <w:i w:val="0"/>
                <w:color w:val="000000"/>
                <w:sz w:val="18"/>
                <w:szCs w:val="18"/>
              </w:rPr>
              <w:t>D1</w:t>
            </w:r>
          </w:p>
        </w:tc>
        <w:tc>
          <w:tcPr>
            <w:tcW w:w="1920" w:type="dxa"/>
            <w:gridSpan w:val="2"/>
            <w:tcBorders>
              <w:top w:val="single" w:sz="12" w:space="0" w:color="000000"/>
              <w:left w:val="single" w:sz="4" w:space="0" w:color="auto"/>
              <w:right w:val="single" w:sz="4" w:space="0" w:color="auto"/>
            </w:tcBorders>
            <w:noWrap/>
            <w:vAlign w:val="center"/>
            <w:hideMark/>
          </w:tcPr>
          <w:p w14:paraId="20945372" w14:textId="77777777" w:rsidR="001F4DDE" w:rsidRPr="006F2183" w:rsidRDefault="001F4DDE" w:rsidP="001F4DDE">
            <w:pPr>
              <w:jc w:val="center"/>
              <w:cnfStyle w:val="100000000000" w:firstRow="1" w:lastRow="0" w:firstColumn="0" w:lastColumn="0" w:oddVBand="0" w:evenVBand="0" w:oddHBand="0" w:evenHBand="0" w:firstRowFirstColumn="0" w:firstRowLastColumn="0" w:lastRowFirstColumn="0" w:lastRowLastColumn="0"/>
              <w:rPr>
                <w:i w:val="0"/>
                <w:color w:val="000000"/>
                <w:sz w:val="18"/>
                <w:szCs w:val="18"/>
              </w:rPr>
            </w:pPr>
            <w:r w:rsidRPr="006F2183">
              <w:rPr>
                <w:i w:val="0"/>
                <w:color w:val="000000"/>
                <w:sz w:val="18"/>
                <w:szCs w:val="18"/>
              </w:rPr>
              <w:t>D2</w:t>
            </w:r>
          </w:p>
        </w:tc>
        <w:tc>
          <w:tcPr>
            <w:tcW w:w="1920" w:type="dxa"/>
            <w:gridSpan w:val="2"/>
            <w:tcBorders>
              <w:left w:val="single" w:sz="4" w:space="0" w:color="auto"/>
            </w:tcBorders>
            <w:noWrap/>
            <w:vAlign w:val="center"/>
            <w:hideMark/>
          </w:tcPr>
          <w:p w14:paraId="7551F236" w14:textId="77777777" w:rsidR="001F4DDE" w:rsidRPr="006F2183" w:rsidRDefault="001F4DDE" w:rsidP="001F4DDE">
            <w:pPr>
              <w:jc w:val="center"/>
              <w:cnfStyle w:val="100000000000" w:firstRow="1" w:lastRow="0" w:firstColumn="0" w:lastColumn="0" w:oddVBand="0" w:evenVBand="0" w:oddHBand="0" w:evenHBand="0" w:firstRowFirstColumn="0" w:firstRowLastColumn="0" w:lastRowFirstColumn="0" w:lastRowLastColumn="0"/>
              <w:rPr>
                <w:i w:val="0"/>
                <w:color w:val="000000"/>
                <w:sz w:val="18"/>
                <w:szCs w:val="18"/>
              </w:rPr>
            </w:pPr>
            <w:r w:rsidRPr="006F2183">
              <w:rPr>
                <w:i w:val="0"/>
                <w:color w:val="000000"/>
                <w:sz w:val="18"/>
                <w:szCs w:val="18"/>
              </w:rPr>
              <w:t>D3</w:t>
            </w:r>
          </w:p>
        </w:tc>
      </w:tr>
      <w:tr w:rsidR="001F4DDE" w:rsidRPr="006F2183" w14:paraId="6FBBA0F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AE80D93" w14:textId="77777777" w:rsidR="001F4DDE" w:rsidRPr="00FE195B" w:rsidRDefault="001F4DDE" w:rsidP="001F4DDE">
            <w:pPr>
              <w:rPr>
                <w:bCs/>
                <w:i/>
                <w:color w:val="000000"/>
                <w:sz w:val="18"/>
                <w:szCs w:val="18"/>
              </w:rPr>
            </w:pPr>
            <w:r w:rsidRPr="006F2183">
              <w:rPr>
                <w:b/>
                <w:bCs/>
                <w:color w:val="000000"/>
                <w:sz w:val="18"/>
                <w:szCs w:val="18"/>
              </w:rPr>
              <w:t> </w:t>
            </w:r>
            <w:r w:rsidRPr="00FE195B">
              <w:rPr>
                <w:bCs/>
                <w:i/>
                <w:color w:val="000000"/>
                <w:sz w:val="18"/>
                <w:szCs w:val="18"/>
              </w:rPr>
              <w:t>Developed Markets</w:t>
            </w:r>
          </w:p>
        </w:tc>
        <w:tc>
          <w:tcPr>
            <w:tcW w:w="917" w:type="dxa"/>
            <w:noWrap/>
            <w:vAlign w:val="center"/>
            <w:hideMark/>
          </w:tcPr>
          <w:p w14:paraId="735DA135"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1.96 σ</w:t>
            </w:r>
          </w:p>
        </w:tc>
        <w:tc>
          <w:tcPr>
            <w:tcW w:w="1003" w:type="dxa"/>
            <w:tcBorders>
              <w:right w:val="single" w:sz="4" w:space="0" w:color="auto"/>
            </w:tcBorders>
            <w:noWrap/>
            <w:vAlign w:val="center"/>
            <w:hideMark/>
          </w:tcPr>
          <w:p w14:paraId="69FE622A"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2.33 σ</w:t>
            </w:r>
          </w:p>
        </w:tc>
        <w:tc>
          <w:tcPr>
            <w:tcW w:w="960" w:type="dxa"/>
            <w:tcBorders>
              <w:left w:val="single" w:sz="4" w:space="0" w:color="auto"/>
            </w:tcBorders>
            <w:noWrap/>
            <w:vAlign w:val="center"/>
            <w:hideMark/>
          </w:tcPr>
          <w:p w14:paraId="5F08E575"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1.96 σ</w:t>
            </w:r>
          </w:p>
        </w:tc>
        <w:tc>
          <w:tcPr>
            <w:tcW w:w="960" w:type="dxa"/>
            <w:tcBorders>
              <w:right w:val="single" w:sz="4" w:space="0" w:color="auto"/>
            </w:tcBorders>
            <w:noWrap/>
            <w:vAlign w:val="center"/>
            <w:hideMark/>
          </w:tcPr>
          <w:p w14:paraId="7357B189"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2.33 σ</w:t>
            </w:r>
          </w:p>
        </w:tc>
        <w:tc>
          <w:tcPr>
            <w:tcW w:w="960" w:type="dxa"/>
            <w:tcBorders>
              <w:left w:val="single" w:sz="4" w:space="0" w:color="auto"/>
            </w:tcBorders>
            <w:noWrap/>
            <w:vAlign w:val="center"/>
            <w:hideMark/>
          </w:tcPr>
          <w:p w14:paraId="0642D487"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1.96 σ</w:t>
            </w:r>
          </w:p>
        </w:tc>
        <w:tc>
          <w:tcPr>
            <w:tcW w:w="960" w:type="dxa"/>
            <w:tcBorders>
              <w:right w:val="single" w:sz="4" w:space="0" w:color="auto"/>
            </w:tcBorders>
            <w:noWrap/>
            <w:vAlign w:val="center"/>
            <w:hideMark/>
          </w:tcPr>
          <w:p w14:paraId="4CDFE6FB"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2.33 σ</w:t>
            </w:r>
          </w:p>
        </w:tc>
        <w:tc>
          <w:tcPr>
            <w:tcW w:w="960" w:type="dxa"/>
            <w:tcBorders>
              <w:left w:val="single" w:sz="4" w:space="0" w:color="auto"/>
            </w:tcBorders>
            <w:noWrap/>
            <w:vAlign w:val="center"/>
            <w:hideMark/>
          </w:tcPr>
          <w:p w14:paraId="44ACFDE8"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1.96 σ</w:t>
            </w:r>
          </w:p>
        </w:tc>
        <w:tc>
          <w:tcPr>
            <w:tcW w:w="960" w:type="dxa"/>
            <w:noWrap/>
            <w:vAlign w:val="center"/>
            <w:hideMark/>
          </w:tcPr>
          <w:p w14:paraId="3B957523" w14:textId="77777777" w:rsidR="001F4DDE" w:rsidRPr="006F2183"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2.33 σ</w:t>
            </w:r>
          </w:p>
        </w:tc>
      </w:tr>
      <w:tr w:rsidR="001F4DDE" w:rsidRPr="006F2183" w14:paraId="71505DF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0C1B4175" w14:textId="77777777" w:rsidR="001F4DDE" w:rsidRPr="006F2183" w:rsidRDefault="001F4DDE" w:rsidP="001F4DDE">
            <w:pPr>
              <w:rPr>
                <w:bCs/>
                <w:color w:val="000000"/>
                <w:sz w:val="18"/>
                <w:szCs w:val="18"/>
              </w:rPr>
            </w:pPr>
            <w:r w:rsidRPr="006F2183">
              <w:rPr>
                <w:bCs/>
                <w:color w:val="000000"/>
                <w:sz w:val="18"/>
                <w:szCs w:val="18"/>
              </w:rPr>
              <w:t>Argentina</w:t>
            </w:r>
          </w:p>
        </w:tc>
        <w:tc>
          <w:tcPr>
            <w:tcW w:w="917" w:type="dxa"/>
            <w:noWrap/>
            <w:hideMark/>
          </w:tcPr>
          <w:p w14:paraId="0CAAE69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17.27</w:t>
            </w:r>
          </w:p>
        </w:tc>
        <w:tc>
          <w:tcPr>
            <w:tcW w:w="1003" w:type="dxa"/>
            <w:tcBorders>
              <w:right w:val="single" w:sz="4" w:space="0" w:color="auto"/>
            </w:tcBorders>
            <w:noWrap/>
            <w:hideMark/>
          </w:tcPr>
          <w:p w14:paraId="135E0F5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31.16</w:t>
            </w:r>
          </w:p>
        </w:tc>
        <w:tc>
          <w:tcPr>
            <w:tcW w:w="960" w:type="dxa"/>
            <w:tcBorders>
              <w:left w:val="single" w:sz="4" w:space="0" w:color="auto"/>
            </w:tcBorders>
            <w:noWrap/>
            <w:hideMark/>
          </w:tcPr>
          <w:p w14:paraId="1A7E810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6.66</w:t>
            </w:r>
          </w:p>
        </w:tc>
        <w:tc>
          <w:tcPr>
            <w:tcW w:w="960" w:type="dxa"/>
            <w:tcBorders>
              <w:right w:val="single" w:sz="4" w:space="0" w:color="auto"/>
            </w:tcBorders>
            <w:noWrap/>
            <w:hideMark/>
          </w:tcPr>
          <w:p w14:paraId="0229956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11.20</w:t>
            </w:r>
          </w:p>
        </w:tc>
        <w:tc>
          <w:tcPr>
            <w:tcW w:w="960" w:type="dxa"/>
            <w:tcBorders>
              <w:left w:val="single" w:sz="4" w:space="0" w:color="auto"/>
            </w:tcBorders>
            <w:noWrap/>
            <w:hideMark/>
          </w:tcPr>
          <w:p w14:paraId="10558DC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7.60</w:t>
            </w:r>
          </w:p>
        </w:tc>
        <w:tc>
          <w:tcPr>
            <w:tcW w:w="960" w:type="dxa"/>
            <w:tcBorders>
              <w:right w:val="single" w:sz="4" w:space="0" w:color="auto"/>
            </w:tcBorders>
            <w:noWrap/>
            <w:hideMark/>
          </w:tcPr>
          <w:p w14:paraId="3D2CBA5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13.24</w:t>
            </w:r>
          </w:p>
        </w:tc>
        <w:tc>
          <w:tcPr>
            <w:tcW w:w="960" w:type="dxa"/>
            <w:tcBorders>
              <w:left w:val="single" w:sz="4" w:space="0" w:color="auto"/>
            </w:tcBorders>
            <w:noWrap/>
            <w:hideMark/>
          </w:tcPr>
          <w:p w14:paraId="77F5DBD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10.19</w:t>
            </w:r>
          </w:p>
        </w:tc>
        <w:tc>
          <w:tcPr>
            <w:tcW w:w="960" w:type="dxa"/>
            <w:noWrap/>
            <w:hideMark/>
          </w:tcPr>
          <w:p w14:paraId="2E00D74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17.64</w:t>
            </w:r>
          </w:p>
        </w:tc>
      </w:tr>
      <w:tr w:rsidR="001F4DDE" w:rsidRPr="006F2183" w14:paraId="28AC757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332BBE1" w14:textId="77777777" w:rsidR="001F4DDE" w:rsidRPr="006F2183" w:rsidRDefault="001F4DDE" w:rsidP="001F4DDE">
            <w:pPr>
              <w:rPr>
                <w:bCs/>
                <w:color w:val="000000"/>
                <w:sz w:val="18"/>
                <w:szCs w:val="18"/>
              </w:rPr>
            </w:pPr>
            <w:r w:rsidRPr="006F2183">
              <w:rPr>
                <w:bCs/>
                <w:color w:val="000000"/>
                <w:sz w:val="18"/>
                <w:szCs w:val="18"/>
              </w:rPr>
              <w:t>Australia</w:t>
            </w:r>
          </w:p>
        </w:tc>
        <w:tc>
          <w:tcPr>
            <w:tcW w:w="917" w:type="dxa"/>
            <w:noWrap/>
            <w:hideMark/>
          </w:tcPr>
          <w:p w14:paraId="3C5E821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12.20</w:t>
            </w:r>
          </w:p>
        </w:tc>
        <w:tc>
          <w:tcPr>
            <w:tcW w:w="1003" w:type="dxa"/>
            <w:tcBorders>
              <w:right w:val="single" w:sz="4" w:space="0" w:color="auto"/>
            </w:tcBorders>
            <w:noWrap/>
            <w:hideMark/>
          </w:tcPr>
          <w:p w14:paraId="10B0FCD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23.80</w:t>
            </w:r>
          </w:p>
        </w:tc>
        <w:tc>
          <w:tcPr>
            <w:tcW w:w="960" w:type="dxa"/>
            <w:tcBorders>
              <w:left w:val="single" w:sz="4" w:space="0" w:color="auto"/>
            </w:tcBorders>
            <w:noWrap/>
            <w:hideMark/>
          </w:tcPr>
          <w:p w14:paraId="70E10AE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6.04</w:t>
            </w:r>
          </w:p>
        </w:tc>
        <w:tc>
          <w:tcPr>
            <w:tcW w:w="960" w:type="dxa"/>
            <w:tcBorders>
              <w:right w:val="single" w:sz="4" w:space="0" w:color="auto"/>
            </w:tcBorders>
            <w:noWrap/>
            <w:hideMark/>
          </w:tcPr>
          <w:p w14:paraId="046BA28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10.19</w:t>
            </w:r>
          </w:p>
        </w:tc>
        <w:tc>
          <w:tcPr>
            <w:tcW w:w="960" w:type="dxa"/>
            <w:tcBorders>
              <w:left w:val="single" w:sz="4" w:space="0" w:color="auto"/>
            </w:tcBorders>
            <w:noWrap/>
            <w:hideMark/>
          </w:tcPr>
          <w:p w14:paraId="3047A6E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7.53</w:t>
            </w:r>
          </w:p>
        </w:tc>
        <w:tc>
          <w:tcPr>
            <w:tcW w:w="960" w:type="dxa"/>
            <w:tcBorders>
              <w:right w:val="single" w:sz="4" w:space="0" w:color="auto"/>
            </w:tcBorders>
            <w:noWrap/>
            <w:hideMark/>
          </w:tcPr>
          <w:p w14:paraId="47DAE82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13.68</w:t>
            </w:r>
          </w:p>
        </w:tc>
        <w:tc>
          <w:tcPr>
            <w:tcW w:w="960" w:type="dxa"/>
            <w:tcBorders>
              <w:left w:val="single" w:sz="4" w:space="0" w:color="auto"/>
            </w:tcBorders>
            <w:noWrap/>
            <w:hideMark/>
          </w:tcPr>
          <w:p w14:paraId="3408D9C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9.47</w:t>
            </w:r>
          </w:p>
        </w:tc>
        <w:tc>
          <w:tcPr>
            <w:tcW w:w="960" w:type="dxa"/>
            <w:noWrap/>
            <w:hideMark/>
          </w:tcPr>
          <w:p w14:paraId="5297E80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16.81</w:t>
            </w:r>
          </w:p>
        </w:tc>
      </w:tr>
      <w:tr w:rsidR="001F4DDE" w:rsidRPr="006F2183" w14:paraId="55325AB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7B22F672" w14:textId="77777777" w:rsidR="001F4DDE" w:rsidRPr="006F2183" w:rsidRDefault="001F4DDE" w:rsidP="001F4DDE">
            <w:pPr>
              <w:rPr>
                <w:bCs/>
                <w:color w:val="000000"/>
                <w:sz w:val="18"/>
                <w:szCs w:val="18"/>
              </w:rPr>
            </w:pPr>
            <w:r w:rsidRPr="006F2183">
              <w:rPr>
                <w:bCs/>
                <w:color w:val="000000"/>
                <w:sz w:val="18"/>
                <w:szCs w:val="18"/>
              </w:rPr>
              <w:t>Austria</w:t>
            </w:r>
          </w:p>
        </w:tc>
        <w:tc>
          <w:tcPr>
            <w:tcW w:w="917" w:type="dxa"/>
            <w:noWrap/>
            <w:hideMark/>
          </w:tcPr>
          <w:p w14:paraId="075577A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14.24</w:t>
            </w:r>
          </w:p>
        </w:tc>
        <w:tc>
          <w:tcPr>
            <w:tcW w:w="1003" w:type="dxa"/>
            <w:tcBorders>
              <w:right w:val="single" w:sz="4" w:space="0" w:color="auto"/>
            </w:tcBorders>
            <w:noWrap/>
            <w:hideMark/>
          </w:tcPr>
          <w:p w14:paraId="74DC7F2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27.11</w:t>
            </w:r>
          </w:p>
        </w:tc>
        <w:tc>
          <w:tcPr>
            <w:tcW w:w="960" w:type="dxa"/>
            <w:tcBorders>
              <w:left w:val="single" w:sz="4" w:space="0" w:color="auto"/>
            </w:tcBorders>
            <w:noWrap/>
            <w:hideMark/>
          </w:tcPr>
          <w:p w14:paraId="4A072FE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6.21</w:t>
            </w:r>
          </w:p>
        </w:tc>
        <w:tc>
          <w:tcPr>
            <w:tcW w:w="960" w:type="dxa"/>
            <w:tcBorders>
              <w:right w:val="single" w:sz="4" w:space="0" w:color="auto"/>
            </w:tcBorders>
            <w:noWrap/>
            <w:hideMark/>
          </w:tcPr>
          <w:p w14:paraId="10C5428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10.63</w:t>
            </w:r>
          </w:p>
        </w:tc>
        <w:tc>
          <w:tcPr>
            <w:tcW w:w="960" w:type="dxa"/>
            <w:tcBorders>
              <w:left w:val="single" w:sz="4" w:space="0" w:color="auto"/>
            </w:tcBorders>
            <w:noWrap/>
            <w:hideMark/>
          </w:tcPr>
          <w:p w14:paraId="7A9602D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8.16</w:t>
            </w:r>
          </w:p>
        </w:tc>
        <w:tc>
          <w:tcPr>
            <w:tcW w:w="960" w:type="dxa"/>
            <w:tcBorders>
              <w:right w:val="single" w:sz="4" w:space="0" w:color="auto"/>
            </w:tcBorders>
            <w:noWrap/>
            <w:hideMark/>
          </w:tcPr>
          <w:p w14:paraId="67F6FA9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15.12</w:t>
            </w:r>
          </w:p>
        </w:tc>
        <w:tc>
          <w:tcPr>
            <w:tcW w:w="960" w:type="dxa"/>
            <w:tcBorders>
              <w:left w:val="single" w:sz="4" w:space="0" w:color="auto"/>
            </w:tcBorders>
            <w:noWrap/>
            <w:hideMark/>
          </w:tcPr>
          <w:p w14:paraId="08F87E0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10.87</w:t>
            </w:r>
          </w:p>
        </w:tc>
        <w:tc>
          <w:tcPr>
            <w:tcW w:w="960" w:type="dxa"/>
            <w:noWrap/>
            <w:hideMark/>
          </w:tcPr>
          <w:p w14:paraId="4006853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19.43</w:t>
            </w:r>
          </w:p>
        </w:tc>
      </w:tr>
      <w:tr w:rsidR="001F4DDE" w:rsidRPr="006F2183" w14:paraId="1B7594F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07CDF080" w14:textId="77777777" w:rsidR="001F4DDE" w:rsidRPr="006F2183" w:rsidRDefault="001F4DDE" w:rsidP="001F4DDE">
            <w:pPr>
              <w:rPr>
                <w:bCs/>
                <w:color w:val="000000"/>
                <w:sz w:val="18"/>
                <w:szCs w:val="18"/>
              </w:rPr>
            </w:pPr>
            <w:r w:rsidRPr="006F2183">
              <w:rPr>
                <w:bCs/>
                <w:color w:val="000000"/>
                <w:sz w:val="18"/>
                <w:szCs w:val="18"/>
              </w:rPr>
              <w:t>Belgium</w:t>
            </w:r>
          </w:p>
        </w:tc>
        <w:tc>
          <w:tcPr>
            <w:tcW w:w="917" w:type="dxa"/>
            <w:noWrap/>
            <w:hideMark/>
          </w:tcPr>
          <w:p w14:paraId="02901AD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10.29</w:t>
            </w:r>
          </w:p>
        </w:tc>
        <w:tc>
          <w:tcPr>
            <w:tcW w:w="1003" w:type="dxa"/>
            <w:tcBorders>
              <w:right w:val="single" w:sz="4" w:space="0" w:color="auto"/>
            </w:tcBorders>
            <w:noWrap/>
            <w:hideMark/>
          </w:tcPr>
          <w:p w14:paraId="6D61A63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17.62</w:t>
            </w:r>
          </w:p>
        </w:tc>
        <w:tc>
          <w:tcPr>
            <w:tcW w:w="960" w:type="dxa"/>
            <w:tcBorders>
              <w:left w:val="single" w:sz="4" w:space="0" w:color="auto"/>
            </w:tcBorders>
            <w:noWrap/>
            <w:hideMark/>
          </w:tcPr>
          <w:p w14:paraId="56330B4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5.23</w:t>
            </w:r>
          </w:p>
        </w:tc>
        <w:tc>
          <w:tcPr>
            <w:tcW w:w="960" w:type="dxa"/>
            <w:tcBorders>
              <w:right w:val="single" w:sz="4" w:space="0" w:color="auto"/>
            </w:tcBorders>
            <w:noWrap/>
            <w:hideMark/>
          </w:tcPr>
          <w:p w14:paraId="7F43F46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8.95</w:t>
            </w:r>
          </w:p>
        </w:tc>
        <w:tc>
          <w:tcPr>
            <w:tcW w:w="960" w:type="dxa"/>
            <w:tcBorders>
              <w:left w:val="single" w:sz="4" w:space="0" w:color="auto"/>
            </w:tcBorders>
            <w:noWrap/>
            <w:hideMark/>
          </w:tcPr>
          <w:p w14:paraId="6D044FA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6.34</w:t>
            </w:r>
          </w:p>
        </w:tc>
        <w:tc>
          <w:tcPr>
            <w:tcW w:w="960" w:type="dxa"/>
            <w:tcBorders>
              <w:right w:val="single" w:sz="4" w:space="0" w:color="auto"/>
            </w:tcBorders>
            <w:noWrap/>
            <w:hideMark/>
          </w:tcPr>
          <w:p w14:paraId="597004D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11.54</w:t>
            </w:r>
          </w:p>
        </w:tc>
        <w:tc>
          <w:tcPr>
            <w:tcW w:w="960" w:type="dxa"/>
            <w:tcBorders>
              <w:left w:val="single" w:sz="4" w:space="0" w:color="auto"/>
            </w:tcBorders>
            <w:noWrap/>
            <w:hideMark/>
          </w:tcPr>
          <w:p w14:paraId="3976AA3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8.28</w:t>
            </w:r>
          </w:p>
        </w:tc>
        <w:tc>
          <w:tcPr>
            <w:tcW w:w="960" w:type="dxa"/>
            <w:noWrap/>
            <w:hideMark/>
          </w:tcPr>
          <w:p w14:paraId="186CA7F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14.42</w:t>
            </w:r>
          </w:p>
        </w:tc>
      </w:tr>
      <w:tr w:rsidR="001F4DDE" w:rsidRPr="006F2183" w14:paraId="7C5A37B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08E08B78" w14:textId="77777777" w:rsidR="001F4DDE" w:rsidRPr="006F2183" w:rsidRDefault="001F4DDE" w:rsidP="001F4DDE">
            <w:pPr>
              <w:rPr>
                <w:bCs/>
                <w:color w:val="000000"/>
                <w:sz w:val="18"/>
                <w:szCs w:val="18"/>
              </w:rPr>
            </w:pPr>
            <w:r w:rsidRPr="006F2183">
              <w:rPr>
                <w:bCs/>
                <w:color w:val="000000"/>
                <w:sz w:val="18"/>
                <w:szCs w:val="18"/>
              </w:rPr>
              <w:t xml:space="preserve">Canada </w:t>
            </w:r>
          </w:p>
        </w:tc>
        <w:tc>
          <w:tcPr>
            <w:tcW w:w="917" w:type="dxa"/>
            <w:noWrap/>
            <w:hideMark/>
          </w:tcPr>
          <w:p w14:paraId="295335D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9.86</w:t>
            </w:r>
          </w:p>
        </w:tc>
        <w:tc>
          <w:tcPr>
            <w:tcW w:w="1003" w:type="dxa"/>
            <w:tcBorders>
              <w:right w:val="single" w:sz="4" w:space="0" w:color="auto"/>
            </w:tcBorders>
            <w:noWrap/>
            <w:hideMark/>
          </w:tcPr>
          <w:p w14:paraId="78462CC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17.71</w:t>
            </w:r>
          </w:p>
        </w:tc>
        <w:tc>
          <w:tcPr>
            <w:tcW w:w="960" w:type="dxa"/>
            <w:tcBorders>
              <w:left w:val="single" w:sz="4" w:space="0" w:color="auto"/>
            </w:tcBorders>
            <w:noWrap/>
            <w:hideMark/>
          </w:tcPr>
          <w:p w14:paraId="373007A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6.65</w:t>
            </w:r>
          </w:p>
        </w:tc>
        <w:tc>
          <w:tcPr>
            <w:tcW w:w="960" w:type="dxa"/>
            <w:tcBorders>
              <w:right w:val="single" w:sz="4" w:space="0" w:color="auto"/>
            </w:tcBorders>
            <w:noWrap/>
            <w:hideMark/>
          </w:tcPr>
          <w:p w14:paraId="48A1C71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11.23</w:t>
            </w:r>
          </w:p>
        </w:tc>
        <w:tc>
          <w:tcPr>
            <w:tcW w:w="960" w:type="dxa"/>
            <w:tcBorders>
              <w:left w:val="single" w:sz="4" w:space="0" w:color="auto"/>
            </w:tcBorders>
            <w:noWrap/>
            <w:hideMark/>
          </w:tcPr>
          <w:p w14:paraId="016087A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7.94</w:t>
            </w:r>
          </w:p>
        </w:tc>
        <w:tc>
          <w:tcPr>
            <w:tcW w:w="960" w:type="dxa"/>
            <w:tcBorders>
              <w:right w:val="single" w:sz="4" w:space="0" w:color="auto"/>
            </w:tcBorders>
            <w:noWrap/>
            <w:hideMark/>
          </w:tcPr>
          <w:p w14:paraId="6F406BD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14.33</w:t>
            </w:r>
          </w:p>
        </w:tc>
        <w:tc>
          <w:tcPr>
            <w:tcW w:w="960" w:type="dxa"/>
            <w:tcBorders>
              <w:left w:val="single" w:sz="4" w:space="0" w:color="auto"/>
            </w:tcBorders>
            <w:noWrap/>
            <w:hideMark/>
          </w:tcPr>
          <w:p w14:paraId="1575884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8.31</w:t>
            </w:r>
          </w:p>
        </w:tc>
        <w:tc>
          <w:tcPr>
            <w:tcW w:w="960" w:type="dxa"/>
            <w:noWrap/>
            <w:hideMark/>
          </w:tcPr>
          <w:p w14:paraId="58F9A5C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15.18</w:t>
            </w:r>
          </w:p>
        </w:tc>
      </w:tr>
      <w:tr w:rsidR="001F4DDE" w:rsidRPr="006F2183" w14:paraId="55EA478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C18083A" w14:textId="77777777" w:rsidR="001F4DDE" w:rsidRPr="006F2183" w:rsidRDefault="001F4DDE" w:rsidP="001F4DDE">
            <w:pPr>
              <w:rPr>
                <w:bCs/>
                <w:color w:val="000000"/>
                <w:sz w:val="18"/>
                <w:szCs w:val="18"/>
              </w:rPr>
            </w:pPr>
            <w:r w:rsidRPr="006F2183">
              <w:rPr>
                <w:bCs/>
                <w:color w:val="000000"/>
                <w:sz w:val="18"/>
                <w:szCs w:val="18"/>
              </w:rPr>
              <w:t>Denmark</w:t>
            </w:r>
          </w:p>
        </w:tc>
        <w:tc>
          <w:tcPr>
            <w:tcW w:w="917" w:type="dxa"/>
            <w:noWrap/>
            <w:hideMark/>
          </w:tcPr>
          <w:p w14:paraId="31005B1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10.29</w:t>
            </w:r>
          </w:p>
        </w:tc>
        <w:tc>
          <w:tcPr>
            <w:tcW w:w="1003" w:type="dxa"/>
            <w:tcBorders>
              <w:right w:val="single" w:sz="4" w:space="0" w:color="auto"/>
            </w:tcBorders>
            <w:noWrap/>
            <w:hideMark/>
          </w:tcPr>
          <w:p w14:paraId="75B30F7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18.49</w:t>
            </w:r>
          </w:p>
        </w:tc>
        <w:tc>
          <w:tcPr>
            <w:tcW w:w="960" w:type="dxa"/>
            <w:tcBorders>
              <w:left w:val="single" w:sz="4" w:space="0" w:color="auto"/>
            </w:tcBorders>
            <w:noWrap/>
            <w:hideMark/>
          </w:tcPr>
          <w:p w14:paraId="7164419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5.47</w:t>
            </w:r>
          </w:p>
        </w:tc>
        <w:tc>
          <w:tcPr>
            <w:tcW w:w="960" w:type="dxa"/>
            <w:tcBorders>
              <w:right w:val="single" w:sz="4" w:space="0" w:color="auto"/>
            </w:tcBorders>
            <w:noWrap/>
            <w:hideMark/>
          </w:tcPr>
          <w:p w14:paraId="2E34E1B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9.35</w:t>
            </w:r>
          </w:p>
        </w:tc>
        <w:tc>
          <w:tcPr>
            <w:tcW w:w="960" w:type="dxa"/>
            <w:tcBorders>
              <w:left w:val="single" w:sz="4" w:space="0" w:color="auto"/>
            </w:tcBorders>
            <w:noWrap/>
            <w:hideMark/>
          </w:tcPr>
          <w:p w14:paraId="3DC5368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6.54</w:t>
            </w:r>
          </w:p>
        </w:tc>
        <w:tc>
          <w:tcPr>
            <w:tcW w:w="960" w:type="dxa"/>
            <w:tcBorders>
              <w:right w:val="single" w:sz="4" w:space="0" w:color="auto"/>
            </w:tcBorders>
            <w:noWrap/>
            <w:hideMark/>
          </w:tcPr>
          <w:p w14:paraId="51C9A03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11.86</w:t>
            </w:r>
          </w:p>
        </w:tc>
        <w:tc>
          <w:tcPr>
            <w:tcW w:w="960" w:type="dxa"/>
            <w:tcBorders>
              <w:left w:val="single" w:sz="4" w:space="0" w:color="auto"/>
            </w:tcBorders>
            <w:noWrap/>
            <w:hideMark/>
          </w:tcPr>
          <w:p w14:paraId="3F1499F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7.31</w:t>
            </w:r>
          </w:p>
        </w:tc>
        <w:tc>
          <w:tcPr>
            <w:tcW w:w="960" w:type="dxa"/>
            <w:noWrap/>
            <w:hideMark/>
          </w:tcPr>
          <w:p w14:paraId="1463DB8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13.51</w:t>
            </w:r>
          </w:p>
        </w:tc>
      </w:tr>
      <w:tr w:rsidR="001F4DDE" w:rsidRPr="006F2183" w14:paraId="3788183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17C6CC54" w14:textId="77777777" w:rsidR="001F4DDE" w:rsidRPr="006F2183" w:rsidRDefault="001F4DDE" w:rsidP="001F4DDE">
            <w:pPr>
              <w:rPr>
                <w:bCs/>
                <w:color w:val="000000"/>
                <w:sz w:val="18"/>
                <w:szCs w:val="18"/>
              </w:rPr>
            </w:pPr>
            <w:r w:rsidRPr="006F2183">
              <w:rPr>
                <w:bCs/>
                <w:color w:val="000000"/>
                <w:sz w:val="18"/>
                <w:szCs w:val="18"/>
              </w:rPr>
              <w:t>Finland</w:t>
            </w:r>
          </w:p>
        </w:tc>
        <w:tc>
          <w:tcPr>
            <w:tcW w:w="917" w:type="dxa"/>
            <w:noWrap/>
            <w:hideMark/>
          </w:tcPr>
          <w:p w14:paraId="4099748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11.73</w:t>
            </w:r>
          </w:p>
        </w:tc>
        <w:tc>
          <w:tcPr>
            <w:tcW w:w="1003" w:type="dxa"/>
            <w:tcBorders>
              <w:right w:val="single" w:sz="4" w:space="0" w:color="auto"/>
            </w:tcBorders>
            <w:noWrap/>
            <w:hideMark/>
          </w:tcPr>
          <w:p w14:paraId="5A1839D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19.68</w:t>
            </w:r>
          </w:p>
        </w:tc>
        <w:tc>
          <w:tcPr>
            <w:tcW w:w="960" w:type="dxa"/>
            <w:tcBorders>
              <w:left w:val="single" w:sz="4" w:space="0" w:color="auto"/>
            </w:tcBorders>
            <w:noWrap/>
            <w:hideMark/>
          </w:tcPr>
          <w:p w14:paraId="6E70661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6.48</w:t>
            </w:r>
          </w:p>
        </w:tc>
        <w:tc>
          <w:tcPr>
            <w:tcW w:w="960" w:type="dxa"/>
            <w:tcBorders>
              <w:right w:val="single" w:sz="4" w:space="0" w:color="auto"/>
            </w:tcBorders>
            <w:noWrap/>
            <w:hideMark/>
          </w:tcPr>
          <w:p w14:paraId="690970E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10.06</w:t>
            </w:r>
          </w:p>
        </w:tc>
        <w:tc>
          <w:tcPr>
            <w:tcW w:w="960" w:type="dxa"/>
            <w:tcBorders>
              <w:left w:val="single" w:sz="4" w:space="0" w:color="auto"/>
            </w:tcBorders>
            <w:noWrap/>
            <w:hideMark/>
          </w:tcPr>
          <w:p w14:paraId="2A3CFAC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6.81</w:t>
            </w:r>
          </w:p>
        </w:tc>
        <w:tc>
          <w:tcPr>
            <w:tcW w:w="960" w:type="dxa"/>
            <w:tcBorders>
              <w:right w:val="single" w:sz="4" w:space="0" w:color="auto"/>
            </w:tcBorders>
            <w:noWrap/>
            <w:hideMark/>
          </w:tcPr>
          <w:p w14:paraId="006E5CC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10.51</w:t>
            </w:r>
          </w:p>
        </w:tc>
        <w:tc>
          <w:tcPr>
            <w:tcW w:w="960" w:type="dxa"/>
            <w:tcBorders>
              <w:left w:val="single" w:sz="4" w:space="0" w:color="auto"/>
            </w:tcBorders>
            <w:noWrap/>
            <w:hideMark/>
          </w:tcPr>
          <w:p w14:paraId="24E8CFC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8.71</w:t>
            </w:r>
          </w:p>
        </w:tc>
        <w:tc>
          <w:tcPr>
            <w:tcW w:w="960" w:type="dxa"/>
            <w:noWrap/>
            <w:hideMark/>
          </w:tcPr>
          <w:p w14:paraId="127898B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13.53</w:t>
            </w:r>
          </w:p>
        </w:tc>
      </w:tr>
      <w:tr w:rsidR="001F4DDE" w:rsidRPr="006F2183" w14:paraId="5A343D3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7B14A7E3" w14:textId="77777777" w:rsidR="001F4DDE" w:rsidRPr="006F2183" w:rsidRDefault="001F4DDE" w:rsidP="001F4DDE">
            <w:pPr>
              <w:rPr>
                <w:bCs/>
                <w:color w:val="000000"/>
                <w:sz w:val="18"/>
                <w:szCs w:val="18"/>
              </w:rPr>
            </w:pPr>
            <w:r w:rsidRPr="006F2183">
              <w:rPr>
                <w:bCs/>
                <w:color w:val="000000"/>
                <w:sz w:val="18"/>
                <w:szCs w:val="18"/>
              </w:rPr>
              <w:t>France</w:t>
            </w:r>
          </w:p>
        </w:tc>
        <w:tc>
          <w:tcPr>
            <w:tcW w:w="917" w:type="dxa"/>
            <w:noWrap/>
            <w:hideMark/>
          </w:tcPr>
          <w:p w14:paraId="6279ABB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9.68</w:t>
            </w:r>
          </w:p>
        </w:tc>
        <w:tc>
          <w:tcPr>
            <w:tcW w:w="1003" w:type="dxa"/>
            <w:tcBorders>
              <w:right w:val="single" w:sz="4" w:space="0" w:color="auto"/>
            </w:tcBorders>
            <w:noWrap/>
            <w:hideMark/>
          </w:tcPr>
          <w:p w14:paraId="70BCABC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16.92</w:t>
            </w:r>
          </w:p>
        </w:tc>
        <w:tc>
          <w:tcPr>
            <w:tcW w:w="960" w:type="dxa"/>
            <w:tcBorders>
              <w:left w:val="single" w:sz="4" w:space="0" w:color="auto"/>
            </w:tcBorders>
            <w:noWrap/>
            <w:hideMark/>
          </w:tcPr>
          <w:p w14:paraId="11178CA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6.59</w:t>
            </w:r>
          </w:p>
        </w:tc>
        <w:tc>
          <w:tcPr>
            <w:tcW w:w="960" w:type="dxa"/>
            <w:tcBorders>
              <w:right w:val="single" w:sz="4" w:space="0" w:color="auto"/>
            </w:tcBorders>
            <w:noWrap/>
            <w:hideMark/>
          </w:tcPr>
          <w:p w14:paraId="4F7C7B2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11.33</w:t>
            </w:r>
          </w:p>
        </w:tc>
        <w:tc>
          <w:tcPr>
            <w:tcW w:w="960" w:type="dxa"/>
            <w:tcBorders>
              <w:left w:val="single" w:sz="4" w:space="0" w:color="auto"/>
            </w:tcBorders>
            <w:noWrap/>
            <w:hideMark/>
          </w:tcPr>
          <w:p w14:paraId="758C4FE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7.58</w:t>
            </w:r>
          </w:p>
        </w:tc>
        <w:tc>
          <w:tcPr>
            <w:tcW w:w="960" w:type="dxa"/>
            <w:tcBorders>
              <w:right w:val="single" w:sz="4" w:space="0" w:color="auto"/>
            </w:tcBorders>
            <w:noWrap/>
            <w:hideMark/>
          </w:tcPr>
          <w:p w14:paraId="22E1D2C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13.81</w:t>
            </w:r>
          </w:p>
        </w:tc>
        <w:tc>
          <w:tcPr>
            <w:tcW w:w="960" w:type="dxa"/>
            <w:tcBorders>
              <w:left w:val="single" w:sz="4" w:space="0" w:color="auto"/>
            </w:tcBorders>
            <w:noWrap/>
            <w:hideMark/>
          </w:tcPr>
          <w:p w14:paraId="4C607E0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8.62</w:t>
            </w:r>
          </w:p>
        </w:tc>
        <w:tc>
          <w:tcPr>
            <w:tcW w:w="960" w:type="dxa"/>
            <w:noWrap/>
            <w:hideMark/>
          </w:tcPr>
          <w:p w14:paraId="2CD09D6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15.91</w:t>
            </w:r>
          </w:p>
        </w:tc>
      </w:tr>
      <w:tr w:rsidR="001F4DDE" w:rsidRPr="006F2183" w14:paraId="155D441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11DEA16" w14:textId="77777777" w:rsidR="001F4DDE" w:rsidRPr="006F2183" w:rsidRDefault="001F4DDE" w:rsidP="001F4DDE">
            <w:pPr>
              <w:rPr>
                <w:bCs/>
                <w:color w:val="000000"/>
                <w:sz w:val="18"/>
                <w:szCs w:val="18"/>
              </w:rPr>
            </w:pPr>
            <w:r w:rsidRPr="006F2183">
              <w:rPr>
                <w:bCs/>
                <w:color w:val="000000"/>
                <w:sz w:val="18"/>
                <w:szCs w:val="18"/>
              </w:rPr>
              <w:t>Germany</w:t>
            </w:r>
          </w:p>
        </w:tc>
        <w:tc>
          <w:tcPr>
            <w:tcW w:w="917" w:type="dxa"/>
            <w:noWrap/>
            <w:hideMark/>
          </w:tcPr>
          <w:p w14:paraId="13AA05D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10.20</w:t>
            </w:r>
          </w:p>
        </w:tc>
        <w:tc>
          <w:tcPr>
            <w:tcW w:w="1003" w:type="dxa"/>
            <w:tcBorders>
              <w:right w:val="single" w:sz="4" w:space="0" w:color="auto"/>
            </w:tcBorders>
            <w:noWrap/>
            <w:hideMark/>
          </w:tcPr>
          <w:p w14:paraId="7CADE2C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17.69</w:t>
            </w:r>
          </w:p>
        </w:tc>
        <w:tc>
          <w:tcPr>
            <w:tcW w:w="960" w:type="dxa"/>
            <w:tcBorders>
              <w:left w:val="single" w:sz="4" w:space="0" w:color="auto"/>
            </w:tcBorders>
            <w:noWrap/>
            <w:hideMark/>
          </w:tcPr>
          <w:p w14:paraId="35E149C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6.94</w:t>
            </w:r>
          </w:p>
        </w:tc>
        <w:tc>
          <w:tcPr>
            <w:tcW w:w="960" w:type="dxa"/>
            <w:tcBorders>
              <w:right w:val="single" w:sz="4" w:space="0" w:color="auto"/>
            </w:tcBorders>
            <w:noWrap/>
            <w:hideMark/>
          </w:tcPr>
          <w:p w14:paraId="1ED72EC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11.73</w:t>
            </w:r>
          </w:p>
        </w:tc>
        <w:tc>
          <w:tcPr>
            <w:tcW w:w="960" w:type="dxa"/>
            <w:tcBorders>
              <w:left w:val="single" w:sz="4" w:space="0" w:color="auto"/>
            </w:tcBorders>
            <w:noWrap/>
            <w:hideMark/>
          </w:tcPr>
          <w:p w14:paraId="402A74F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7.71</w:t>
            </w:r>
          </w:p>
        </w:tc>
        <w:tc>
          <w:tcPr>
            <w:tcW w:w="960" w:type="dxa"/>
            <w:tcBorders>
              <w:right w:val="single" w:sz="4" w:space="0" w:color="auto"/>
            </w:tcBorders>
            <w:noWrap/>
            <w:hideMark/>
          </w:tcPr>
          <w:p w14:paraId="37D5039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13.66</w:t>
            </w:r>
          </w:p>
        </w:tc>
        <w:tc>
          <w:tcPr>
            <w:tcW w:w="960" w:type="dxa"/>
            <w:tcBorders>
              <w:left w:val="single" w:sz="4" w:space="0" w:color="auto"/>
            </w:tcBorders>
            <w:noWrap/>
            <w:hideMark/>
          </w:tcPr>
          <w:p w14:paraId="01F6862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8.82</w:t>
            </w:r>
          </w:p>
        </w:tc>
        <w:tc>
          <w:tcPr>
            <w:tcW w:w="960" w:type="dxa"/>
            <w:noWrap/>
            <w:hideMark/>
          </w:tcPr>
          <w:p w14:paraId="6984592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15.76</w:t>
            </w:r>
          </w:p>
        </w:tc>
      </w:tr>
      <w:tr w:rsidR="001F4DDE" w:rsidRPr="006F2183" w14:paraId="51B0A29D"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6097700" w14:textId="77777777" w:rsidR="001F4DDE" w:rsidRPr="006F2183" w:rsidRDefault="001F4DDE" w:rsidP="001F4DDE">
            <w:pPr>
              <w:rPr>
                <w:bCs/>
                <w:color w:val="000000"/>
                <w:sz w:val="18"/>
                <w:szCs w:val="18"/>
              </w:rPr>
            </w:pPr>
            <w:r w:rsidRPr="006F2183">
              <w:rPr>
                <w:bCs/>
                <w:color w:val="000000"/>
                <w:sz w:val="18"/>
                <w:szCs w:val="18"/>
              </w:rPr>
              <w:t>Hong Kong</w:t>
            </w:r>
          </w:p>
        </w:tc>
        <w:tc>
          <w:tcPr>
            <w:tcW w:w="917" w:type="dxa"/>
            <w:noWrap/>
            <w:hideMark/>
          </w:tcPr>
          <w:p w14:paraId="24271CA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12.69</w:t>
            </w:r>
          </w:p>
        </w:tc>
        <w:tc>
          <w:tcPr>
            <w:tcW w:w="1003" w:type="dxa"/>
            <w:tcBorders>
              <w:right w:val="single" w:sz="4" w:space="0" w:color="auto"/>
            </w:tcBorders>
            <w:noWrap/>
            <w:hideMark/>
          </w:tcPr>
          <w:p w14:paraId="0B82405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26.59</w:t>
            </w:r>
          </w:p>
        </w:tc>
        <w:tc>
          <w:tcPr>
            <w:tcW w:w="960" w:type="dxa"/>
            <w:tcBorders>
              <w:left w:val="single" w:sz="4" w:space="0" w:color="auto"/>
            </w:tcBorders>
            <w:noWrap/>
            <w:hideMark/>
          </w:tcPr>
          <w:p w14:paraId="1EEAA95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4.11</w:t>
            </w:r>
          </w:p>
        </w:tc>
        <w:tc>
          <w:tcPr>
            <w:tcW w:w="960" w:type="dxa"/>
            <w:tcBorders>
              <w:right w:val="single" w:sz="4" w:space="0" w:color="auto"/>
            </w:tcBorders>
            <w:noWrap/>
            <w:hideMark/>
          </w:tcPr>
          <w:p w14:paraId="2B6E30E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6.80</w:t>
            </w:r>
          </w:p>
        </w:tc>
        <w:tc>
          <w:tcPr>
            <w:tcW w:w="960" w:type="dxa"/>
            <w:tcBorders>
              <w:left w:val="single" w:sz="4" w:space="0" w:color="auto"/>
            </w:tcBorders>
            <w:noWrap/>
            <w:hideMark/>
          </w:tcPr>
          <w:p w14:paraId="3D56519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4.68</w:t>
            </w:r>
          </w:p>
        </w:tc>
        <w:tc>
          <w:tcPr>
            <w:tcW w:w="960" w:type="dxa"/>
            <w:tcBorders>
              <w:right w:val="single" w:sz="4" w:space="0" w:color="auto"/>
            </w:tcBorders>
            <w:noWrap/>
            <w:hideMark/>
          </w:tcPr>
          <w:p w14:paraId="3385525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7.77</w:t>
            </w:r>
          </w:p>
        </w:tc>
        <w:tc>
          <w:tcPr>
            <w:tcW w:w="960" w:type="dxa"/>
            <w:tcBorders>
              <w:left w:val="single" w:sz="4" w:space="0" w:color="auto"/>
            </w:tcBorders>
            <w:noWrap/>
            <w:hideMark/>
          </w:tcPr>
          <w:p w14:paraId="1CB3D14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5.47</w:t>
            </w:r>
          </w:p>
        </w:tc>
        <w:tc>
          <w:tcPr>
            <w:tcW w:w="960" w:type="dxa"/>
            <w:noWrap/>
            <w:hideMark/>
          </w:tcPr>
          <w:p w14:paraId="39717C0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9.12</w:t>
            </w:r>
          </w:p>
        </w:tc>
      </w:tr>
      <w:tr w:rsidR="001F4DDE" w:rsidRPr="006F2183" w14:paraId="6F9C854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005B3B1A" w14:textId="77777777" w:rsidR="001F4DDE" w:rsidRPr="006F2183" w:rsidRDefault="001F4DDE" w:rsidP="001F4DDE">
            <w:pPr>
              <w:rPr>
                <w:bCs/>
                <w:color w:val="000000"/>
                <w:sz w:val="18"/>
                <w:szCs w:val="18"/>
              </w:rPr>
            </w:pPr>
            <w:r w:rsidRPr="006F2183">
              <w:rPr>
                <w:bCs/>
                <w:color w:val="000000"/>
                <w:sz w:val="18"/>
                <w:szCs w:val="18"/>
              </w:rPr>
              <w:t>Ireland</w:t>
            </w:r>
          </w:p>
        </w:tc>
        <w:tc>
          <w:tcPr>
            <w:tcW w:w="917" w:type="dxa"/>
            <w:noWrap/>
            <w:hideMark/>
          </w:tcPr>
          <w:p w14:paraId="46F714A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14.65</w:t>
            </w:r>
          </w:p>
        </w:tc>
        <w:tc>
          <w:tcPr>
            <w:tcW w:w="1003" w:type="dxa"/>
            <w:tcBorders>
              <w:right w:val="single" w:sz="4" w:space="0" w:color="auto"/>
            </w:tcBorders>
            <w:noWrap/>
            <w:hideMark/>
          </w:tcPr>
          <w:p w14:paraId="0FE0646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27.88</w:t>
            </w:r>
          </w:p>
        </w:tc>
        <w:tc>
          <w:tcPr>
            <w:tcW w:w="960" w:type="dxa"/>
            <w:tcBorders>
              <w:left w:val="single" w:sz="4" w:space="0" w:color="auto"/>
            </w:tcBorders>
            <w:noWrap/>
            <w:hideMark/>
          </w:tcPr>
          <w:p w14:paraId="2E7960F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6.28</w:t>
            </w:r>
          </w:p>
        </w:tc>
        <w:tc>
          <w:tcPr>
            <w:tcW w:w="960" w:type="dxa"/>
            <w:tcBorders>
              <w:right w:val="single" w:sz="4" w:space="0" w:color="auto"/>
            </w:tcBorders>
            <w:noWrap/>
            <w:hideMark/>
          </w:tcPr>
          <w:p w14:paraId="0189ECD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11.14</w:t>
            </w:r>
          </w:p>
        </w:tc>
        <w:tc>
          <w:tcPr>
            <w:tcW w:w="960" w:type="dxa"/>
            <w:tcBorders>
              <w:left w:val="single" w:sz="4" w:space="0" w:color="auto"/>
            </w:tcBorders>
            <w:noWrap/>
            <w:hideMark/>
          </w:tcPr>
          <w:p w14:paraId="23502A1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7.67</w:t>
            </w:r>
          </w:p>
        </w:tc>
        <w:tc>
          <w:tcPr>
            <w:tcW w:w="960" w:type="dxa"/>
            <w:tcBorders>
              <w:right w:val="single" w:sz="4" w:space="0" w:color="auto"/>
            </w:tcBorders>
            <w:noWrap/>
            <w:hideMark/>
          </w:tcPr>
          <w:p w14:paraId="556C2F8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14.31</w:t>
            </w:r>
          </w:p>
        </w:tc>
        <w:tc>
          <w:tcPr>
            <w:tcW w:w="960" w:type="dxa"/>
            <w:tcBorders>
              <w:left w:val="single" w:sz="4" w:space="0" w:color="auto"/>
            </w:tcBorders>
            <w:noWrap/>
            <w:hideMark/>
          </w:tcPr>
          <w:p w14:paraId="3267BAE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10.28</w:t>
            </w:r>
          </w:p>
        </w:tc>
        <w:tc>
          <w:tcPr>
            <w:tcW w:w="960" w:type="dxa"/>
            <w:noWrap/>
            <w:hideMark/>
          </w:tcPr>
          <w:p w14:paraId="5079E6E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19.40</w:t>
            </w:r>
          </w:p>
        </w:tc>
      </w:tr>
      <w:tr w:rsidR="001F4DDE" w:rsidRPr="006F2183" w14:paraId="75AA8DD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62B21909" w14:textId="77777777" w:rsidR="001F4DDE" w:rsidRPr="006F2183" w:rsidRDefault="001F4DDE" w:rsidP="001F4DDE">
            <w:pPr>
              <w:rPr>
                <w:bCs/>
                <w:color w:val="000000"/>
                <w:sz w:val="18"/>
                <w:szCs w:val="18"/>
              </w:rPr>
            </w:pPr>
            <w:r w:rsidRPr="006F2183">
              <w:rPr>
                <w:bCs/>
                <w:color w:val="000000"/>
                <w:sz w:val="18"/>
                <w:szCs w:val="18"/>
              </w:rPr>
              <w:t>Israel</w:t>
            </w:r>
          </w:p>
        </w:tc>
        <w:tc>
          <w:tcPr>
            <w:tcW w:w="917" w:type="dxa"/>
            <w:noWrap/>
            <w:hideMark/>
          </w:tcPr>
          <w:p w14:paraId="65774E1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7.83</w:t>
            </w:r>
          </w:p>
        </w:tc>
        <w:tc>
          <w:tcPr>
            <w:tcW w:w="1003" w:type="dxa"/>
            <w:tcBorders>
              <w:right w:val="single" w:sz="4" w:space="0" w:color="auto"/>
            </w:tcBorders>
            <w:noWrap/>
            <w:hideMark/>
          </w:tcPr>
          <w:p w14:paraId="2CFC218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13.65</w:t>
            </w:r>
          </w:p>
        </w:tc>
        <w:tc>
          <w:tcPr>
            <w:tcW w:w="960" w:type="dxa"/>
            <w:tcBorders>
              <w:left w:val="single" w:sz="4" w:space="0" w:color="auto"/>
            </w:tcBorders>
            <w:noWrap/>
            <w:hideMark/>
          </w:tcPr>
          <w:p w14:paraId="5F9DEE1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3.99</w:t>
            </w:r>
          </w:p>
        </w:tc>
        <w:tc>
          <w:tcPr>
            <w:tcW w:w="960" w:type="dxa"/>
            <w:tcBorders>
              <w:right w:val="single" w:sz="4" w:space="0" w:color="auto"/>
            </w:tcBorders>
            <w:noWrap/>
            <w:hideMark/>
          </w:tcPr>
          <w:p w14:paraId="48C4945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6.24</w:t>
            </w:r>
          </w:p>
        </w:tc>
        <w:tc>
          <w:tcPr>
            <w:tcW w:w="960" w:type="dxa"/>
            <w:tcBorders>
              <w:left w:val="single" w:sz="4" w:space="0" w:color="auto"/>
            </w:tcBorders>
            <w:noWrap/>
            <w:hideMark/>
          </w:tcPr>
          <w:p w14:paraId="387CBF1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4.00</w:t>
            </w:r>
          </w:p>
        </w:tc>
        <w:tc>
          <w:tcPr>
            <w:tcW w:w="960" w:type="dxa"/>
            <w:tcBorders>
              <w:right w:val="single" w:sz="4" w:space="0" w:color="auto"/>
            </w:tcBorders>
            <w:noWrap/>
            <w:hideMark/>
          </w:tcPr>
          <w:p w14:paraId="24BB2F7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6.20</w:t>
            </w:r>
          </w:p>
        </w:tc>
        <w:tc>
          <w:tcPr>
            <w:tcW w:w="960" w:type="dxa"/>
            <w:tcBorders>
              <w:left w:val="single" w:sz="4" w:space="0" w:color="auto"/>
            </w:tcBorders>
            <w:noWrap/>
            <w:hideMark/>
          </w:tcPr>
          <w:p w14:paraId="3C17DF5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4.71</w:t>
            </w:r>
          </w:p>
        </w:tc>
        <w:tc>
          <w:tcPr>
            <w:tcW w:w="960" w:type="dxa"/>
            <w:noWrap/>
            <w:hideMark/>
          </w:tcPr>
          <w:p w14:paraId="7ADFC58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7.34</w:t>
            </w:r>
          </w:p>
        </w:tc>
      </w:tr>
      <w:tr w:rsidR="001F4DDE" w:rsidRPr="006F2183" w14:paraId="0512F7D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B111075" w14:textId="77777777" w:rsidR="001F4DDE" w:rsidRPr="006F2183" w:rsidRDefault="001F4DDE" w:rsidP="001F4DDE">
            <w:pPr>
              <w:rPr>
                <w:bCs/>
                <w:color w:val="000000"/>
                <w:sz w:val="18"/>
                <w:szCs w:val="18"/>
              </w:rPr>
            </w:pPr>
            <w:r w:rsidRPr="006F2183">
              <w:rPr>
                <w:bCs/>
                <w:color w:val="000000"/>
                <w:sz w:val="18"/>
                <w:szCs w:val="18"/>
              </w:rPr>
              <w:t>Italy</w:t>
            </w:r>
          </w:p>
        </w:tc>
        <w:tc>
          <w:tcPr>
            <w:tcW w:w="917" w:type="dxa"/>
            <w:noWrap/>
            <w:hideMark/>
          </w:tcPr>
          <w:p w14:paraId="48B122C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10.67</w:t>
            </w:r>
          </w:p>
        </w:tc>
        <w:tc>
          <w:tcPr>
            <w:tcW w:w="1003" w:type="dxa"/>
            <w:tcBorders>
              <w:right w:val="single" w:sz="4" w:space="0" w:color="auto"/>
            </w:tcBorders>
            <w:noWrap/>
            <w:hideMark/>
          </w:tcPr>
          <w:p w14:paraId="4E8F468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19.42</w:t>
            </w:r>
          </w:p>
        </w:tc>
        <w:tc>
          <w:tcPr>
            <w:tcW w:w="960" w:type="dxa"/>
            <w:tcBorders>
              <w:left w:val="single" w:sz="4" w:space="0" w:color="auto"/>
            </w:tcBorders>
            <w:noWrap/>
            <w:hideMark/>
          </w:tcPr>
          <w:p w14:paraId="699202B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6.42</w:t>
            </w:r>
          </w:p>
        </w:tc>
        <w:tc>
          <w:tcPr>
            <w:tcW w:w="960" w:type="dxa"/>
            <w:tcBorders>
              <w:right w:val="single" w:sz="4" w:space="0" w:color="auto"/>
            </w:tcBorders>
            <w:noWrap/>
            <w:hideMark/>
          </w:tcPr>
          <w:p w14:paraId="217ECD2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11.06</w:t>
            </w:r>
          </w:p>
        </w:tc>
        <w:tc>
          <w:tcPr>
            <w:tcW w:w="960" w:type="dxa"/>
            <w:tcBorders>
              <w:left w:val="single" w:sz="4" w:space="0" w:color="auto"/>
            </w:tcBorders>
            <w:noWrap/>
            <w:hideMark/>
          </w:tcPr>
          <w:p w14:paraId="1890D3C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7.69</w:t>
            </w:r>
          </w:p>
        </w:tc>
        <w:tc>
          <w:tcPr>
            <w:tcW w:w="960" w:type="dxa"/>
            <w:tcBorders>
              <w:right w:val="single" w:sz="4" w:space="0" w:color="auto"/>
            </w:tcBorders>
            <w:noWrap/>
            <w:hideMark/>
          </w:tcPr>
          <w:p w14:paraId="0719D3F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14.19</w:t>
            </w:r>
          </w:p>
        </w:tc>
        <w:tc>
          <w:tcPr>
            <w:tcW w:w="960" w:type="dxa"/>
            <w:tcBorders>
              <w:left w:val="single" w:sz="4" w:space="0" w:color="auto"/>
            </w:tcBorders>
            <w:noWrap/>
            <w:hideMark/>
          </w:tcPr>
          <w:p w14:paraId="04E452B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9.17</w:t>
            </w:r>
          </w:p>
        </w:tc>
        <w:tc>
          <w:tcPr>
            <w:tcW w:w="960" w:type="dxa"/>
            <w:noWrap/>
            <w:hideMark/>
          </w:tcPr>
          <w:p w14:paraId="4645F69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16.86</w:t>
            </w:r>
          </w:p>
        </w:tc>
      </w:tr>
      <w:tr w:rsidR="001F4DDE" w:rsidRPr="006F2183" w14:paraId="11F2716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43BA06C2" w14:textId="77777777" w:rsidR="001F4DDE" w:rsidRPr="006F2183" w:rsidRDefault="001F4DDE" w:rsidP="001F4DDE">
            <w:pPr>
              <w:rPr>
                <w:bCs/>
                <w:color w:val="000000"/>
                <w:sz w:val="18"/>
                <w:szCs w:val="18"/>
              </w:rPr>
            </w:pPr>
            <w:r w:rsidRPr="006F2183">
              <w:rPr>
                <w:bCs/>
                <w:color w:val="000000"/>
                <w:sz w:val="18"/>
                <w:szCs w:val="18"/>
              </w:rPr>
              <w:t>Japan</w:t>
            </w:r>
          </w:p>
        </w:tc>
        <w:tc>
          <w:tcPr>
            <w:tcW w:w="917" w:type="dxa"/>
            <w:noWrap/>
            <w:hideMark/>
          </w:tcPr>
          <w:p w14:paraId="52A227A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7.13</w:t>
            </w:r>
          </w:p>
        </w:tc>
        <w:tc>
          <w:tcPr>
            <w:tcW w:w="1003" w:type="dxa"/>
            <w:tcBorders>
              <w:right w:val="single" w:sz="4" w:space="0" w:color="auto"/>
            </w:tcBorders>
            <w:noWrap/>
            <w:hideMark/>
          </w:tcPr>
          <w:p w14:paraId="31D8101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11.41</w:t>
            </w:r>
          </w:p>
        </w:tc>
        <w:tc>
          <w:tcPr>
            <w:tcW w:w="960" w:type="dxa"/>
            <w:tcBorders>
              <w:left w:val="single" w:sz="4" w:space="0" w:color="auto"/>
            </w:tcBorders>
            <w:noWrap/>
            <w:hideMark/>
          </w:tcPr>
          <w:p w14:paraId="48EDA40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2.85</w:t>
            </w:r>
          </w:p>
        </w:tc>
        <w:tc>
          <w:tcPr>
            <w:tcW w:w="960" w:type="dxa"/>
            <w:tcBorders>
              <w:right w:val="single" w:sz="4" w:space="0" w:color="auto"/>
            </w:tcBorders>
            <w:noWrap/>
            <w:hideMark/>
          </w:tcPr>
          <w:p w14:paraId="5FB9CB4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4.58</w:t>
            </w:r>
          </w:p>
        </w:tc>
        <w:tc>
          <w:tcPr>
            <w:tcW w:w="960" w:type="dxa"/>
            <w:tcBorders>
              <w:left w:val="single" w:sz="4" w:space="0" w:color="auto"/>
            </w:tcBorders>
            <w:noWrap/>
            <w:hideMark/>
          </w:tcPr>
          <w:p w14:paraId="75B8218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3.21</w:t>
            </w:r>
          </w:p>
        </w:tc>
        <w:tc>
          <w:tcPr>
            <w:tcW w:w="960" w:type="dxa"/>
            <w:tcBorders>
              <w:right w:val="single" w:sz="4" w:space="0" w:color="auto"/>
            </w:tcBorders>
            <w:noWrap/>
            <w:hideMark/>
          </w:tcPr>
          <w:p w14:paraId="33EA535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5.21</w:t>
            </w:r>
          </w:p>
        </w:tc>
        <w:tc>
          <w:tcPr>
            <w:tcW w:w="960" w:type="dxa"/>
            <w:tcBorders>
              <w:left w:val="single" w:sz="4" w:space="0" w:color="auto"/>
            </w:tcBorders>
            <w:noWrap/>
            <w:hideMark/>
          </w:tcPr>
          <w:p w14:paraId="3F8C05A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5.36</w:t>
            </w:r>
          </w:p>
        </w:tc>
        <w:tc>
          <w:tcPr>
            <w:tcW w:w="960" w:type="dxa"/>
            <w:noWrap/>
            <w:hideMark/>
          </w:tcPr>
          <w:p w14:paraId="79C1915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8.78</w:t>
            </w:r>
          </w:p>
        </w:tc>
      </w:tr>
      <w:tr w:rsidR="001F4DDE" w:rsidRPr="006F2183" w14:paraId="1A81488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1CF472ED" w14:textId="77777777" w:rsidR="001F4DDE" w:rsidRPr="006F2183" w:rsidRDefault="001F4DDE" w:rsidP="001F4DDE">
            <w:pPr>
              <w:rPr>
                <w:bCs/>
                <w:color w:val="000000"/>
                <w:sz w:val="18"/>
                <w:szCs w:val="18"/>
              </w:rPr>
            </w:pPr>
            <w:r w:rsidRPr="006F2183">
              <w:rPr>
                <w:bCs/>
                <w:color w:val="000000"/>
                <w:sz w:val="18"/>
                <w:szCs w:val="18"/>
              </w:rPr>
              <w:t>Netherlands</w:t>
            </w:r>
          </w:p>
        </w:tc>
        <w:tc>
          <w:tcPr>
            <w:tcW w:w="917" w:type="dxa"/>
            <w:noWrap/>
            <w:hideMark/>
          </w:tcPr>
          <w:p w14:paraId="68E9BC0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11.30</w:t>
            </w:r>
          </w:p>
        </w:tc>
        <w:tc>
          <w:tcPr>
            <w:tcW w:w="1003" w:type="dxa"/>
            <w:tcBorders>
              <w:right w:val="single" w:sz="4" w:space="0" w:color="auto"/>
            </w:tcBorders>
            <w:noWrap/>
            <w:hideMark/>
          </w:tcPr>
          <w:p w14:paraId="69DF086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21.02</w:t>
            </w:r>
          </w:p>
        </w:tc>
        <w:tc>
          <w:tcPr>
            <w:tcW w:w="960" w:type="dxa"/>
            <w:tcBorders>
              <w:left w:val="single" w:sz="4" w:space="0" w:color="auto"/>
            </w:tcBorders>
            <w:noWrap/>
            <w:hideMark/>
          </w:tcPr>
          <w:p w14:paraId="2C52F3B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6.46</w:t>
            </w:r>
          </w:p>
        </w:tc>
        <w:tc>
          <w:tcPr>
            <w:tcW w:w="960" w:type="dxa"/>
            <w:tcBorders>
              <w:right w:val="single" w:sz="4" w:space="0" w:color="auto"/>
            </w:tcBorders>
            <w:noWrap/>
            <w:hideMark/>
          </w:tcPr>
          <w:p w14:paraId="055BD30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11.21</w:t>
            </w:r>
          </w:p>
        </w:tc>
        <w:tc>
          <w:tcPr>
            <w:tcW w:w="960" w:type="dxa"/>
            <w:tcBorders>
              <w:left w:val="single" w:sz="4" w:space="0" w:color="auto"/>
            </w:tcBorders>
            <w:noWrap/>
            <w:hideMark/>
          </w:tcPr>
          <w:p w14:paraId="2EBC55F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7.53</w:t>
            </w:r>
          </w:p>
        </w:tc>
        <w:tc>
          <w:tcPr>
            <w:tcW w:w="960" w:type="dxa"/>
            <w:tcBorders>
              <w:right w:val="single" w:sz="4" w:space="0" w:color="auto"/>
            </w:tcBorders>
            <w:noWrap/>
            <w:hideMark/>
          </w:tcPr>
          <w:p w14:paraId="0A3AC01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13.83</w:t>
            </w:r>
          </w:p>
        </w:tc>
        <w:tc>
          <w:tcPr>
            <w:tcW w:w="960" w:type="dxa"/>
            <w:tcBorders>
              <w:left w:val="single" w:sz="4" w:space="0" w:color="auto"/>
            </w:tcBorders>
            <w:noWrap/>
            <w:hideMark/>
          </w:tcPr>
          <w:p w14:paraId="0AE7362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9.16</w:t>
            </w:r>
          </w:p>
        </w:tc>
        <w:tc>
          <w:tcPr>
            <w:tcW w:w="960" w:type="dxa"/>
            <w:noWrap/>
            <w:hideMark/>
          </w:tcPr>
          <w:p w14:paraId="63143D5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16.77</w:t>
            </w:r>
          </w:p>
        </w:tc>
      </w:tr>
      <w:tr w:rsidR="001F4DDE" w:rsidRPr="006F2183" w14:paraId="39D2727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6CC77545" w14:textId="77777777" w:rsidR="001F4DDE" w:rsidRPr="006F2183" w:rsidRDefault="001F4DDE" w:rsidP="001F4DDE">
            <w:pPr>
              <w:rPr>
                <w:bCs/>
                <w:color w:val="000000"/>
                <w:sz w:val="18"/>
                <w:szCs w:val="18"/>
              </w:rPr>
            </w:pPr>
            <w:r w:rsidRPr="006F2183">
              <w:rPr>
                <w:bCs/>
                <w:color w:val="000000"/>
                <w:sz w:val="18"/>
                <w:szCs w:val="18"/>
              </w:rPr>
              <w:t>New Zealand</w:t>
            </w:r>
          </w:p>
        </w:tc>
        <w:tc>
          <w:tcPr>
            <w:tcW w:w="917" w:type="dxa"/>
            <w:noWrap/>
            <w:hideMark/>
          </w:tcPr>
          <w:p w14:paraId="3AEAD44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9.20</w:t>
            </w:r>
          </w:p>
        </w:tc>
        <w:tc>
          <w:tcPr>
            <w:tcW w:w="1003" w:type="dxa"/>
            <w:tcBorders>
              <w:right w:val="single" w:sz="4" w:space="0" w:color="auto"/>
            </w:tcBorders>
            <w:noWrap/>
            <w:hideMark/>
          </w:tcPr>
          <w:p w14:paraId="5DDF47B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15.64</w:t>
            </w:r>
          </w:p>
        </w:tc>
        <w:tc>
          <w:tcPr>
            <w:tcW w:w="960" w:type="dxa"/>
            <w:tcBorders>
              <w:left w:val="single" w:sz="4" w:space="0" w:color="auto"/>
            </w:tcBorders>
            <w:noWrap/>
            <w:hideMark/>
          </w:tcPr>
          <w:p w14:paraId="59D01F9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4.12</w:t>
            </w:r>
          </w:p>
        </w:tc>
        <w:tc>
          <w:tcPr>
            <w:tcW w:w="960" w:type="dxa"/>
            <w:tcBorders>
              <w:right w:val="single" w:sz="4" w:space="0" w:color="auto"/>
            </w:tcBorders>
            <w:noWrap/>
            <w:hideMark/>
          </w:tcPr>
          <w:p w14:paraId="205895F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7.12</w:t>
            </w:r>
          </w:p>
        </w:tc>
        <w:tc>
          <w:tcPr>
            <w:tcW w:w="960" w:type="dxa"/>
            <w:tcBorders>
              <w:left w:val="single" w:sz="4" w:space="0" w:color="auto"/>
            </w:tcBorders>
            <w:noWrap/>
            <w:hideMark/>
          </w:tcPr>
          <w:p w14:paraId="017EABE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5.40</w:t>
            </w:r>
          </w:p>
        </w:tc>
        <w:tc>
          <w:tcPr>
            <w:tcW w:w="960" w:type="dxa"/>
            <w:tcBorders>
              <w:right w:val="single" w:sz="4" w:space="0" w:color="auto"/>
            </w:tcBorders>
            <w:noWrap/>
            <w:hideMark/>
          </w:tcPr>
          <w:p w14:paraId="7394AD9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10.10</w:t>
            </w:r>
          </w:p>
        </w:tc>
        <w:tc>
          <w:tcPr>
            <w:tcW w:w="960" w:type="dxa"/>
            <w:tcBorders>
              <w:left w:val="single" w:sz="4" w:space="0" w:color="auto"/>
            </w:tcBorders>
            <w:noWrap/>
            <w:hideMark/>
          </w:tcPr>
          <w:p w14:paraId="29D3F49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7.01</w:t>
            </w:r>
          </w:p>
        </w:tc>
        <w:tc>
          <w:tcPr>
            <w:tcW w:w="960" w:type="dxa"/>
            <w:noWrap/>
            <w:hideMark/>
          </w:tcPr>
          <w:p w14:paraId="435BF4F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13.41</w:t>
            </w:r>
          </w:p>
        </w:tc>
      </w:tr>
      <w:tr w:rsidR="001F4DDE" w:rsidRPr="006F2183" w14:paraId="7A603A5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97E0FED" w14:textId="77777777" w:rsidR="001F4DDE" w:rsidRPr="006F2183" w:rsidRDefault="001F4DDE" w:rsidP="001F4DDE">
            <w:pPr>
              <w:rPr>
                <w:bCs/>
                <w:color w:val="000000"/>
                <w:sz w:val="18"/>
                <w:szCs w:val="18"/>
              </w:rPr>
            </w:pPr>
            <w:r w:rsidRPr="006F2183">
              <w:rPr>
                <w:bCs/>
                <w:color w:val="000000"/>
                <w:sz w:val="18"/>
                <w:szCs w:val="18"/>
              </w:rPr>
              <w:t>Portugal</w:t>
            </w:r>
          </w:p>
        </w:tc>
        <w:tc>
          <w:tcPr>
            <w:tcW w:w="917" w:type="dxa"/>
            <w:noWrap/>
            <w:hideMark/>
          </w:tcPr>
          <w:p w14:paraId="5435E8F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8.96</w:t>
            </w:r>
          </w:p>
        </w:tc>
        <w:tc>
          <w:tcPr>
            <w:tcW w:w="1003" w:type="dxa"/>
            <w:tcBorders>
              <w:right w:val="single" w:sz="4" w:space="0" w:color="auto"/>
            </w:tcBorders>
            <w:noWrap/>
            <w:hideMark/>
          </w:tcPr>
          <w:p w14:paraId="33380F5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15.45</w:t>
            </w:r>
          </w:p>
        </w:tc>
        <w:tc>
          <w:tcPr>
            <w:tcW w:w="960" w:type="dxa"/>
            <w:tcBorders>
              <w:left w:val="single" w:sz="4" w:space="0" w:color="auto"/>
            </w:tcBorders>
            <w:noWrap/>
            <w:hideMark/>
          </w:tcPr>
          <w:p w14:paraId="08B1903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4.19</w:t>
            </w:r>
          </w:p>
        </w:tc>
        <w:tc>
          <w:tcPr>
            <w:tcW w:w="960" w:type="dxa"/>
            <w:tcBorders>
              <w:right w:val="single" w:sz="4" w:space="0" w:color="auto"/>
            </w:tcBorders>
            <w:noWrap/>
            <w:hideMark/>
          </w:tcPr>
          <w:p w14:paraId="1EF6616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7.35</w:t>
            </w:r>
          </w:p>
        </w:tc>
        <w:tc>
          <w:tcPr>
            <w:tcW w:w="960" w:type="dxa"/>
            <w:tcBorders>
              <w:left w:val="single" w:sz="4" w:space="0" w:color="auto"/>
            </w:tcBorders>
            <w:noWrap/>
            <w:hideMark/>
          </w:tcPr>
          <w:p w14:paraId="6D02801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5.28</w:t>
            </w:r>
          </w:p>
        </w:tc>
        <w:tc>
          <w:tcPr>
            <w:tcW w:w="960" w:type="dxa"/>
            <w:tcBorders>
              <w:right w:val="single" w:sz="4" w:space="0" w:color="auto"/>
            </w:tcBorders>
            <w:noWrap/>
            <w:hideMark/>
          </w:tcPr>
          <w:p w14:paraId="13F8882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9.94</w:t>
            </w:r>
          </w:p>
        </w:tc>
        <w:tc>
          <w:tcPr>
            <w:tcW w:w="960" w:type="dxa"/>
            <w:tcBorders>
              <w:left w:val="single" w:sz="4" w:space="0" w:color="auto"/>
            </w:tcBorders>
            <w:noWrap/>
            <w:hideMark/>
          </w:tcPr>
          <w:p w14:paraId="408C615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6.47</w:t>
            </w:r>
          </w:p>
        </w:tc>
        <w:tc>
          <w:tcPr>
            <w:tcW w:w="960" w:type="dxa"/>
            <w:noWrap/>
            <w:hideMark/>
          </w:tcPr>
          <w:p w14:paraId="647F154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12.22</w:t>
            </w:r>
          </w:p>
        </w:tc>
      </w:tr>
      <w:tr w:rsidR="001F4DDE" w:rsidRPr="006F2183" w14:paraId="39F0888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8AB8EAC" w14:textId="77777777" w:rsidR="001F4DDE" w:rsidRPr="006F2183" w:rsidRDefault="001F4DDE" w:rsidP="001F4DDE">
            <w:pPr>
              <w:rPr>
                <w:bCs/>
                <w:color w:val="000000"/>
                <w:sz w:val="18"/>
                <w:szCs w:val="18"/>
              </w:rPr>
            </w:pPr>
            <w:r w:rsidRPr="006F2183">
              <w:rPr>
                <w:bCs/>
                <w:color w:val="000000"/>
                <w:sz w:val="18"/>
                <w:szCs w:val="18"/>
              </w:rPr>
              <w:t>Singapore</w:t>
            </w:r>
          </w:p>
        </w:tc>
        <w:tc>
          <w:tcPr>
            <w:tcW w:w="917" w:type="dxa"/>
            <w:noWrap/>
            <w:hideMark/>
          </w:tcPr>
          <w:p w14:paraId="488D3F9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10.51</w:t>
            </w:r>
          </w:p>
        </w:tc>
        <w:tc>
          <w:tcPr>
            <w:tcW w:w="1003" w:type="dxa"/>
            <w:tcBorders>
              <w:right w:val="single" w:sz="4" w:space="0" w:color="auto"/>
            </w:tcBorders>
            <w:noWrap/>
            <w:hideMark/>
          </w:tcPr>
          <w:p w14:paraId="6DCE4FC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19.32</w:t>
            </w:r>
          </w:p>
        </w:tc>
        <w:tc>
          <w:tcPr>
            <w:tcW w:w="960" w:type="dxa"/>
            <w:tcBorders>
              <w:left w:val="single" w:sz="4" w:space="0" w:color="auto"/>
            </w:tcBorders>
            <w:noWrap/>
            <w:hideMark/>
          </w:tcPr>
          <w:p w14:paraId="1ED7C57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4.02</w:t>
            </w:r>
          </w:p>
        </w:tc>
        <w:tc>
          <w:tcPr>
            <w:tcW w:w="960" w:type="dxa"/>
            <w:tcBorders>
              <w:right w:val="single" w:sz="4" w:space="0" w:color="auto"/>
            </w:tcBorders>
            <w:noWrap/>
            <w:hideMark/>
          </w:tcPr>
          <w:p w14:paraId="56BFFC7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6.42</w:t>
            </w:r>
          </w:p>
        </w:tc>
        <w:tc>
          <w:tcPr>
            <w:tcW w:w="960" w:type="dxa"/>
            <w:tcBorders>
              <w:left w:val="single" w:sz="4" w:space="0" w:color="auto"/>
            </w:tcBorders>
            <w:noWrap/>
            <w:hideMark/>
          </w:tcPr>
          <w:p w14:paraId="1E443F1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4.30</w:t>
            </w:r>
          </w:p>
        </w:tc>
        <w:tc>
          <w:tcPr>
            <w:tcW w:w="960" w:type="dxa"/>
            <w:tcBorders>
              <w:right w:val="single" w:sz="4" w:space="0" w:color="auto"/>
            </w:tcBorders>
            <w:noWrap/>
            <w:hideMark/>
          </w:tcPr>
          <w:p w14:paraId="3B35062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6.95</w:t>
            </w:r>
          </w:p>
        </w:tc>
        <w:tc>
          <w:tcPr>
            <w:tcW w:w="960" w:type="dxa"/>
            <w:tcBorders>
              <w:left w:val="single" w:sz="4" w:space="0" w:color="auto"/>
            </w:tcBorders>
            <w:noWrap/>
            <w:hideMark/>
          </w:tcPr>
          <w:p w14:paraId="7C3929B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5.86</w:t>
            </w:r>
          </w:p>
        </w:tc>
        <w:tc>
          <w:tcPr>
            <w:tcW w:w="960" w:type="dxa"/>
            <w:noWrap/>
            <w:hideMark/>
          </w:tcPr>
          <w:p w14:paraId="3801D90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9.40</w:t>
            </w:r>
          </w:p>
        </w:tc>
      </w:tr>
      <w:tr w:rsidR="001F4DDE" w:rsidRPr="006F2183" w14:paraId="385C9F2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BB2CE2E" w14:textId="77777777" w:rsidR="001F4DDE" w:rsidRPr="006F2183" w:rsidRDefault="001F4DDE" w:rsidP="001F4DDE">
            <w:pPr>
              <w:rPr>
                <w:bCs/>
                <w:color w:val="000000"/>
                <w:sz w:val="18"/>
                <w:szCs w:val="18"/>
              </w:rPr>
            </w:pPr>
            <w:r w:rsidRPr="006F2183">
              <w:rPr>
                <w:bCs/>
                <w:color w:val="000000"/>
                <w:sz w:val="18"/>
                <w:szCs w:val="18"/>
              </w:rPr>
              <w:t>Spain</w:t>
            </w:r>
          </w:p>
        </w:tc>
        <w:tc>
          <w:tcPr>
            <w:tcW w:w="917" w:type="dxa"/>
            <w:noWrap/>
            <w:hideMark/>
          </w:tcPr>
          <w:p w14:paraId="759C8F7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11.06</w:t>
            </w:r>
          </w:p>
        </w:tc>
        <w:tc>
          <w:tcPr>
            <w:tcW w:w="1003" w:type="dxa"/>
            <w:tcBorders>
              <w:right w:val="single" w:sz="4" w:space="0" w:color="auto"/>
            </w:tcBorders>
            <w:noWrap/>
            <w:hideMark/>
          </w:tcPr>
          <w:p w14:paraId="12383FB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19.73</w:t>
            </w:r>
          </w:p>
        </w:tc>
        <w:tc>
          <w:tcPr>
            <w:tcW w:w="960" w:type="dxa"/>
            <w:tcBorders>
              <w:left w:val="single" w:sz="4" w:space="0" w:color="auto"/>
            </w:tcBorders>
            <w:noWrap/>
            <w:hideMark/>
          </w:tcPr>
          <w:p w14:paraId="12F0282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6.28</w:t>
            </w:r>
          </w:p>
        </w:tc>
        <w:tc>
          <w:tcPr>
            <w:tcW w:w="960" w:type="dxa"/>
            <w:tcBorders>
              <w:right w:val="single" w:sz="4" w:space="0" w:color="auto"/>
            </w:tcBorders>
            <w:noWrap/>
            <w:hideMark/>
          </w:tcPr>
          <w:p w14:paraId="2241BC4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10.95</w:t>
            </w:r>
          </w:p>
        </w:tc>
        <w:tc>
          <w:tcPr>
            <w:tcW w:w="960" w:type="dxa"/>
            <w:tcBorders>
              <w:left w:val="single" w:sz="4" w:space="0" w:color="auto"/>
            </w:tcBorders>
            <w:noWrap/>
            <w:hideMark/>
          </w:tcPr>
          <w:p w14:paraId="4EE1EF8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6.83</w:t>
            </w:r>
          </w:p>
        </w:tc>
        <w:tc>
          <w:tcPr>
            <w:tcW w:w="960" w:type="dxa"/>
            <w:tcBorders>
              <w:right w:val="single" w:sz="4" w:space="0" w:color="auto"/>
            </w:tcBorders>
            <w:noWrap/>
            <w:hideMark/>
          </w:tcPr>
          <w:p w14:paraId="4CADE24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12.27</w:t>
            </w:r>
          </w:p>
        </w:tc>
        <w:tc>
          <w:tcPr>
            <w:tcW w:w="960" w:type="dxa"/>
            <w:tcBorders>
              <w:left w:val="single" w:sz="4" w:space="0" w:color="auto"/>
            </w:tcBorders>
            <w:noWrap/>
            <w:hideMark/>
          </w:tcPr>
          <w:p w14:paraId="45CFBE4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8.88</w:t>
            </w:r>
          </w:p>
        </w:tc>
        <w:tc>
          <w:tcPr>
            <w:tcW w:w="960" w:type="dxa"/>
            <w:noWrap/>
            <w:hideMark/>
          </w:tcPr>
          <w:p w14:paraId="4DC2770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16.01</w:t>
            </w:r>
          </w:p>
        </w:tc>
      </w:tr>
      <w:tr w:rsidR="001F4DDE" w:rsidRPr="006F2183" w14:paraId="6439BA1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4529F0A" w14:textId="77777777" w:rsidR="001F4DDE" w:rsidRPr="006F2183" w:rsidRDefault="001F4DDE" w:rsidP="001F4DDE">
            <w:pPr>
              <w:rPr>
                <w:bCs/>
                <w:color w:val="000000"/>
                <w:sz w:val="18"/>
                <w:szCs w:val="18"/>
              </w:rPr>
            </w:pPr>
            <w:r w:rsidRPr="006F2183">
              <w:rPr>
                <w:bCs/>
                <w:color w:val="000000"/>
                <w:sz w:val="18"/>
                <w:szCs w:val="18"/>
              </w:rPr>
              <w:t>Sweden</w:t>
            </w:r>
          </w:p>
        </w:tc>
        <w:tc>
          <w:tcPr>
            <w:tcW w:w="917" w:type="dxa"/>
            <w:noWrap/>
            <w:hideMark/>
          </w:tcPr>
          <w:p w14:paraId="00AC36D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10.79</w:t>
            </w:r>
          </w:p>
        </w:tc>
        <w:tc>
          <w:tcPr>
            <w:tcW w:w="1003" w:type="dxa"/>
            <w:tcBorders>
              <w:right w:val="single" w:sz="4" w:space="0" w:color="auto"/>
            </w:tcBorders>
            <w:noWrap/>
            <w:hideMark/>
          </w:tcPr>
          <w:p w14:paraId="69C0F21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18.18</w:t>
            </w:r>
          </w:p>
        </w:tc>
        <w:tc>
          <w:tcPr>
            <w:tcW w:w="960" w:type="dxa"/>
            <w:tcBorders>
              <w:left w:val="single" w:sz="4" w:space="0" w:color="auto"/>
            </w:tcBorders>
            <w:noWrap/>
            <w:hideMark/>
          </w:tcPr>
          <w:p w14:paraId="2A14D66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7.00</w:t>
            </w:r>
          </w:p>
        </w:tc>
        <w:tc>
          <w:tcPr>
            <w:tcW w:w="960" w:type="dxa"/>
            <w:tcBorders>
              <w:right w:val="single" w:sz="4" w:space="0" w:color="auto"/>
            </w:tcBorders>
            <w:noWrap/>
            <w:hideMark/>
          </w:tcPr>
          <w:p w14:paraId="7C71A4C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11.27</w:t>
            </w:r>
          </w:p>
        </w:tc>
        <w:tc>
          <w:tcPr>
            <w:tcW w:w="960" w:type="dxa"/>
            <w:tcBorders>
              <w:left w:val="single" w:sz="4" w:space="0" w:color="auto"/>
            </w:tcBorders>
            <w:noWrap/>
            <w:hideMark/>
          </w:tcPr>
          <w:p w14:paraId="2ECC2A9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7.16</w:t>
            </w:r>
          </w:p>
        </w:tc>
        <w:tc>
          <w:tcPr>
            <w:tcW w:w="960" w:type="dxa"/>
            <w:tcBorders>
              <w:right w:val="single" w:sz="4" w:space="0" w:color="auto"/>
            </w:tcBorders>
            <w:noWrap/>
            <w:hideMark/>
          </w:tcPr>
          <w:p w14:paraId="698A755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11.59</w:t>
            </w:r>
          </w:p>
        </w:tc>
        <w:tc>
          <w:tcPr>
            <w:tcW w:w="960" w:type="dxa"/>
            <w:tcBorders>
              <w:left w:val="single" w:sz="4" w:space="0" w:color="auto"/>
            </w:tcBorders>
            <w:noWrap/>
            <w:hideMark/>
          </w:tcPr>
          <w:p w14:paraId="7FC5457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8.28</w:t>
            </w:r>
          </w:p>
        </w:tc>
        <w:tc>
          <w:tcPr>
            <w:tcW w:w="960" w:type="dxa"/>
            <w:noWrap/>
            <w:hideMark/>
          </w:tcPr>
          <w:p w14:paraId="4E0656B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13.45</w:t>
            </w:r>
          </w:p>
        </w:tc>
      </w:tr>
      <w:tr w:rsidR="001F4DDE" w:rsidRPr="006F2183" w14:paraId="0E14DCA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15A5F29C" w14:textId="77777777" w:rsidR="001F4DDE" w:rsidRPr="006F2183" w:rsidRDefault="001F4DDE" w:rsidP="001F4DDE">
            <w:pPr>
              <w:rPr>
                <w:bCs/>
                <w:color w:val="000000"/>
                <w:sz w:val="18"/>
                <w:szCs w:val="18"/>
              </w:rPr>
            </w:pPr>
            <w:r w:rsidRPr="006F2183">
              <w:rPr>
                <w:bCs/>
                <w:color w:val="000000"/>
                <w:sz w:val="18"/>
                <w:szCs w:val="18"/>
              </w:rPr>
              <w:t>Switzerland</w:t>
            </w:r>
          </w:p>
        </w:tc>
        <w:tc>
          <w:tcPr>
            <w:tcW w:w="917" w:type="dxa"/>
            <w:noWrap/>
            <w:hideMark/>
          </w:tcPr>
          <w:p w14:paraId="1A58F8C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9.68</w:t>
            </w:r>
          </w:p>
        </w:tc>
        <w:tc>
          <w:tcPr>
            <w:tcW w:w="1003" w:type="dxa"/>
            <w:tcBorders>
              <w:right w:val="single" w:sz="4" w:space="0" w:color="auto"/>
            </w:tcBorders>
            <w:noWrap/>
            <w:hideMark/>
          </w:tcPr>
          <w:p w14:paraId="624BD2C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18.13</w:t>
            </w:r>
          </w:p>
        </w:tc>
        <w:tc>
          <w:tcPr>
            <w:tcW w:w="960" w:type="dxa"/>
            <w:tcBorders>
              <w:left w:val="single" w:sz="4" w:space="0" w:color="auto"/>
            </w:tcBorders>
            <w:noWrap/>
            <w:hideMark/>
          </w:tcPr>
          <w:p w14:paraId="11E25E9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4.96</w:t>
            </w:r>
          </w:p>
        </w:tc>
        <w:tc>
          <w:tcPr>
            <w:tcW w:w="960" w:type="dxa"/>
            <w:tcBorders>
              <w:right w:val="single" w:sz="4" w:space="0" w:color="auto"/>
            </w:tcBorders>
            <w:noWrap/>
            <w:hideMark/>
          </w:tcPr>
          <w:p w14:paraId="345353B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8.53</w:t>
            </w:r>
          </w:p>
        </w:tc>
        <w:tc>
          <w:tcPr>
            <w:tcW w:w="960" w:type="dxa"/>
            <w:tcBorders>
              <w:left w:val="single" w:sz="4" w:space="0" w:color="auto"/>
            </w:tcBorders>
            <w:noWrap/>
            <w:hideMark/>
          </w:tcPr>
          <w:p w14:paraId="7BC0832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6.39</w:t>
            </w:r>
          </w:p>
        </w:tc>
        <w:tc>
          <w:tcPr>
            <w:tcW w:w="960" w:type="dxa"/>
            <w:tcBorders>
              <w:right w:val="single" w:sz="4" w:space="0" w:color="auto"/>
            </w:tcBorders>
            <w:noWrap/>
            <w:hideMark/>
          </w:tcPr>
          <w:p w14:paraId="237454E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12.28</w:t>
            </w:r>
          </w:p>
        </w:tc>
        <w:tc>
          <w:tcPr>
            <w:tcW w:w="960" w:type="dxa"/>
            <w:tcBorders>
              <w:left w:val="single" w:sz="4" w:space="0" w:color="auto"/>
            </w:tcBorders>
            <w:noWrap/>
            <w:hideMark/>
          </w:tcPr>
          <w:p w14:paraId="40EAAEF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7.92</w:t>
            </w:r>
          </w:p>
        </w:tc>
        <w:tc>
          <w:tcPr>
            <w:tcW w:w="960" w:type="dxa"/>
            <w:noWrap/>
            <w:hideMark/>
          </w:tcPr>
          <w:p w14:paraId="0647DDC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15.95</w:t>
            </w:r>
          </w:p>
        </w:tc>
      </w:tr>
      <w:tr w:rsidR="001F4DDE" w:rsidRPr="006F2183" w14:paraId="187A70C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1621B68" w14:textId="77777777" w:rsidR="001F4DDE" w:rsidRPr="006F2183" w:rsidRDefault="001F4DDE" w:rsidP="001F4DDE">
            <w:pPr>
              <w:rPr>
                <w:bCs/>
                <w:color w:val="000000"/>
                <w:sz w:val="18"/>
                <w:szCs w:val="18"/>
              </w:rPr>
            </w:pPr>
            <w:r w:rsidRPr="006F2183">
              <w:rPr>
                <w:bCs/>
                <w:color w:val="000000"/>
                <w:sz w:val="18"/>
                <w:szCs w:val="18"/>
              </w:rPr>
              <w:t>UK</w:t>
            </w:r>
          </w:p>
        </w:tc>
        <w:tc>
          <w:tcPr>
            <w:tcW w:w="917" w:type="dxa"/>
            <w:noWrap/>
            <w:hideMark/>
          </w:tcPr>
          <w:p w14:paraId="3BC240B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9.85</w:t>
            </w:r>
          </w:p>
        </w:tc>
        <w:tc>
          <w:tcPr>
            <w:tcW w:w="1003" w:type="dxa"/>
            <w:tcBorders>
              <w:right w:val="single" w:sz="4" w:space="0" w:color="auto"/>
            </w:tcBorders>
            <w:noWrap/>
            <w:hideMark/>
          </w:tcPr>
          <w:p w14:paraId="2639A7D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18.90</w:t>
            </w:r>
          </w:p>
        </w:tc>
        <w:tc>
          <w:tcPr>
            <w:tcW w:w="960" w:type="dxa"/>
            <w:tcBorders>
              <w:left w:val="single" w:sz="4" w:space="0" w:color="auto"/>
            </w:tcBorders>
            <w:noWrap/>
            <w:hideMark/>
          </w:tcPr>
          <w:p w14:paraId="0CE7AFA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5.83</w:t>
            </w:r>
          </w:p>
        </w:tc>
        <w:tc>
          <w:tcPr>
            <w:tcW w:w="960" w:type="dxa"/>
            <w:tcBorders>
              <w:right w:val="single" w:sz="4" w:space="0" w:color="auto"/>
            </w:tcBorders>
            <w:noWrap/>
            <w:hideMark/>
          </w:tcPr>
          <w:p w14:paraId="2F4A726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10.23</w:t>
            </w:r>
          </w:p>
        </w:tc>
        <w:tc>
          <w:tcPr>
            <w:tcW w:w="960" w:type="dxa"/>
            <w:tcBorders>
              <w:left w:val="single" w:sz="4" w:space="0" w:color="auto"/>
            </w:tcBorders>
            <w:noWrap/>
            <w:hideMark/>
          </w:tcPr>
          <w:p w14:paraId="5612F5D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7.05</w:t>
            </w:r>
          </w:p>
        </w:tc>
        <w:tc>
          <w:tcPr>
            <w:tcW w:w="960" w:type="dxa"/>
            <w:tcBorders>
              <w:right w:val="single" w:sz="4" w:space="0" w:color="auto"/>
            </w:tcBorders>
            <w:noWrap/>
            <w:hideMark/>
          </w:tcPr>
          <w:p w14:paraId="306E039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13.26</w:t>
            </w:r>
          </w:p>
        </w:tc>
        <w:tc>
          <w:tcPr>
            <w:tcW w:w="960" w:type="dxa"/>
            <w:tcBorders>
              <w:left w:val="single" w:sz="4" w:space="0" w:color="auto"/>
            </w:tcBorders>
            <w:noWrap/>
            <w:hideMark/>
          </w:tcPr>
          <w:p w14:paraId="078C5A1A"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8.21</w:t>
            </w:r>
          </w:p>
        </w:tc>
        <w:tc>
          <w:tcPr>
            <w:tcW w:w="960" w:type="dxa"/>
            <w:noWrap/>
            <w:hideMark/>
          </w:tcPr>
          <w:p w14:paraId="2E694B4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15.54</w:t>
            </w:r>
          </w:p>
        </w:tc>
      </w:tr>
      <w:tr w:rsidR="001F4DDE" w:rsidRPr="006F2183" w14:paraId="296584F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C44ADA0" w14:textId="77777777" w:rsidR="001F4DDE" w:rsidRPr="006F2183" w:rsidRDefault="001F4DDE" w:rsidP="001F4DDE">
            <w:pPr>
              <w:rPr>
                <w:bCs/>
                <w:i/>
                <w:color w:val="000000"/>
                <w:sz w:val="18"/>
                <w:szCs w:val="18"/>
              </w:rPr>
            </w:pPr>
            <w:r w:rsidRPr="006F2183">
              <w:rPr>
                <w:bCs/>
                <w:i/>
                <w:color w:val="000000"/>
                <w:sz w:val="18"/>
                <w:szCs w:val="18"/>
              </w:rPr>
              <w:t>Emerging Markets</w:t>
            </w:r>
          </w:p>
        </w:tc>
        <w:tc>
          <w:tcPr>
            <w:tcW w:w="917" w:type="dxa"/>
            <w:noWrap/>
            <w:hideMark/>
          </w:tcPr>
          <w:p w14:paraId="61C5A339"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003" w:type="dxa"/>
            <w:tcBorders>
              <w:right w:val="single" w:sz="4" w:space="0" w:color="auto"/>
            </w:tcBorders>
            <w:noWrap/>
            <w:hideMark/>
          </w:tcPr>
          <w:p w14:paraId="7613A236"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60" w:type="dxa"/>
            <w:tcBorders>
              <w:left w:val="single" w:sz="4" w:space="0" w:color="auto"/>
            </w:tcBorders>
            <w:noWrap/>
            <w:hideMark/>
          </w:tcPr>
          <w:p w14:paraId="6A42F005"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60" w:type="dxa"/>
            <w:tcBorders>
              <w:right w:val="single" w:sz="4" w:space="0" w:color="auto"/>
            </w:tcBorders>
            <w:noWrap/>
            <w:hideMark/>
          </w:tcPr>
          <w:p w14:paraId="24FEDA24"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60" w:type="dxa"/>
            <w:tcBorders>
              <w:left w:val="single" w:sz="4" w:space="0" w:color="auto"/>
            </w:tcBorders>
            <w:noWrap/>
            <w:hideMark/>
          </w:tcPr>
          <w:p w14:paraId="60036740"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60" w:type="dxa"/>
            <w:tcBorders>
              <w:right w:val="single" w:sz="4" w:space="0" w:color="auto"/>
            </w:tcBorders>
            <w:noWrap/>
            <w:hideMark/>
          </w:tcPr>
          <w:p w14:paraId="7D9CE9B9"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60" w:type="dxa"/>
            <w:tcBorders>
              <w:left w:val="single" w:sz="4" w:space="0" w:color="auto"/>
            </w:tcBorders>
            <w:noWrap/>
            <w:hideMark/>
          </w:tcPr>
          <w:p w14:paraId="07BF587E"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960" w:type="dxa"/>
            <w:noWrap/>
            <w:hideMark/>
          </w:tcPr>
          <w:p w14:paraId="52B29E08" w14:textId="77777777" w:rsidR="001F4DDE" w:rsidRPr="006F2183"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6F2183" w14:paraId="035024A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6AA5BA2" w14:textId="77777777" w:rsidR="001F4DDE" w:rsidRPr="006F2183" w:rsidRDefault="001F4DDE" w:rsidP="001F4DDE">
            <w:pPr>
              <w:rPr>
                <w:bCs/>
                <w:color w:val="000000"/>
                <w:sz w:val="18"/>
                <w:szCs w:val="18"/>
              </w:rPr>
            </w:pPr>
            <w:r w:rsidRPr="006F2183">
              <w:rPr>
                <w:bCs/>
                <w:color w:val="000000"/>
                <w:sz w:val="18"/>
                <w:szCs w:val="18"/>
              </w:rPr>
              <w:t>Brazil</w:t>
            </w:r>
          </w:p>
        </w:tc>
        <w:tc>
          <w:tcPr>
            <w:tcW w:w="917" w:type="dxa"/>
            <w:noWrap/>
            <w:hideMark/>
          </w:tcPr>
          <w:p w14:paraId="408A2B4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17.76</w:t>
            </w:r>
          </w:p>
        </w:tc>
        <w:tc>
          <w:tcPr>
            <w:tcW w:w="1003" w:type="dxa"/>
            <w:tcBorders>
              <w:right w:val="single" w:sz="4" w:space="0" w:color="auto"/>
            </w:tcBorders>
            <w:noWrap/>
            <w:hideMark/>
          </w:tcPr>
          <w:p w14:paraId="0FAAD29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31.55</w:t>
            </w:r>
          </w:p>
        </w:tc>
        <w:tc>
          <w:tcPr>
            <w:tcW w:w="960" w:type="dxa"/>
            <w:tcBorders>
              <w:left w:val="single" w:sz="4" w:space="0" w:color="auto"/>
            </w:tcBorders>
            <w:noWrap/>
            <w:hideMark/>
          </w:tcPr>
          <w:p w14:paraId="275E444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9.15</w:t>
            </w:r>
          </w:p>
        </w:tc>
        <w:tc>
          <w:tcPr>
            <w:tcW w:w="960" w:type="dxa"/>
            <w:tcBorders>
              <w:right w:val="single" w:sz="4" w:space="0" w:color="auto"/>
            </w:tcBorders>
            <w:noWrap/>
            <w:hideMark/>
          </w:tcPr>
          <w:p w14:paraId="666EF61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15.66</w:t>
            </w:r>
          </w:p>
        </w:tc>
        <w:tc>
          <w:tcPr>
            <w:tcW w:w="960" w:type="dxa"/>
            <w:tcBorders>
              <w:left w:val="single" w:sz="4" w:space="0" w:color="auto"/>
            </w:tcBorders>
            <w:noWrap/>
            <w:hideMark/>
          </w:tcPr>
          <w:p w14:paraId="49E3D26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8.92</w:t>
            </w:r>
          </w:p>
        </w:tc>
        <w:tc>
          <w:tcPr>
            <w:tcW w:w="960" w:type="dxa"/>
            <w:tcBorders>
              <w:right w:val="single" w:sz="4" w:space="0" w:color="auto"/>
            </w:tcBorders>
            <w:noWrap/>
            <w:hideMark/>
          </w:tcPr>
          <w:p w14:paraId="440CAC6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14.89</w:t>
            </w:r>
          </w:p>
        </w:tc>
        <w:tc>
          <w:tcPr>
            <w:tcW w:w="960" w:type="dxa"/>
            <w:tcBorders>
              <w:left w:val="single" w:sz="4" w:space="0" w:color="auto"/>
            </w:tcBorders>
            <w:noWrap/>
            <w:hideMark/>
          </w:tcPr>
          <w:p w14:paraId="353E376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11.26</w:t>
            </w:r>
          </w:p>
        </w:tc>
        <w:tc>
          <w:tcPr>
            <w:tcW w:w="960" w:type="dxa"/>
            <w:noWrap/>
            <w:hideMark/>
          </w:tcPr>
          <w:p w14:paraId="2EE0DB7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18.74</w:t>
            </w:r>
          </w:p>
        </w:tc>
      </w:tr>
      <w:tr w:rsidR="001F4DDE" w:rsidRPr="006F2183" w14:paraId="3A41A8B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49B960E" w14:textId="77777777" w:rsidR="001F4DDE" w:rsidRPr="006F2183" w:rsidRDefault="001F4DDE" w:rsidP="001F4DDE">
            <w:pPr>
              <w:rPr>
                <w:bCs/>
                <w:color w:val="000000"/>
                <w:sz w:val="18"/>
                <w:szCs w:val="18"/>
              </w:rPr>
            </w:pPr>
            <w:r w:rsidRPr="006F2183">
              <w:rPr>
                <w:bCs/>
                <w:color w:val="000000"/>
                <w:sz w:val="18"/>
                <w:szCs w:val="18"/>
              </w:rPr>
              <w:t>Chile</w:t>
            </w:r>
          </w:p>
        </w:tc>
        <w:tc>
          <w:tcPr>
            <w:tcW w:w="917" w:type="dxa"/>
            <w:noWrap/>
            <w:hideMark/>
          </w:tcPr>
          <w:p w14:paraId="4FD85A1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14.22</w:t>
            </w:r>
          </w:p>
        </w:tc>
        <w:tc>
          <w:tcPr>
            <w:tcW w:w="1003" w:type="dxa"/>
            <w:tcBorders>
              <w:right w:val="single" w:sz="4" w:space="0" w:color="auto"/>
            </w:tcBorders>
            <w:noWrap/>
            <w:hideMark/>
          </w:tcPr>
          <w:p w14:paraId="3A04643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29.09</w:t>
            </w:r>
          </w:p>
        </w:tc>
        <w:tc>
          <w:tcPr>
            <w:tcW w:w="960" w:type="dxa"/>
            <w:tcBorders>
              <w:left w:val="single" w:sz="4" w:space="0" w:color="auto"/>
            </w:tcBorders>
            <w:noWrap/>
            <w:hideMark/>
          </w:tcPr>
          <w:p w14:paraId="55857F9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4.96</w:t>
            </w:r>
          </w:p>
        </w:tc>
        <w:tc>
          <w:tcPr>
            <w:tcW w:w="960" w:type="dxa"/>
            <w:tcBorders>
              <w:right w:val="single" w:sz="4" w:space="0" w:color="auto"/>
            </w:tcBorders>
            <w:noWrap/>
            <w:hideMark/>
          </w:tcPr>
          <w:p w14:paraId="7D7D06D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8.54</w:t>
            </w:r>
          </w:p>
        </w:tc>
        <w:tc>
          <w:tcPr>
            <w:tcW w:w="960" w:type="dxa"/>
            <w:tcBorders>
              <w:left w:val="single" w:sz="4" w:space="0" w:color="auto"/>
            </w:tcBorders>
            <w:noWrap/>
            <w:hideMark/>
          </w:tcPr>
          <w:p w14:paraId="407B71E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6.79</w:t>
            </w:r>
          </w:p>
        </w:tc>
        <w:tc>
          <w:tcPr>
            <w:tcW w:w="960" w:type="dxa"/>
            <w:tcBorders>
              <w:right w:val="single" w:sz="4" w:space="0" w:color="auto"/>
            </w:tcBorders>
            <w:noWrap/>
            <w:hideMark/>
          </w:tcPr>
          <w:p w14:paraId="5ACD1C4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13.11</w:t>
            </w:r>
          </w:p>
        </w:tc>
        <w:tc>
          <w:tcPr>
            <w:tcW w:w="960" w:type="dxa"/>
            <w:tcBorders>
              <w:left w:val="single" w:sz="4" w:space="0" w:color="auto"/>
            </w:tcBorders>
            <w:noWrap/>
            <w:hideMark/>
          </w:tcPr>
          <w:p w14:paraId="09C3CC6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9.07</w:t>
            </w:r>
          </w:p>
        </w:tc>
        <w:tc>
          <w:tcPr>
            <w:tcW w:w="960" w:type="dxa"/>
            <w:noWrap/>
            <w:hideMark/>
          </w:tcPr>
          <w:p w14:paraId="3786679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17.49</w:t>
            </w:r>
          </w:p>
        </w:tc>
      </w:tr>
      <w:tr w:rsidR="001F4DDE" w:rsidRPr="006F2183" w14:paraId="1C00A16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03F2FEB4" w14:textId="77777777" w:rsidR="001F4DDE" w:rsidRPr="006F2183" w:rsidRDefault="001F4DDE" w:rsidP="001F4DDE">
            <w:pPr>
              <w:rPr>
                <w:bCs/>
                <w:color w:val="000000"/>
                <w:sz w:val="18"/>
                <w:szCs w:val="18"/>
              </w:rPr>
            </w:pPr>
            <w:r w:rsidRPr="006F2183">
              <w:rPr>
                <w:bCs/>
                <w:color w:val="000000"/>
                <w:sz w:val="18"/>
                <w:szCs w:val="18"/>
              </w:rPr>
              <w:t>China</w:t>
            </w:r>
          </w:p>
        </w:tc>
        <w:tc>
          <w:tcPr>
            <w:tcW w:w="917" w:type="dxa"/>
            <w:noWrap/>
            <w:hideMark/>
          </w:tcPr>
          <w:p w14:paraId="1C22010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15.12</w:t>
            </w:r>
          </w:p>
        </w:tc>
        <w:tc>
          <w:tcPr>
            <w:tcW w:w="1003" w:type="dxa"/>
            <w:tcBorders>
              <w:right w:val="single" w:sz="4" w:space="0" w:color="auto"/>
            </w:tcBorders>
            <w:noWrap/>
            <w:hideMark/>
          </w:tcPr>
          <w:p w14:paraId="5F8E47E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30.58</w:t>
            </w:r>
          </w:p>
        </w:tc>
        <w:tc>
          <w:tcPr>
            <w:tcW w:w="960" w:type="dxa"/>
            <w:tcBorders>
              <w:left w:val="single" w:sz="4" w:space="0" w:color="auto"/>
            </w:tcBorders>
            <w:noWrap/>
            <w:hideMark/>
          </w:tcPr>
          <w:p w14:paraId="7068508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4.54</w:t>
            </w:r>
          </w:p>
        </w:tc>
        <w:tc>
          <w:tcPr>
            <w:tcW w:w="960" w:type="dxa"/>
            <w:tcBorders>
              <w:right w:val="single" w:sz="4" w:space="0" w:color="auto"/>
            </w:tcBorders>
            <w:noWrap/>
            <w:hideMark/>
          </w:tcPr>
          <w:p w14:paraId="6CE5A04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7.38</w:t>
            </w:r>
          </w:p>
        </w:tc>
        <w:tc>
          <w:tcPr>
            <w:tcW w:w="960" w:type="dxa"/>
            <w:tcBorders>
              <w:left w:val="single" w:sz="4" w:space="0" w:color="auto"/>
            </w:tcBorders>
            <w:noWrap/>
            <w:hideMark/>
          </w:tcPr>
          <w:p w14:paraId="4041E8C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5.56</w:t>
            </w:r>
          </w:p>
        </w:tc>
        <w:tc>
          <w:tcPr>
            <w:tcW w:w="960" w:type="dxa"/>
            <w:tcBorders>
              <w:right w:val="single" w:sz="4" w:space="0" w:color="auto"/>
            </w:tcBorders>
            <w:noWrap/>
            <w:hideMark/>
          </w:tcPr>
          <w:p w14:paraId="3B8B19C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9.32</w:t>
            </w:r>
          </w:p>
        </w:tc>
        <w:tc>
          <w:tcPr>
            <w:tcW w:w="960" w:type="dxa"/>
            <w:tcBorders>
              <w:left w:val="single" w:sz="4" w:space="0" w:color="auto"/>
            </w:tcBorders>
            <w:noWrap/>
            <w:hideMark/>
          </w:tcPr>
          <w:p w14:paraId="626946E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6.12</w:t>
            </w:r>
          </w:p>
        </w:tc>
        <w:tc>
          <w:tcPr>
            <w:tcW w:w="960" w:type="dxa"/>
            <w:noWrap/>
            <w:hideMark/>
          </w:tcPr>
          <w:p w14:paraId="7BD1002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10.65</w:t>
            </w:r>
          </w:p>
        </w:tc>
      </w:tr>
      <w:tr w:rsidR="001F4DDE" w:rsidRPr="006F2183" w14:paraId="333AA33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F3CCB5A" w14:textId="77777777" w:rsidR="001F4DDE" w:rsidRPr="006F2183" w:rsidRDefault="001F4DDE" w:rsidP="001F4DDE">
            <w:pPr>
              <w:rPr>
                <w:bCs/>
                <w:color w:val="000000"/>
                <w:sz w:val="18"/>
                <w:szCs w:val="18"/>
              </w:rPr>
            </w:pPr>
            <w:r w:rsidRPr="006F2183">
              <w:rPr>
                <w:bCs/>
                <w:color w:val="000000"/>
                <w:sz w:val="18"/>
                <w:szCs w:val="18"/>
              </w:rPr>
              <w:t>Colombia</w:t>
            </w:r>
          </w:p>
        </w:tc>
        <w:tc>
          <w:tcPr>
            <w:tcW w:w="917" w:type="dxa"/>
            <w:noWrap/>
            <w:hideMark/>
          </w:tcPr>
          <w:p w14:paraId="3A521AD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12.99</w:t>
            </w:r>
          </w:p>
        </w:tc>
        <w:tc>
          <w:tcPr>
            <w:tcW w:w="1003" w:type="dxa"/>
            <w:tcBorders>
              <w:right w:val="single" w:sz="4" w:space="0" w:color="auto"/>
            </w:tcBorders>
            <w:noWrap/>
            <w:hideMark/>
          </w:tcPr>
          <w:p w14:paraId="7ADD114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24.78</w:t>
            </w:r>
          </w:p>
        </w:tc>
        <w:tc>
          <w:tcPr>
            <w:tcW w:w="960" w:type="dxa"/>
            <w:tcBorders>
              <w:left w:val="single" w:sz="4" w:space="0" w:color="auto"/>
            </w:tcBorders>
            <w:noWrap/>
            <w:hideMark/>
          </w:tcPr>
          <w:p w14:paraId="0DEBF8A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3.83</w:t>
            </w:r>
          </w:p>
        </w:tc>
        <w:tc>
          <w:tcPr>
            <w:tcW w:w="960" w:type="dxa"/>
            <w:tcBorders>
              <w:right w:val="single" w:sz="4" w:space="0" w:color="auto"/>
            </w:tcBorders>
            <w:noWrap/>
            <w:hideMark/>
          </w:tcPr>
          <w:p w14:paraId="30AFEDA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6.28</w:t>
            </w:r>
          </w:p>
        </w:tc>
        <w:tc>
          <w:tcPr>
            <w:tcW w:w="960" w:type="dxa"/>
            <w:tcBorders>
              <w:left w:val="single" w:sz="4" w:space="0" w:color="auto"/>
            </w:tcBorders>
            <w:noWrap/>
            <w:hideMark/>
          </w:tcPr>
          <w:p w14:paraId="683DBDB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4.05</w:t>
            </w:r>
          </w:p>
        </w:tc>
        <w:tc>
          <w:tcPr>
            <w:tcW w:w="960" w:type="dxa"/>
            <w:tcBorders>
              <w:right w:val="single" w:sz="4" w:space="0" w:color="auto"/>
            </w:tcBorders>
            <w:noWrap/>
            <w:hideMark/>
          </w:tcPr>
          <w:p w14:paraId="23A50F3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6.72</w:t>
            </w:r>
          </w:p>
        </w:tc>
        <w:tc>
          <w:tcPr>
            <w:tcW w:w="960" w:type="dxa"/>
            <w:tcBorders>
              <w:left w:val="single" w:sz="4" w:space="0" w:color="auto"/>
            </w:tcBorders>
            <w:noWrap/>
            <w:hideMark/>
          </w:tcPr>
          <w:p w14:paraId="0E44BD9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5.59</w:t>
            </w:r>
          </w:p>
        </w:tc>
        <w:tc>
          <w:tcPr>
            <w:tcW w:w="960" w:type="dxa"/>
            <w:noWrap/>
            <w:hideMark/>
          </w:tcPr>
          <w:p w14:paraId="7E2A2E2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9.49</w:t>
            </w:r>
          </w:p>
        </w:tc>
      </w:tr>
      <w:tr w:rsidR="001F4DDE" w:rsidRPr="006F2183" w14:paraId="1EC37D4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6B94E679" w14:textId="77777777" w:rsidR="001F4DDE" w:rsidRPr="006F2183" w:rsidRDefault="001F4DDE" w:rsidP="001F4DDE">
            <w:pPr>
              <w:rPr>
                <w:bCs/>
                <w:color w:val="000000"/>
                <w:sz w:val="18"/>
                <w:szCs w:val="18"/>
              </w:rPr>
            </w:pPr>
            <w:r w:rsidRPr="006F2183">
              <w:rPr>
                <w:bCs/>
                <w:color w:val="000000"/>
                <w:sz w:val="18"/>
                <w:szCs w:val="18"/>
              </w:rPr>
              <w:t>India</w:t>
            </w:r>
          </w:p>
        </w:tc>
        <w:tc>
          <w:tcPr>
            <w:tcW w:w="917" w:type="dxa"/>
            <w:noWrap/>
            <w:hideMark/>
          </w:tcPr>
          <w:p w14:paraId="4A5A9A3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10.31</w:t>
            </w:r>
          </w:p>
        </w:tc>
        <w:tc>
          <w:tcPr>
            <w:tcW w:w="1003" w:type="dxa"/>
            <w:tcBorders>
              <w:right w:val="single" w:sz="4" w:space="0" w:color="auto"/>
            </w:tcBorders>
            <w:noWrap/>
            <w:hideMark/>
          </w:tcPr>
          <w:p w14:paraId="10DAAC9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16.80</w:t>
            </w:r>
          </w:p>
        </w:tc>
        <w:tc>
          <w:tcPr>
            <w:tcW w:w="960" w:type="dxa"/>
            <w:tcBorders>
              <w:left w:val="single" w:sz="4" w:space="0" w:color="auto"/>
            </w:tcBorders>
            <w:noWrap/>
            <w:hideMark/>
          </w:tcPr>
          <w:p w14:paraId="301CAFD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4.30</w:t>
            </w:r>
          </w:p>
        </w:tc>
        <w:tc>
          <w:tcPr>
            <w:tcW w:w="960" w:type="dxa"/>
            <w:tcBorders>
              <w:right w:val="single" w:sz="4" w:space="0" w:color="auto"/>
            </w:tcBorders>
            <w:noWrap/>
            <w:hideMark/>
          </w:tcPr>
          <w:p w14:paraId="5792BCC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6.81</w:t>
            </w:r>
          </w:p>
        </w:tc>
        <w:tc>
          <w:tcPr>
            <w:tcW w:w="960" w:type="dxa"/>
            <w:tcBorders>
              <w:left w:val="single" w:sz="4" w:space="0" w:color="auto"/>
            </w:tcBorders>
            <w:noWrap/>
            <w:hideMark/>
          </w:tcPr>
          <w:p w14:paraId="3360C07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5.04</w:t>
            </w:r>
          </w:p>
        </w:tc>
        <w:tc>
          <w:tcPr>
            <w:tcW w:w="960" w:type="dxa"/>
            <w:tcBorders>
              <w:right w:val="single" w:sz="4" w:space="0" w:color="auto"/>
            </w:tcBorders>
            <w:noWrap/>
            <w:hideMark/>
          </w:tcPr>
          <w:p w14:paraId="21C4421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8.19</w:t>
            </w:r>
          </w:p>
        </w:tc>
        <w:tc>
          <w:tcPr>
            <w:tcW w:w="960" w:type="dxa"/>
            <w:tcBorders>
              <w:left w:val="single" w:sz="4" w:space="0" w:color="auto"/>
            </w:tcBorders>
            <w:noWrap/>
            <w:hideMark/>
          </w:tcPr>
          <w:p w14:paraId="012924D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6.38</w:t>
            </w:r>
          </w:p>
        </w:tc>
        <w:tc>
          <w:tcPr>
            <w:tcW w:w="960" w:type="dxa"/>
            <w:noWrap/>
            <w:hideMark/>
          </w:tcPr>
          <w:p w14:paraId="2275DD9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10.61</w:t>
            </w:r>
          </w:p>
        </w:tc>
      </w:tr>
      <w:tr w:rsidR="001F4DDE" w:rsidRPr="006F2183" w14:paraId="4D1BD15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4CAA807F" w14:textId="77777777" w:rsidR="001F4DDE" w:rsidRPr="006F2183" w:rsidRDefault="001F4DDE" w:rsidP="001F4DDE">
            <w:pPr>
              <w:rPr>
                <w:bCs/>
                <w:color w:val="000000"/>
                <w:sz w:val="18"/>
                <w:szCs w:val="18"/>
              </w:rPr>
            </w:pPr>
            <w:r w:rsidRPr="006F2183">
              <w:rPr>
                <w:bCs/>
                <w:color w:val="000000"/>
                <w:sz w:val="18"/>
                <w:szCs w:val="18"/>
              </w:rPr>
              <w:t>Indonesia</w:t>
            </w:r>
          </w:p>
        </w:tc>
        <w:tc>
          <w:tcPr>
            <w:tcW w:w="917" w:type="dxa"/>
            <w:noWrap/>
            <w:hideMark/>
          </w:tcPr>
          <w:p w14:paraId="44106CF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22.64</w:t>
            </w:r>
          </w:p>
        </w:tc>
        <w:tc>
          <w:tcPr>
            <w:tcW w:w="1003" w:type="dxa"/>
            <w:tcBorders>
              <w:right w:val="single" w:sz="4" w:space="0" w:color="auto"/>
            </w:tcBorders>
            <w:noWrap/>
            <w:hideMark/>
          </w:tcPr>
          <w:p w14:paraId="4530A28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42.37</w:t>
            </w:r>
          </w:p>
        </w:tc>
        <w:tc>
          <w:tcPr>
            <w:tcW w:w="960" w:type="dxa"/>
            <w:tcBorders>
              <w:left w:val="single" w:sz="4" w:space="0" w:color="auto"/>
            </w:tcBorders>
            <w:noWrap/>
            <w:hideMark/>
          </w:tcPr>
          <w:p w14:paraId="75D7353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4.24</w:t>
            </w:r>
          </w:p>
        </w:tc>
        <w:tc>
          <w:tcPr>
            <w:tcW w:w="960" w:type="dxa"/>
            <w:tcBorders>
              <w:right w:val="single" w:sz="4" w:space="0" w:color="auto"/>
            </w:tcBorders>
            <w:noWrap/>
            <w:hideMark/>
          </w:tcPr>
          <w:p w14:paraId="5C21263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6.65</w:t>
            </w:r>
          </w:p>
        </w:tc>
        <w:tc>
          <w:tcPr>
            <w:tcW w:w="960" w:type="dxa"/>
            <w:tcBorders>
              <w:left w:val="single" w:sz="4" w:space="0" w:color="auto"/>
            </w:tcBorders>
            <w:noWrap/>
            <w:hideMark/>
          </w:tcPr>
          <w:p w14:paraId="7EC4F94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5.22</w:t>
            </w:r>
          </w:p>
        </w:tc>
        <w:tc>
          <w:tcPr>
            <w:tcW w:w="960" w:type="dxa"/>
            <w:tcBorders>
              <w:right w:val="single" w:sz="4" w:space="0" w:color="auto"/>
            </w:tcBorders>
            <w:noWrap/>
            <w:hideMark/>
          </w:tcPr>
          <w:p w14:paraId="659B1F8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8.05</w:t>
            </w:r>
          </w:p>
        </w:tc>
        <w:tc>
          <w:tcPr>
            <w:tcW w:w="960" w:type="dxa"/>
            <w:tcBorders>
              <w:left w:val="single" w:sz="4" w:space="0" w:color="auto"/>
            </w:tcBorders>
            <w:noWrap/>
            <w:hideMark/>
          </w:tcPr>
          <w:p w14:paraId="0B168EF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9.52</w:t>
            </w:r>
          </w:p>
        </w:tc>
        <w:tc>
          <w:tcPr>
            <w:tcW w:w="960" w:type="dxa"/>
            <w:noWrap/>
            <w:hideMark/>
          </w:tcPr>
          <w:p w14:paraId="7B7831C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14.77</w:t>
            </w:r>
          </w:p>
        </w:tc>
      </w:tr>
      <w:tr w:rsidR="001F4DDE" w:rsidRPr="006F2183" w14:paraId="72F94A8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F3B4CFA" w14:textId="77777777" w:rsidR="001F4DDE" w:rsidRPr="006F2183" w:rsidRDefault="001F4DDE" w:rsidP="001F4DDE">
            <w:pPr>
              <w:rPr>
                <w:bCs/>
                <w:color w:val="000000"/>
                <w:sz w:val="18"/>
                <w:szCs w:val="18"/>
              </w:rPr>
            </w:pPr>
            <w:r w:rsidRPr="006F2183">
              <w:rPr>
                <w:bCs/>
                <w:color w:val="000000"/>
                <w:sz w:val="18"/>
                <w:szCs w:val="18"/>
              </w:rPr>
              <w:t>Korea</w:t>
            </w:r>
          </w:p>
        </w:tc>
        <w:tc>
          <w:tcPr>
            <w:tcW w:w="917" w:type="dxa"/>
            <w:noWrap/>
            <w:hideMark/>
          </w:tcPr>
          <w:p w14:paraId="6104E02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17.05</w:t>
            </w:r>
          </w:p>
        </w:tc>
        <w:tc>
          <w:tcPr>
            <w:tcW w:w="1003" w:type="dxa"/>
            <w:tcBorders>
              <w:right w:val="single" w:sz="4" w:space="0" w:color="auto"/>
            </w:tcBorders>
            <w:noWrap/>
            <w:hideMark/>
          </w:tcPr>
          <w:p w14:paraId="1317D6A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37.11</w:t>
            </w:r>
          </w:p>
        </w:tc>
        <w:tc>
          <w:tcPr>
            <w:tcW w:w="960" w:type="dxa"/>
            <w:tcBorders>
              <w:left w:val="single" w:sz="4" w:space="0" w:color="auto"/>
            </w:tcBorders>
            <w:noWrap/>
            <w:hideMark/>
          </w:tcPr>
          <w:p w14:paraId="14930ED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6.08</w:t>
            </w:r>
          </w:p>
        </w:tc>
        <w:tc>
          <w:tcPr>
            <w:tcW w:w="960" w:type="dxa"/>
            <w:tcBorders>
              <w:right w:val="single" w:sz="4" w:space="0" w:color="auto"/>
            </w:tcBorders>
            <w:noWrap/>
            <w:hideMark/>
          </w:tcPr>
          <w:p w14:paraId="68AC910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9.27</w:t>
            </w:r>
          </w:p>
        </w:tc>
        <w:tc>
          <w:tcPr>
            <w:tcW w:w="960" w:type="dxa"/>
            <w:tcBorders>
              <w:left w:val="single" w:sz="4" w:space="0" w:color="auto"/>
            </w:tcBorders>
            <w:noWrap/>
            <w:hideMark/>
          </w:tcPr>
          <w:p w14:paraId="3F45050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6.95</w:t>
            </w:r>
          </w:p>
        </w:tc>
        <w:tc>
          <w:tcPr>
            <w:tcW w:w="960" w:type="dxa"/>
            <w:tcBorders>
              <w:right w:val="single" w:sz="4" w:space="0" w:color="auto"/>
            </w:tcBorders>
            <w:noWrap/>
            <w:hideMark/>
          </w:tcPr>
          <w:p w14:paraId="55DF841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10.77</w:t>
            </w:r>
          </w:p>
        </w:tc>
        <w:tc>
          <w:tcPr>
            <w:tcW w:w="960" w:type="dxa"/>
            <w:tcBorders>
              <w:left w:val="single" w:sz="4" w:space="0" w:color="auto"/>
            </w:tcBorders>
            <w:noWrap/>
            <w:hideMark/>
          </w:tcPr>
          <w:p w14:paraId="7ADB1AF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8.33</w:t>
            </w:r>
          </w:p>
        </w:tc>
        <w:tc>
          <w:tcPr>
            <w:tcW w:w="960" w:type="dxa"/>
            <w:noWrap/>
            <w:hideMark/>
          </w:tcPr>
          <w:p w14:paraId="42A5F01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13.03</w:t>
            </w:r>
          </w:p>
        </w:tc>
      </w:tr>
      <w:tr w:rsidR="001F4DDE" w:rsidRPr="006F2183" w14:paraId="1485344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60ADB7AC" w14:textId="77777777" w:rsidR="001F4DDE" w:rsidRPr="006F2183" w:rsidRDefault="001F4DDE" w:rsidP="001F4DDE">
            <w:pPr>
              <w:rPr>
                <w:bCs/>
                <w:color w:val="000000"/>
                <w:sz w:val="18"/>
                <w:szCs w:val="18"/>
              </w:rPr>
            </w:pPr>
            <w:r w:rsidRPr="006F2183">
              <w:rPr>
                <w:bCs/>
                <w:color w:val="000000"/>
                <w:sz w:val="18"/>
                <w:szCs w:val="18"/>
              </w:rPr>
              <w:t>Malaysia</w:t>
            </w:r>
          </w:p>
        </w:tc>
        <w:tc>
          <w:tcPr>
            <w:tcW w:w="917" w:type="dxa"/>
            <w:noWrap/>
            <w:hideMark/>
          </w:tcPr>
          <w:p w14:paraId="036C210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13.91</w:t>
            </w:r>
          </w:p>
        </w:tc>
        <w:tc>
          <w:tcPr>
            <w:tcW w:w="1003" w:type="dxa"/>
            <w:tcBorders>
              <w:right w:val="single" w:sz="4" w:space="0" w:color="auto"/>
            </w:tcBorders>
            <w:noWrap/>
            <w:hideMark/>
          </w:tcPr>
          <w:p w14:paraId="663B86F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30.57</w:t>
            </w:r>
          </w:p>
        </w:tc>
        <w:tc>
          <w:tcPr>
            <w:tcW w:w="960" w:type="dxa"/>
            <w:tcBorders>
              <w:left w:val="single" w:sz="4" w:space="0" w:color="auto"/>
            </w:tcBorders>
            <w:noWrap/>
            <w:hideMark/>
          </w:tcPr>
          <w:p w14:paraId="14B6B7B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2.46</w:t>
            </w:r>
          </w:p>
        </w:tc>
        <w:tc>
          <w:tcPr>
            <w:tcW w:w="960" w:type="dxa"/>
            <w:tcBorders>
              <w:right w:val="single" w:sz="4" w:space="0" w:color="auto"/>
            </w:tcBorders>
            <w:noWrap/>
            <w:hideMark/>
          </w:tcPr>
          <w:p w14:paraId="40B36BA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3.82</w:t>
            </w:r>
          </w:p>
        </w:tc>
        <w:tc>
          <w:tcPr>
            <w:tcW w:w="960" w:type="dxa"/>
            <w:tcBorders>
              <w:left w:val="single" w:sz="4" w:space="0" w:color="auto"/>
            </w:tcBorders>
            <w:noWrap/>
            <w:hideMark/>
          </w:tcPr>
          <w:p w14:paraId="3E34F28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3.34</w:t>
            </w:r>
          </w:p>
        </w:tc>
        <w:tc>
          <w:tcPr>
            <w:tcW w:w="960" w:type="dxa"/>
            <w:tcBorders>
              <w:right w:val="single" w:sz="4" w:space="0" w:color="auto"/>
            </w:tcBorders>
            <w:noWrap/>
            <w:hideMark/>
          </w:tcPr>
          <w:p w14:paraId="104811B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5.04</w:t>
            </w:r>
          </w:p>
        </w:tc>
        <w:tc>
          <w:tcPr>
            <w:tcW w:w="960" w:type="dxa"/>
            <w:tcBorders>
              <w:left w:val="single" w:sz="4" w:space="0" w:color="auto"/>
            </w:tcBorders>
            <w:noWrap/>
            <w:hideMark/>
          </w:tcPr>
          <w:p w14:paraId="37DD2F1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4.72</w:t>
            </w:r>
          </w:p>
        </w:tc>
        <w:tc>
          <w:tcPr>
            <w:tcW w:w="960" w:type="dxa"/>
            <w:noWrap/>
            <w:hideMark/>
          </w:tcPr>
          <w:p w14:paraId="3B645E5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7.15</w:t>
            </w:r>
          </w:p>
        </w:tc>
      </w:tr>
      <w:tr w:rsidR="001F4DDE" w:rsidRPr="006F2183" w14:paraId="6158ED1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532A855" w14:textId="77777777" w:rsidR="001F4DDE" w:rsidRPr="006F2183" w:rsidRDefault="001F4DDE" w:rsidP="001F4DDE">
            <w:pPr>
              <w:rPr>
                <w:bCs/>
                <w:color w:val="000000"/>
                <w:sz w:val="18"/>
                <w:szCs w:val="18"/>
              </w:rPr>
            </w:pPr>
            <w:r w:rsidRPr="006F2183">
              <w:rPr>
                <w:bCs/>
                <w:color w:val="000000"/>
                <w:sz w:val="18"/>
                <w:szCs w:val="18"/>
              </w:rPr>
              <w:t>Mexico</w:t>
            </w:r>
          </w:p>
        </w:tc>
        <w:tc>
          <w:tcPr>
            <w:tcW w:w="917" w:type="dxa"/>
            <w:noWrap/>
            <w:hideMark/>
          </w:tcPr>
          <w:p w14:paraId="1370B55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13.44</w:t>
            </w:r>
          </w:p>
        </w:tc>
        <w:tc>
          <w:tcPr>
            <w:tcW w:w="1003" w:type="dxa"/>
            <w:tcBorders>
              <w:right w:val="single" w:sz="4" w:space="0" w:color="auto"/>
            </w:tcBorders>
            <w:noWrap/>
            <w:hideMark/>
          </w:tcPr>
          <w:p w14:paraId="65E9E37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25.05</w:t>
            </w:r>
          </w:p>
        </w:tc>
        <w:tc>
          <w:tcPr>
            <w:tcW w:w="960" w:type="dxa"/>
            <w:tcBorders>
              <w:left w:val="single" w:sz="4" w:space="0" w:color="auto"/>
            </w:tcBorders>
            <w:noWrap/>
            <w:hideMark/>
          </w:tcPr>
          <w:p w14:paraId="58C7EE5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7.53</w:t>
            </w:r>
          </w:p>
        </w:tc>
        <w:tc>
          <w:tcPr>
            <w:tcW w:w="960" w:type="dxa"/>
            <w:tcBorders>
              <w:right w:val="single" w:sz="4" w:space="0" w:color="auto"/>
            </w:tcBorders>
            <w:noWrap/>
            <w:hideMark/>
          </w:tcPr>
          <w:p w14:paraId="090EB26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13.09</w:t>
            </w:r>
          </w:p>
        </w:tc>
        <w:tc>
          <w:tcPr>
            <w:tcW w:w="960" w:type="dxa"/>
            <w:tcBorders>
              <w:left w:val="single" w:sz="4" w:space="0" w:color="auto"/>
            </w:tcBorders>
            <w:noWrap/>
            <w:hideMark/>
          </w:tcPr>
          <w:p w14:paraId="13DFFC5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8.03</w:t>
            </w:r>
          </w:p>
        </w:tc>
        <w:tc>
          <w:tcPr>
            <w:tcW w:w="960" w:type="dxa"/>
            <w:tcBorders>
              <w:right w:val="single" w:sz="4" w:space="0" w:color="auto"/>
            </w:tcBorders>
            <w:noWrap/>
            <w:hideMark/>
          </w:tcPr>
          <w:p w14:paraId="12E0F31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13.75</w:t>
            </w:r>
          </w:p>
        </w:tc>
        <w:tc>
          <w:tcPr>
            <w:tcW w:w="960" w:type="dxa"/>
            <w:tcBorders>
              <w:left w:val="single" w:sz="4" w:space="0" w:color="auto"/>
            </w:tcBorders>
            <w:noWrap/>
            <w:hideMark/>
          </w:tcPr>
          <w:p w14:paraId="5ADAB6D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9.15</w:t>
            </w:r>
          </w:p>
        </w:tc>
        <w:tc>
          <w:tcPr>
            <w:tcW w:w="960" w:type="dxa"/>
            <w:noWrap/>
            <w:hideMark/>
          </w:tcPr>
          <w:p w14:paraId="13A5F94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15.47</w:t>
            </w:r>
          </w:p>
        </w:tc>
      </w:tr>
      <w:tr w:rsidR="001F4DDE" w:rsidRPr="006F2183" w14:paraId="45132B0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B8C4C18" w14:textId="77777777" w:rsidR="001F4DDE" w:rsidRPr="006F2183" w:rsidRDefault="001F4DDE" w:rsidP="001F4DDE">
            <w:pPr>
              <w:rPr>
                <w:bCs/>
                <w:color w:val="000000"/>
                <w:sz w:val="18"/>
                <w:szCs w:val="18"/>
              </w:rPr>
            </w:pPr>
            <w:r w:rsidRPr="006F2183">
              <w:rPr>
                <w:bCs/>
                <w:color w:val="000000"/>
                <w:sz w:val="18"/>
                <w:szCs w:val="18"/>
              </w:rPr>
              <w:t>Philippines</w:t>
            </w:r>
          </w:p>
        </w:tc>
        <w:tc>
          <w:tcPr>
            <w:tcW w:w="917" w:type="dxa"/>
            <w:noWrap/>
            <w:hideMark/>
          </w:tcPr>
          <w:p w14:paraId="40500C2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13.08</w:t>
            </w:r>
          </w:p>
        </w:tc>
        <w:tc>
          <w:tcPr>
            <w:tcW w:w="1003" w:type="dxa"/>
            <w:tcBorders>
              <w:right w:val="single" w:sz="4" w:space="0" w:color="auto"/>
            </w:tcBorders>
            <w:noWrap/>
            <w:hideMark/>
          </w:tcPr>
          <w:p w14:paraId="59EF59C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24.72</w:t>
            </w:r>
          </w:p>
        </w:tc>
        <w:tc>
          <w:tcPr>
            <w:tcW w:w="960" w:type="dxa"/>
            <w:tcBorders>
              <w:left w:val="single" w:sz="4" w:space="0" w:color="auto"/>
            </w:tcBorders>
            <w:noWrap/>
            <w:hideMark/>
          </w:tcPr>
          <w:p w14:paraId="4E5351A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2.90</w:t>
            </w:r>
          </w:p>
        </w:tc>
        <w:tc>
          <w:tcPr>
            <w:tcW w:w="960" w:type="dxa"/>
            <w:tcBorders>
              <w:right w:val="single" w:sz="4" w:space="0" w:color="auto"/>
            </w:tcBorders>
            <w:noWrap/>
            <w:hideMark/>
          </w:tcPr>
          <w:p w14:paraId="6D7035E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4.54</w:t>
            </w:r>
          </w:p>
        </w:tc>
        <w:tc>
          <w:tcPr>
            <w:tcW w:w="960" w:type="dxa"/>
            <w:tcBorders>
              <w:left w:val="single" w:sz="4" w:space="0" w:color="auto"/>
            </w:tcBorders>
            <w:noWrap/>
            <w:hideMark/>
          </w:tcPr>
          <w:p w14:paraId="04D0CEA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3.72</w:t>
            </w:r>
          </w:p>
        </w:tc>
        <w:tc>
          <w:tcPr>
            <w:tcW w:w="960" w:type="dxa"/>
            <w:tcBorders>
              <w:right w:val="single" w:sz="4" w:space="0" w:color="auto"/>
            </w:tcBorders>
            <w:noWrap/>
            <w:hideMark/>
          </w:tcPr>
          <w:p w14:paraId="5994167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6.17</w:t>
            </w:r>
          </w:p>
        </w:tc>
        <w:tc>
          <w:tcPr>
            <w:tcW w:w="960" w:type="dxa"/>
            <w:tcBorders>
              <w:left w:val="single" w:sz="4" w:space="0" w:color="auto"/>
            </w:tcBorders>
            <w:noWrap/>
            <w:hideMark/>
          </w:tcPr>
          <w:p w14:paraId="212E7F2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5.58</w:t>
            </w:r>
          </w:p>
        </w:tc>
        <w:tc>
          <w:tcPr>
            <w:tcW w:w="960" w:type="dxa"/>
            <w:noWrap/>
            <w:hideMark/>
          </w:tcPr>
          <w:p w14:paraId="0FD04C7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9.32</w:t>
            </w:r>
          </w:p>
        </w:tc>
      </w:tr>
      <w:tr w:rsidR="001F4DDE" w:rsidRPr="006F2183" w14:paraId="2CB4029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0B66A0A9" w14:textId="77777777" w:rsidR="001F4DDE" w:rsidRPr="006F2183" w:rsidRDefault="001F4DDE" w:rsidP="001F4DDE">
            <w:pPr>
              <w:rPr>
                <w:bCs/>
                <w:color w:val="000000"/>
                <w:sz w:val="18"/>
                <w:szCs w:val="18"/>
              </w:rPr>
            </w:pPr>
            <w:r w:rsidRPr="006F2183">
              <w:rPr>
                <w:bCs/>
                <w:color w:val="000000"/>
                <w:sz w:val="18"/>
                <w:szCs w:val="18"/>
              </w:rPr>
              <w:t>Russia</w:t>
            </w:r>
          </w:p>
        </w:tc>
        <w:tc>
          <w:tcPr>
            <w:tcW w:w="917" w:type="dxa"/>
            <w:noWrap/>
            <w:hideMark/>
          </w:tcPr>
          <w:p w14:paraId="7B2E233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60.71</w:t>
            </w:r>
          </w:p>
        </w:tc>
        <w:tc>
          <w:tcPr>
            <w:tcW w:w="1003" w:type="dxa"/>
            <w:tcBorders>
              <w:right w:val="single" w:sz="4" w:space="0" w:color="auto"/>
            </w:tcBorders>
            <w:noWrap/>
            <w:hideMark/>
          </w:tcPr>
          <w:p w14:paraId="3409310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150.24</w:t>
            </w:r>
          </w:p>
        </w:tc>
        <w:tc>
          <w:tcPr>
            <w:tcW w:w="960" w:type="dxa"/>
            <w:tcBorders>
              <w:left w:val="single" w:sz="4" w:space="0" w:color="auto"/>
            </w:tcBorders>
            <w:noWrap/>
            <w:hideMark/>
          </w:tcPr>
          <w:p w14:paraId="5FAA7065"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8.55</w:t>
            </w:r>
          </w:p>
        </w:tc>
        <w:tc>
          <w:tcPr>
            <w:tcW w:w="960" w:type="dxa"/>
            <w:tcBorders>
              <w:right w:val="single" w:sz="4" w:space="0" w:color="auto"/>
            </w:tcBorders>
            <w:noWrap/>
            <w:hideMark/>
          </w:tcPr>
          <w:p w14:paraId="28A6BBE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14.18</w:t>
            </w:r>
          </w:p>
        </w:tc>
        <w:tc>
          <w:tcPr>
            <w:tcW w:w="960" w:type="dxa"/>
            <w:tcBorders>
              <w:left w:val="single" w:sz="4" w:space="0" w:color="auto"/>
            </w:tcBorders>
            <w:noWrap/>
            <w:hideMark/>
          </w:tcPr>
          <w:p w14:paraId="1F82F49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9.51</w:t>
            </w:r>
          </w:p>
        </w:tc>
        <w:tc>
          <w:tcPr>
            <w:tcW w:w="960" w:type="dxa"/>
            <w:tcBorders>
              <w:right w:val="single" w:sz="4" w:space="0" w:color="auto"/>
            </w:tcBorders>
            <w:noWrap/>
            <w:hideMark/>
          </w:tcPr>
          <w:p w14:paraId="7DED373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15.56</w:t>
            </w:r>
          </w:p>
        </w:tc>
        <w:tc>
          <w:tcPr>
            <w:tcW w:w="960" w:type="dxa"/>
            <w:tcBorders>
              <w:left w:val="single" w:sz="4" w:space="0" w:color="auto"/>
            </w:tcBorders>
            <w:noWrap/>
            <w:hideMark/>
          </w:tcPr>
          <w:p w14:paraId="106D13D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11.80</w:t>
            </w:r>
          </w:p>
        </w:tc>
        <w:tc>
          <w:tcPr>
            <w:tcW w:w="960" w:type="dxa"/>
            <w:noWrap/>
            <w:hideMark/>
          </w:tcPr>
          <w:p w14:paraId="439E587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19.12</w:t>
            </w:r>
          </w:p>
        </w:tc>
      </w:tr>
      <w:tr w:rsidR="001F4DDE" w:rsidRPr="006F2183" w14:paraId="20BDBEB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10D4AB16" w14:textId="77777777" w:rsidR="001F4DDE" w:rsidRPr="006F2183" w:rsidRDefault="001F4DDE" w:rsidP="001F4DDE">
            <w:pPr>
              <w:rPr>
                <w:bCs/>
                <w:color w:val="000000"/>
                <w:sz w:val="18"/>
                <w:szCs w:val="18"/>
              </w:rPr>
            </w:pPr>
            <w:r w:rsidRPr="006F2183">
              <w:rPr>
                <w:bCs/>
                <w:color w:val="000000"/>
                <w:sz w:val="18"/>
                <w:szCs w:val="18"/>
              </w:rPr>
              <w:t>South Africa</w:t>
            </w:r>
          </w:p>
        </w:tc>
        <w:tc>
          <w:tcPr>
            <w:tcW w:w="917" w:type="dxa"/>
            <w:noWrap/>
            <w:hideMark/>
          </w:tcPr>
          <w:p w14:paraId="49B4160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11.69</w:t>
            </w:r>
          </w:p>
        </w:tc>
        <w:tc>
          <w:tcPr>
            <w:tcW w:w="1003" w:type="dxa"/>
            <w:tcBorders>
              <w:right w:val="single" w:sz="4" w:space="0" w:color="auto"/>
            </w:tcBorders>
            <w:noWrap/>
            <w:hideMark/>
          </w:tcPr>
          <w:p w14:paraId="1CBCE1E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21.24</w:t>
            </w:r>
          </w:p>
        </w:tc>
        <w:tc>
          <w:tcPr>
            <w:tcW w:w="960" w:type="dxa"/>
            <w:tcBorders>
              <w:left w:val="single" w:sz="4" w:space="0" w:color="auto"/>
            </w:tcBorders>
            <w:noWrap/>
            <w:hideMark/>
          </w:tcPr>
          <w:p w14:paraId="1532537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6.12</w:t>
            </w:r>
          </w:p>
        </w:tc>
        <w:tc>
          <w:tcPr>
            <w:tcW w:w="960" w:type="dxa"/>
            <w:tcBorders>
              <w:right w:val="single" w:sz="4" w:space="0" w:color="auto"/>
            </w:tcBorders>
            <w:noWrap/>
            <w:hideMark/>
          </w:tcPr>
          <w:p w14:paraId="46B82D0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9.80</w:t>
            </w:r>
          </w:p>
        </w:tc>
        <w:tc>
          <w:tcPr>
            <w:tcW w:w="960" w:type="dxa"/>
            <w:tcBorders>
              <w:left w:val="single" w:sz="4" w:space="0" w:color="auto"/>
            </w:tcBorders>
            <w:noWrap/>
            <w:hideMark/>
          </w:tcPr>
          <w:p w14:paraId="22A465F9"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6.53</w:t>
            </w:r>
          </w:p>
        </w:tc>
        <w:tc>
          <w:tcPr>
            <w:tcW w:w="960" w:type="dxa"/>
            <w:tcBorders>
              <w:right w:val="single" w:sz="4" w:space="0" w:color="auto"/>
            </w:tcBorders>
            <w:noWrap/>
            <w:hideMark/>
          </w:tcPr>
          <w:p w14:paraId="17E8C1A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10.63</w:t>
            </w:r>
          </w:p>
        </w:tc>
        <w:tc>
          <w:tcPr>
            <w:tcW w:w="960" w:type="dxa"/>
            <w:tcBorders>
              <w:left w:val="single" w:sz="4" w:space="0" w:color="auto"/>
            </w:tcBorders>
            <w:noWrap/>
            <w:hideMark/>
          </w:tcPr>
          <w:p w14:paraId="575AB08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7.12</w:t>
            </w:r>
          </w:p>
        </w:tc>
        <w:tc>
          <w:tcPr>
            <w:tcW w:w="960" w:type="dxa"/>
            <w:noWrap/>
            <w:hideMark/>
          </w:tcPr>
          <w:p w14:paraId="4D3260F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11.67</w:t>
            </w:r>
          </w:p>
        </w:tc>
      </w:tr>
      <w:tr w:rsidR="001F4DDE" w:rsidRPr="006F2183" w14:paraId="7C572BD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A4B338D" w14:textId="77777777" w:rsidR="001F4DDE" w:rsidRPr="006F2183" w:rsidRDefault="001F4DDE" w:rsidP="001F4DDE">
            <w:pPr>
              <w:rPr>
                <w:bCs/>
                <w:color w:val="000000"/>
                <w:sz w:val="18"/>
                <w:szCs w:val="18"/>
              </w:rPr>
            </w:pPr>
            <w:r w:rsidRPr="006F2183">
              <w:rPr>
                <w:bCs/>
                <w:color w:val="000000"/>
                <w:sz w:val="18"/>
                <w:szCs w:val="18"/>
              </w:rPr>
              <w:t>Taiwan</w:t>
            </w:r>
          </w:p>
        </w:tc>
        <w:tc>
          <w:tcPr>
            <w:tcW w:w="917" w:type="dxa"/>
            <w:noWrap/>
            <w:hideMark/>
          </w:tcPr>
          <w:p w14:paraId="2205685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9.69</w:t>
            </w:r>
          </w:p>
        </w:tc>
        <w:tc>
          <w:tcPr>
            <w:tcW w:w="1003" w:type="dxa"/>
            <w:tcBorders>
              <w:right w:val="single" w:sz="4" w:space="0" w:color="auto"/>
            </w:tcBorders>
            <w:noWrap/>
            <w:hideMark/>
          </w:tcPr>
          <w:p w14:paraId="44817DD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16.30</w:t>
            </w:r>
          </w:p>
        </w:tc>
        <w:tc>
          <w:tcPr>
            <w:tcW w:w="960" w:type="dxa"/>
            <w:tcBorders>
              <w:left w:val="single" w:sz="4" w:space="0" w:color="auto"/>
            </w:tcBorders>
            <w:noWrap/>
            <w:hideMark/>
          </w:tcPr>
          <w:p w14:paraId="36C59AF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3.97</w:t>
            </w:r>
          </w:p>
        </w:tc>
        <w:tc>
          <w:tcPr>
            <w:tcW w:w="960" w:type="dxa"/>
            <w:tcBorders>
              <w:right w:val="single" w:sz="4" w:space="0" w:color="auto"/>
            </w:tcBorders>
            <w:noWrap/>
            <w:hideMark/>
          </w:tcPr>
          <w:p w14:paraId="55D5D05D"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5.99</w:t>
            </w:r>
          </w:p>
        </w:tc>
        <w:tc>
          <w:tcPr>
            <w:tcW w:w="960" w:type="dxa"/>
            <w:tcBorders>
              <w:left w:val="single" w:sz="4" w:space="0" w:color="auto"/>
            </w:tcBorders>
            <w:noWrap/>
            <w:hideMark/>
          </w:tcPr>
          <w:p w14:paraId="06A75E3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4.30</w:t>
            </w:r>
          </w:p>
        </w:tc>
        <w:tc>
          <w:tcPr>
            <w:tcW w:w="960" w:type="dxa"/>
            <w:tcBorders>
              <w:right w:val="single" w:sz="4" w:space="0" w:color="auto"/>
            </w:tcBorders>
            <w:noWrap/>
            <w:hideMark/>
          </w:tcPr>
          <w:p w14:paraId="5DD578E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6.48</w:t>
            </w:r>
          </w:p>
        </w:tc>
        <w:tc>
          <w:tcPr>
            <w:tcW w:w="960" w:type="dxa"/>
            <w:tcBorders>
              <w:left w:val="single" w:sz="4" w:space="0" w:color="auto"/>
            </w:tcBorders>
            <w:noWrap/>
            <w:hideMark/>
          </w:tcPr>
          <w:p w14:paraId="618C46D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5.65</w:t>
            </w:r>
          </w:p>
        </w:tc>
        <w:tc>
          <w:tcPr>
            <w:tcW w:w="960" w:type="dxa"/>
            <w:noWrap/>
            <w:hideMark/>
          </w:tcPr>
          <w:p w14:paraId="5D861818"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8.52</w:t>
            </w:r>
          </w:p>
        </w:tc>
      </w:tr>
      <w:tr w:rsidR="001F4DDE" w:rsidRPr="006F2183" w14:paraId="4A774B6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7395F6C" w14:textId="77777777" w:rsidR="001F4DDE" w:rsidRPr="006F2183" w:rsidRDefault="001F4DDE" w:rsidP="001F4DDE">
            <w:pPr>
              <w:rPr>
                <w:bCs/>
                <w:color w:val="000000"/>
                <w:sz w:val="18"/>
                <w:szCs w:val="18"/>
              </w:rPr>
            </w:pPr>
            <w:r w:rsidRPr="006F2183">
              <w:rPr>
                <w:bCs/>
                <w:color w:val="000000"/>
                <w:sz w:val="18"/>
                <w:szCs w:val="18"/>
              </w:rPr>
              <w:t>Thailand</w:t>
            </w:r>
          </w:p>
        </w:tc>
        <w:tc>
          <w:tcPr>
            <w:tcW w:w="917" w:type="dxa"/>
            <w:noWrap/>
            <w:hideMark/>
          </w:tcPr>
          <w:p w14:paraId="2F0E925E"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19.06</w:t>
            </w:r>
          </w:p>
        </w:tc>
        <w:tc>
          <w:tcPr>
            <w:tcW w:w="1003" w:type="dxa"/>
            <w:tcBorders>
              <w:right w:val="single" w:sz="4" w:space="0" w:color="auto"/>
            </w:tcBorders>
            <w:noWrap/>
            <w:hideMark/>
          </w:tcPr>
          <w:p w14:paraId="5D11FBB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38.18</w:t>
            </w:r>
          </w:p>
        </w:tc>
        <w:tc>
          <w:tcPr>
            <w:tcW w:w="960" w:type="dxa"/>
            <w:tcBorders>
              <w:left w:val="single" w:sz="4" w:space="0" w:color="auto"/>
            </w:tcBorders>
            <w:noWrap/>
            <w:hideMark/>
          </w:tcPr>
          <w:p w14:paraId="15F24D9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3.70</w:t>
            </w:r>
          </w:p>
        </w:tc>
        <w:tc>
          <w:tcPr>
            <w:tcW w:w="960" w:type="dxa"/>
            <w:tcBorders>
              <w:right w:val="single" w:sz="4" w:space="0" w:color="auto"/>
            </w:tcBorders>
            <w:noWrap/>
            <w:hideMark/>
          </w:tcPr>
          <w:p w14:paraId="0B982102"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5.50</w:t>
            </w:r>
          </w:p>
        </w:tc>
        <w:tc>
          <w:tcPr>
            <w:tcW w:w="960" w:type="dxa"/>
            <w:tcBorders>
              <w:left w:val="single" w:sz="4" w:space="0" w:color="auto"/>
            </w:tcBorders>
            <w:noWrap/>
            <w:hideMark/>
          </w:tcPr>
          <w:p w14:paraId="6636FA34"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6.02</w:t>
            </w:r>
          </w:p>
        </w:tc>
        <w:tc>
          <w:tcPr>
            <w:tcW w:w="960" w:type="dxa"/>
            <w:tcBorders>
              <w:right w:val="single" w:sz="4" w:space="0" w:color="auto"/>
            </w:tcBorders>
            <w:noWrap/>
            <w:hideMark/>
          </w:tcPr>
          <w:p w14:paraId="66298AB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10.55</w:t>
            </w:r>
          </w:p>
        </w:tc>
        <w:tc>
          <w:tcPr>
            <w:tcW w:w="960" w:type="dxa"/>
            <w:tcBorders>
              <w:left w:val="single" w:sz="4" w:space="0" w:color="auto"/>
            </w:tcBorders>
            <w:noWrap/>
            <w:hideMark/>
          </w:tcPr>
          <w:p w14:paraId="62BC3313"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7.26</w:t>
            </w:r>
          </w:p>
        </w:tc>
        <w:tc>
          <w:tcPr>
            <w:tcW w:w="960" w:type="dxa"/>
            <w:noWrap/>
            <w:hideMark/>
          </w:tcPr>
          <w:p w14:paraId="69004581"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13.33</w:t>
            </w:r>
          </w:p>
        </w:tc>
      </w:tr>
      <w:tr w:rsidR="001F4DDE" w:rsidRPr="006F2183" w14:paraId="7E7AD4D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D9419E3" w14:textId="77777777" w:rsidR="001F4DDE" w:rsidRPr="006F2183" w:rsidRDefault="001F4DDE" w:rsidP="001F4DDE">
            <w:pPr>
              <w:rPr>
                <w:bCs/>
                <w:color w:val="000000"/>
                <w:sz w:val="18"/>
                <w:szCs w:val="18"/>
              </w:rPr>
            </w:pPr>
            <w:r w:rsidRPr="006F2183">
              <w:rPr>
                <w:bCs/>
                <w:color w:val="000000"/>
                <w:sz w:val="18"/>
                <w:szCs w:val="18"/>
              </w:rPr>
              <w:t>Turkey</w:t>
            </w:r>
          </w:p>
        </w:tc>
        <w:tc>
          <w:tcPr>
            <w:tcW w:w="917" w:type="dxa"/>
            <w:noWrap/>
            <w:hideMark/>
          </w:tcPr>
          <w:p w14:paraId="15B1FC2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27.75</w:t>
            </w:r>
          </w:p>
        </w:tc>
        <w:tc>
          <w:tcPr>
            <w:tcW w:w="1003" w:type="dxa"/>
            <w:tcBorders>
              <w:right w:val="single" w:sz="4" w:space="0" w:color="auto"/>
            </w:tcBorders>
            <w:noWrap/>
            <w:hideMark/>
          </w:tcPr>
          <w:p w14:paraId="6822F9B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59.36</w:t>
            </w:r>
          </w:p>
        </w:tc>
        <w:tc>
          <w:tcPr>
            <w:tcW w:w="960" w:type="dxa"/>
            <w:tcBorders>
              <w:left w:val="single" w:sz="4" w:space="0" w:color="auto"/>
              <w:bottom w:val="single" w:sz="12" w:space="0" w:color="000000"/>
            </w:tcBorders>
            <w:noWrap/>
            <w:hideMark/>
          </w:tcPr>
          <w:p w14:paraId="20D3FA37"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6.64</w:t>
            </w:r>
          </w:p>
        </w:tc>
        <w:tc>
          <w:tcPr>
            <w:tcW w:w="960" w:type="dxa"/>
            <w:tcBorders>
              <w:bottom w:val="single" w:sz="12" w:space="0" w:color="000000"/>
              <w:right w:val="single" w:sz="4" w:space="0" w:color="auto"/>
            </w:tcBorders>
            <w:noWrap/>
            <w:hideMark/>
          </w:tcPr>
          <w:p w14:paraId="7F32E40C"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10.31</w:t>
            </w:r>
          </w:p>
        </w:tc>
        <w:tc>
          <w:tcPr>
            <w:tcW w:w="960" w:type="dxa"/>
            <w:tcBorders>
              <w:left w:val="single" w:sz="4" w:space="0" w:color="auto"/>
              <w:bottom w:val="single" w:sz="12" w:space="0" w:color="000000"/>
            </w:tcBorders>
            <w:noWrap/>
            <w:hideMark/>
          </w:tcPr>
          <w:p w14:paraId="5E6398EB"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7.72</w:t>
            </w:r>
          </w:p>
        </w:tc>
        <w:tc>
          <w:tcPr>
            <w:tcW w:w="960" w:type="dxa"/>
            <w:tcBorders>
              <w:bottom w:val="single" w:sz="12" w:space="0" w:color="000000"/>
              <w:right w:val="single" w:sz="4" w:space="0" w:color="auto"/>
            </w:tcBorders>
            <w:noWrap/>
            <w:hideMark/>
          </w:tcPr>
          <w:p w14:paraId="2DEE5340"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11.93</w:t>
            </w:r>
          </w:p>
        </w:tc>
        <w:tc>
          <w:tcPr>
            <w:tcW w:w="960" w:type="dxa"/>
            <w:tcBorders>
              <w:left w:val="single" w:sz="4" w:space="0" w:color="auto"/>
            </w:tcBorders>
            <w:noWrap/>
            <w:hideMark/>
          </w:tcPr>
          <w:p w14:paraId="2AFC9CF6"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11.54</w:t>
            </w:r>
          </w:p>
        </w:tc>
        <w:tc>
          <w:tcPr>
            <w:tcW w:w="960" w:type="dxa"/>
            <w:noWrap/>
            <w:hideMark/>
          </w:tcPr>
          <w:p w14:paraId="381E539F" w14:textId="77777777" w:rsidR="001F4DDE" w:rsidRPr="006F2183"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F2183">
              <w:rPr>
                <w:color w:val="000000"/>
                <w:sz w:val="18"/>
                <w:szCs w:val="18"/>
              </w:rPr>
              <w:t>17.61</w:t>
            </w:r>
          </w:p>
        </w:tc>
      </w:tr>
    </w:tbl>
    <w:p w14:paraId="4943893B" w14:textId="77777777" w:rsidR="001F4DDE" w:rsidRPr="000E6048" w:rsidRDefault="001F4DDE" w:rsidP="001F4DDE">
      <w:pPr>
        <w:spacing w:line="240" w:lineRule="auto"/>
        <w:ind w:right="340"/>
        <w:rPr>
          <w:rFonts w:ascii="Times New Roman" w:hAnsi="Times New Roman"/>
          <w:sz w:val="18"/>
          <w:szCs w:val="18"/>
        </w:rPr>
      </w:pPr>
      <w:r>
        <w:rPr>
          <w:rFonts w:ascii="Times New Roman" w:hAnsi="Times New Roman"/>
          <w:sz w:val="18"/>
          <w:szCs w:val="18"/>
        </w:rPr>
        <w:t>Notes: This table shows the maximum expected loss over a period of one week for a $100 portfolio calculated using the modified Value-at-Risk (</w:t>
      </w:r>
      <w:proofErr w:type="spellStart"/>
      <w:r>
        <w:rPr>
          <w:rFonts w:ascii="Times New Roman" w:hAnsi="Times New Roman"/>
          <w:sz w:val="18"/>
          <w:szCs w:val="18"/>
        </w:rPr>
        <w:t>mVAR</w:t>
      </w:r>
      <w:proofErr w:type="spellEnd"/>
      <w:r>
        <w:rPr>
          <w:rFonts w:ascii="Times New Roman" w:hAnsi="Times New Roman"/>
          <w:sz w:val="18"/>
          <w:szCs w:val="18"/>
        </w:rPr>
        <w:t xml:space="preserve">).  The </w:t>
      </w:r>
      <w:proofErr w:type="spellStart"/>
      <w:r>
        <w:rPr>
          <w:rFonts w:ascii="Times New Roman" w:hAnsi="Times New Roman"/>
          <w:sz w:val="18"/>
          <w:szCs w:val="18"/>
        </w:rPr>
        <w:t>mVAR</w:t>
      </w:r>
      <w:proofErr w:type="spellEnd"/>
      <w:r>
        <w:rPr>
          <w:rFonts w:ascii="Times New Roman" w:hAnsi="Times New Roman"/>
          <w:sz w:val="18"/>
          <w:szCs w:val="18"/>
        </w:rPr>
        <w:t xml:space="preserve"> is calculated for the foreign country indices and for the 3 replicating portfolios for each country using 1.96 and 2.33 standard deviations.</w:t>
      </w:r>
    </w:p>
    <w:p w14:paraId="3EF46989" w14:textId="77777777" w:rsidR="001F4DDE" w:rsidRPr="000E6048" w:rsidRDefault="001F4DDE" w:rsidP="001F4DDE">
      <w:pPr>
        <w:spacing w:line="360" w:lineRule="auto"/>
        <w:rPr>
          <w:rFonts w:ascii="Times New Roman" w:hAnsi="Times New Roman"/>
          <w:color w:val="FF0000"/>
          <w:sz w:val="24"/>
          <w:szCs w:val="24"/>
        </w:rPr>
      </w:pPr>
    </w:p>
    <w:p w14:paraId="41818316" w14:textId="77777777" w:rsidR="008E6C2C" w:rsidRDefault="008E6C2C" w:rsidP="005817F4">
      <w:pPr>
        <w:pStyle w:val="Caption"/>
        <w:sectPr w:rsidR="008E6C2C" w:rsidSect="007C224E">
          <w:footerReference w:type="default" r:id="rId19"/>
          <w:pgSz w:w="12240" w:h="15840" w:code="1"/>
          <w:pgMar w:top="1440" w:right="1440" w:bottom="1440" w:left="1440" w:header="709" w:footer="709" w:gutter="0"/>
          <w:cols w:space="708"/>
          <w:docGrid w:linePitch="360"/>
        </w:sectPr>
      </w:pPr>
      <w:bookmarkStart w:id="20" w:name="_Ref383010171"/>
      <w:bookmarkStart w:id="21" w:name="_Toc383428910"/>
    </w:p>
    <w:p w14:paraId="208EC66D" w14:textId="77777777" w:rsidR="001F4DDE" w:rsidRPr="00991889" w:rsidRDefault="008E6C2C" w:rsidP="005817F4">
      <w:pPr>
        <w:pStyle w:val="Caption"/>
      </w:pPr>
      <w:bookmarkStart w:id="22" w:name="_Ref384643468"/>
      <w:bookmarkEnd w:id="20"/>
      <w:r w:rsidRPr="00991889">
        <w:lastRenderedPageBreak/>
        <w:t xml:space="preserve">Table </w:t>
      </w:r>
      <w:r w:rsidR="00CD4B7C">
        <w:fldChar w:fldCharType="begin"/>
      </w:r>
      <w:r w:rsidR="00CD4B7C">
        <w:instrText xml:space="preserve"> SEQ Table \* ARABIC </w:instrText>
      </w:r>
      <w:r w:rsidR="00CD4B7C">
        <w:fldChar w:fldCharType="separate"/>
      </w:r>
      <w:r w:rsidR="00A0607E">
        <w:rPr>
          <w:noProof/>
        </w:rPr>
        <w:t>8</w:t>
      </w:r>
      <w:r w:rsidR="00CD4B7C">
        <w:rPr>
          <w:noProof/>
        </w:rPr>
        <w:fldChar w:fldCharType="end"/>
      </w:r>
      <w:bookmarkEnd w:id="22"/>
      <w:r w:rsidRPr="00991889">
        <w:t xml:space="preserve"> </w:t>
      </w:r>
      <w:r w:rsidR="001F4DDE" w:rsidRPr="00991889">
        <w:t>Correlations for sub-periods</w:t>
      </w:r>
      <w:bookmarkEnd w:id="21"/>
    </w:p>
    <w:tbl>
      <w:tblPr>
        <w:tblStyle w:val="TableClassic1"/>
        <w:tblW w:w="0" w:type="auto"/>
        <w:tblLook w:val="06A0" w:firstRow="1" w:lastRow="0" w:firstColumn="1" w:lastColumn="0" w:noHBand="1" w:noVBand="1"/>
      </w:tblPr>
      <w:tblGrid>
        <w:gridCol w:w="1621"/>
        <w:gridCol w:w="1371"/>
        <w:gridCol w:w="546"/>
        <w:gridCol w:w="546"/>
        <w:gridCol w:w="546"/>
        <w:gridCol w:w="1371"/>
        <w:gridCol w:w="546"/>
        <w:gridCol w:w="546"/>
        <w:gridCol w:w="546"/>
        <w:gridCol w:w="1371"/>
        <w:gridCol w:w="546"/>
        <w:gridCol w:w="546"/>
        <w:gridCol w:w="546"/>
      </w:tblGrid>
      <w:tr w:rsidR="001F4DDE" w:rsidRPr="00544780" w14:paraId="7514A638" w14:textId="77777777" w:rsidTr="001F4DD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5EF880" w14:textId="77777777" w:rsidR="001F4DDE" w:rsidRPr="00544780" w:rsidRDefault="001F4DDE" w:rsidP="001F4DDE">
            <w:pPr>
              <w:rPr>
                <w:color w:val="000000"/>
                <w:sz w:val="18"/>
                <w:szCs w:val="18"/>
              </w:rPr>
            </w:pPr>
          </w:p>
        </w:tc>
        <w:tc>
          <w:tcPr>
            <w:tcW w:w="0" w:type="auto"/>
            <w:gridSpan w:val="4"/>
            <w:tcBorders>
              <w:top w:val="single" w:sz="12" w:space="0" w:color="000000"/>
              <w:right w:val="single" w:sz="4" w:space="0" w:color="auto"/>
            </w:tcBorders>
          </w:tcPr>
          <w:p w14:paraId="7670031D" w14:textId="77777777" w:rsidR="001F4DDE" w:rsidRPr="00544780" w:rsidRDefault="00DC70AA"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1996-2002</w:t>
            </w:r>
          </w:p>
        </w:tc>
        <w:tc>
          <w:tcPr>
            <w:tcW w:w="0" w:type="auto"/>
            <w:gridSpan w:val="4"/>
            <w:tcBorders>
              <w:top w:val="single" w:sz="12" w:space="0" w:color="000000"/>
              <w:left w:val="single" w:sz="4" w:space="0" w:color="auto"/>
              <w:right w:val="single" w:sz="4" w:space="0" w:color="auto"/>
            </w:tcBorders>
          </w:tcPr>
          <w:p w14:paraId="42346DB7" w14:textId="77777777" w:rsidR="001F4DDE" w:rsidRPr="00544780"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2003-2007</w:t>
            </w:r>
          </w:p>
        </w:tc>
        <w:tc>
          <w:tcPr>
            <w:tcW w:w="0" w:type="auto"/>
            <w:gridSpan w:val="4"/>
            <w:tcBorders>
              <w:left w:val="single" w:sz="4" w:space="0" w:color="auto"/>
            </w:tcBorders>
          </w:tcPr>
          <w:p w14:paraId="7061DAD2" w14:textId="77777777" w:rsidR="001F4DDE" w:rsidRPr="00544780" w:rsidRDefault="00DC70AA" w:rsidP="001F4DD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2008-2011</w:t>
            </w:r>
          </w:p>
        </w:tc>
      </w:tr>
      <w:tr w:rsidR="001F4DDE" w:rsidRPr="00544780" w14:paraId="72B89FE1"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399CF8" w14:textId="77777777" w:rsidR="001F4DDE" w:rsidRPr="00A1478D" w:rsidRDefault="001F4DDE" w:rsidP="001F4DDE">
            <w:pPr>
              <w:rPr>
                <w:i/>
                <w:color w:val="000000"/>
                <w:sz w:val="18"/>
                <w:szCs w:val="18"/>
              </w:rPr>
            </w:pPr>
            <w:r w:rsidRPr="00A1478D">
              <w:rPr>
                <w:i/>
                <w:color w:val="000000"/>
                <w:sz w:val="18"/>
                <w:szCs w:val="18"/>
              </w:rPr>
              <w:t>Developed Markets</w:t>
            </w:r>
          </w:p>
        </w:tc>
        <w:tc>
          <w:tcPr>
            <w:tcW w:w="0" w:type="auto"/>
            <w:noWrap/>
            <w:hideMark/>
          </w:tcPr>
          <w:p w14:paraId="21479BDB"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Domestic Firms</w:t>
            </w:r>
          </w:p>
        </w:tc>
        <w:tc>
          <w:tcPr>
            <w:tcW w:w="0" w:type="auto"/>
          </w:tcPr>
          <w:p w14:paraId="5332D828"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D1</w:t>
            </w:r>
          </w:p>
        </w:tc>
        <w:tc>
          <w:tcPr>
            <w:tcW w:w="0" w:type="auto"/>
          </w:tcPr>
          <w:p w14:paraId="609B47D4"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D2</w:t>
            </w:r>
          </w:p>
        </w:tc>
        <w:tc>
          <w:tcPr>
            <w:tcW w:w="0" w:type="auto"/>
            <w:tcBorders>
              <w:right w:val="single" w:sz="4" w:space="0" w:color="auto"/>
            </w:tcBorders>
            <w:noWrap/>
            <w:hideMark/>
          </w:tcPr>
          <w:p w14:paraId="401F6CED"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D3</w:t>
            </w:r>
          </w:p>
        </w:tc>
        <w:tc>
          <w:tcPr>
            <w:tcW w:w="0" w:type="auto"/>
            <w:tcBorders>
              <w:left w:val="single" w:sz="4" w:space="0" w:color="auto"/>
            </w:tcBorders>
            <w:noWrap/>
            <w:hideMark/>
          </w:tcPr>
          <w:p w14:paraId="10A2A2EE"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Domestic Firms</w:t>
            </w:r>
          </w:p>
        </w:tc>
        <w:tc>
          <w:tcPr>
            <w:tcW w:w="0" w:type="auto"/>
          </w:tcPr>
          <w:p w14:paraId="4A514E57"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D1</w:t>
            </w:r>
          </w:p>
        </w:tc>
        <w:tc>
          <w:tcPr>
            <w:tcW w:w="0" w:type="auto"/>
          </w:tcPr>
          <w:p w14:paraId="2C373D31"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D2</w:t>
            </w:r>
          </w:p>
        </w:tc>
        <w:tc>
          <w:tcPr>
            <w:tcW w:w="0" w:type="auto"/>
            <w:tcBorders>
              <w:right w:val="single" w:sz="4" w:space="0" w:color="auto"/>
            </w:tcBorders>
            <w:noWrap/>
            <w:hideMark/>
          </w:tcPr>
          <w:p w14:paraId="5E33559E"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D3</w:t>
            </w:r>
          </w:p>
        </w:tc>
        <w:tc>
          <w:tcPr>
            <w:tcW w:w="0" w:type="auto"/>
            <w:tcBorders>
              <w:left w:val="single" w:sz="4" w:space="0" w:color="auto"/>
            </w:tcBorders>
            <w:noWrap/>
            <w:hideMark/>
          </w:tcPr>
          <w:p w14:paraId="72687FE9"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Domestic Firms</w:t>
            </w:r>
          </w:p>
        </w:tc>
        <w:tc>
          <w:tcPr>
            <w:tcW w:w="0" w:type="auto"/>
          </w:tcPr>
          <w:p w14:paraId="2E0014F7"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D1</w:t>
            </w:r>
          </w:p>
        </w:tc>
        <w:tc>
          <w:tcPr>
            <w:tcW w:w="0" w:type="auto"/>
          </w:tcPr>
          <w:p w14:paraId="5431235E"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D2</w:t>
            </w:r>
          </w:p>
        </w:tc>
        <w:tc>
          <w:tcPr>
            <w:tcW w:w="0" w:type="auto"/>
            <w:noWrap/>
            <w:hideMark/>
          </w:tcPr>
          <w:p w14:paraId="7C26AC9B" w14:textId="77777777" w:rsidR="001F4DDE" w:rsidRPr="00A1478D" w:rsidRDefault="001F4DDE" w:rsidP="001F4DDE">
            <w:pPr>
              <w:cnfStyle w:val="000000000000" w:firstRow="0" w:lastRow="0" w:firstColumn="0" w:lastColumn="0" w:oddVBand="0" w:evenVBand="0" w:oddHBand="0" w:evenHBand="0" w:firstRowFirstColumn="0" w:firstRowLastColumn="0" w:lastRowFirstColumn="0" w:lastRowLastColumn="0"/>
              <w:rPr>
                <w:i/>
                <w:color w:val="000000"/>
                <w:sz w:val="18"/>
                <w:szCs w:val="18"/>
              </w:rPr>
            </w:pPr>
            <w:r w:rsidRPr="00A1478D">
              <w:rPr>
                <w:i/>
                <w:color w:val="000000"/>
                <w:sz w:val="18"/>
                <w:szCs w:val="18"/>
              </w:rPr>
              <w:t>D3</w:t>
            </w:r>
          </w:p>
        </w:tc>
      </w:tr>
      <w:tr w:rsidR="001F4DDE" w:rsidRPr="00544780" w14:paraId="7B2DA099"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DA7865" w14:textId="77777777" w:rsidR="001F4DDE" w:rsidRPr="00544780" w:rsidRDefault="001F4DDE" w:rsidP="001F4DDE">
            <w:pPr>
              <w:rPr>
                <w:color w:val="000000"/>
                <w:sz w:val="18"/>
                <w:szCs w:val="18"/>
              </w:rPr>
            </w:pPr>
            <w:r w:rsidRPr="00544780">
              <w:rPr>
                <w:color w:val="000000"/>
                <w:sz w:val="18"/>
                <w:szCs w:val="18"/>
              </w:rPr>
              <w:t>Argentina</w:t>
            </w:r>
          </w:p>
        </w:tc>
        <w:tc>
          <w:tcPr>
            <w:tcW w:w="0" w:type="auto"/>
            <w:noWrap/>
            <w:hideMark/>
          </w:tcPr>
          <w:p w14:paraId="6B4985B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11%</w:t>
            </w:r>
          </w:p>
        </w:tc>
        <w:tc>
          <w:tcPr>
            <w:tcW w:w="0" w:type="auto"/>
          </w:tcPr>
          <w:p w14:paraId="7E9AD0A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16%</w:t>
            </w:r>
          </w:p>
        </w:tc>
        <w:tc>
          <w:tcPr>
            <w:tcW w:w="0" w:type="auto"/>
          </w:tcPr>
          <w:p w14:paraId="1444AD4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20%</w:t>
            </w:r>
          </w:p>
        </w:tc>
        <w:tc>
          <w:tcPr>
            <w:tcW w:w="0" w:type="auto"/>
            <w:tcBorders>
              <w:right w:val="single" w:sz="4" w:space="0" w:color="auto"/>
            </w:tcBorders>
            <w:noWrap/>
            <w:hideMark/>
          </w:tcPr>
          <w:p w14:paraId="29B95A2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39%</w:t>
            </w:r>
          </w:p>
        </w:tc>
        <w:tc>
          <w:tcPr>
            <w:tcW w:w="0" w:type="auto"/>
            <w:tcBorders>
              <w:left w:val="single" w:sz="4" w:space="0" w:color="auto"/>
            </w:tcBorders>
            <w:noWrap/>
            <w:hideMark/>
          </w:tcPr>
          <w:p w14:paraId="46C5968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Pr>
          <w:p w14:paraId="252D015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Pr>
          <w:p w14:paraId="4A98BB2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58%</w:t>
            </w:r>
          </w:p>
        </w:tc>
        <w:tc>
          <w:tcPr>
            <w:tcW w:w="0" w:type="auto"/>
            <w:tcBorders>
              <w:right w:val="single" w:sz="4" w:space="0" w:color="auto"/>
            </w:tcBorders>
            <w:noWrap/>
            <w:hideMark/>
          </w:tcPr>
          <w:p w14:paraId="60506D2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Borders>
              <w:left w:val="single" w:sz="4" w:space="0" w:color="auto"/>
            </w:tcBorders>
            <w:noWrap/>
            <w:hideMark/>
          </w:tcPr>
          <w:p w14:paraId="087874E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Pr>
          <w:p w14:paraId="1029351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tcPr>
          <w:p w14:paraId="17E7245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c>
          <w:tcPr>
            <w:tcW w:w="0" w:type="auto"/>
            <w:noWrap/>
            <w:hideMark/>
          </w:tcPr>
          <w:p w14:paraId="196963F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r>
      <w:tr w:rsidR="001F4DDE" w:rsidRPr="00544780" w14:paraId="0CD81DDA"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76F68F" w14:textId="77777777" w:rsidR="001F4DDE" w:rsidRPr="00544780" w:rsidRDefault="001F4DDE" w:rsidP="001F4DDE">
            <w:pPr>
              <w:rPr>
                <w:color w:val="000000"/>
                <w:sz w:val="18"/>
                <w:szCs w:val="18"/>
              </w:rPr>
            </w:pPr>
            <w:r w:rsidRPr="00544780">
              <w:rPr>
                <w:color w:val="000000"/>
                <w:sz w:val="18"/>
                <w:szCs w:val="18"/>
              </w:rPr>
              <w:t>Australia</w:t>
            </w:r>
          </w:p>
        </w:tc>
        <w:tc>
          <w:tcPr>
            <w:tcW w:w="0" w:type="auto"/>
            <w:noWrap/>
            <w:hideMark/>
          </w:tcPr>
          <w:p w14:paraId="0EDD91D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23%</w:t>
            </w:r>
          </w:p>
        </w:tc>
        <w:tc>
          <w:tcPr>
            <w:tcW w:w="0" w:type="auto"/>
          </w:tcPr>
          <w:p w14:paraId="65316A7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Pr>
          <w:p w14:paraId="33CDD38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44%</w:t>
            </w:r>
          </w:p>
        </w:tc>
        <w:tc>
          <w:tcPr>
            <w:tcW w:w="0" w:type="auto"/>
            <w:tcBorders>
              <w:right w:val="single" w:sz="4" w:space="0" w:color="auto"/>
            </w:tcBorders>
            <w:noWrap/>
            <w:hideMark/>
          </w:tcPr>
          <w:p w14:paraId="7A39F29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65%</w:t>
            </w:r>
          </w:p>
        </w:tc>
        <w:tc>
          <w:tcPr>
            <w:tcW w:w="0" w:type="auto"/>
            <w:tcBorders>
              <w:left w:val="single" w:sz="4" w:space="0" w:color="auto"/>
            </w:tcBorders>
            <w:noWrap/>
            <w:hideMark/>
          </w:tcPr>
          <w:p w14:paraId="1C1D267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46%</w:t>
            </w:r>
          </w:p>
        </w:tc>
        <w:tc>
          <w:tcPr>
            <w:tcW w:w="0" w:type="auto"/>
          </w:tcPr>
          <w:p w14:paraId="255943F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65%</w:t>
            </w:r>
          </w:p>
        </w:tc>
        <w:tc>
          <w:tcPr>
            <w:tcW w:w="0" w:type="auto"/>
          </w:tcPr>
          <w:p w14:paraId="6C918FC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Borders>
              <w:right w:val="single" w:sz="4" w:space="0" w:color="auto"/>
            </w:tcBorders>
            <w:noWrap/>
            <w:hideMark/>
          </w:tcPr>
          <w:p w14:paraId="2744D95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c>
          <w:tcPr>
            <w:tcW w:w="0" w:type="auto"/>
            <w:tcBorders>
              <w:left w:val="single" w:sz="4" w:space="0" w:color="auto"/>
            </w:tcBorders>
            <w:noWrap/>
            <w:hideMark/>
          </w:tcPr>
          <w:p w14:paraId="1752028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76%</w:t>
            </w:r>
          </w:p>
        </w:tc>
        <w:tc>
          <w:tcPr>
            <w:tcW w:w="0" w:type="auto"/>
          </w:tcPr>
          <w:p w14:paraId="4037791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86%</w:t>
            </w:r>
          </w:p>
        </w:tc>
        <w:tc>
          <w:tcPr>
            <w:tcW w:w="0" w:type="auto"/>
          </w:tcPr>
          <w:p w14:paraId="2B2D39D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87%</w:t>
            </w:r>
          </w:p>
        </w:tc>
        <w:tc>
          <w:tcPr>
            <w:tcW w:w="0" w:type="auto"/>
            <w:noWrap/>
            <w:hideMark/>
          </w:tcPr>
          <w:p w14:paraId="0111398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97%</w:t>
            </w:r>
          </w:p>
        </w:tc>
      </w:tr>
      <w:tr w:rsidR="001F4DDE" w:rsidRPr="00544780" w14:paraId="2DB43637"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FDDDB5" w14:textId="77777777" w:rsidR="001F4DDE" w:rsidRPr="00544780" w:rsidRDefault="001F4DDE" w:rsidP="001F4DDE">
            <w:pPr>
              <w:rPr>
                <w:color w:val="000000"/>
                <w:sz w:val="18"/>
                <w:szCs w:val="18"/>
              </w:rPr>
            </w:pPr>
            <w:r w:rsidRPr="00544780">
              <w:rPr>
                <w:color w:val="000000"/>
                <w:sz w:val="18"/>
                <w:szCs w:val="18"/>
              </w:rPr>
              <w:t>Austria</w:t>
            </w:r>
          </w:p>
        </w:tc>
        <w:tc>
          <w:tcPr>
            <w:tcW w:w="0" w:type="auto"/>
            <w:noWrap/>
            <w:hideMark/>
          </w:tcPr>
          <w:p w14:paraId="7B2F3FD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14%</w:t>
            </w:r>
          </w:p>
        </w:tc>
        <w:tc>
          <w:tcPr>
            <w:tcW w:w="0" w:type="auto"/>
          </w:tcPr>
          <w:p w14:paraId="5EB1A7A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15%</w:t>
            </w:r>
          </w:p>
        </w:tc>
        <w:tc>
          <w:tcPr>
            <w:tcW w:w="0" w:type="auto"/>
          </w:tcPr>
          <w:p w14:paraId="6079652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15%</w:t>
            </w:r>
          </w:p>
        </w:tc>
        <w:tc>
          <w:tcPr>
            <w:tcW w:w="0" w:type="auto"/>
            <w:tcBorders>
              <w:right w:val="single" w:sz="4" w:space="0" w:color="auto"/>
            </w:tcBorders>
            <w:noWrap/>
            <w:hideMark/>
          </w:tcPr>
          <w:p w14:paraId="2C2A0E1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42%</w:t>
            </w:r>
          </w:p>
        </w:tc>
        <w:tc>
          <w:tcPr>
            <w:tcW w:w="0" w:type="auto"/>
            <w:tcBorders>
              <w:left w:val="single" w:sz="4" w:space="0" w:color="auto"/>
            </w:tcBorders>
            <w:noWrap/>
            <w:hideMark/>
          </w:tcPr>
          <w:p w14:paraId="646C47E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44%</w:t>
            </w:r>
          </w:p>
        </w:tc>
        <w:tc>
          <w:tcPr>
            <w:tcW w:w="0" w:type="auto"/>
          </w:tcPr>
          <w:p w14:paraId="29101D5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Pr>
          <w:p w14:paraId="6A41C4E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62%</w:t>
            </w:r>
          </w:p>
        </w:tc>
        <w:tc>
          <w:tcPr>
            <w:tcW w:w="0" w:type="auto"/>
            <w:tcBorders>
              <w:right w:val="single" w:sz="4" w:space="0" w:color="auto"/>
            </w:tcBorders>
            <w:noWrap/>
            <w:hideMark/>
          </w:tcPr>
          <w:p w14:paraId="782BC44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c>
          <w:tcPr>
            <w:tcW w:w="0" w:type="auto"/>
            <w:tcBorders>
              <w:left w:val="single" w:sz="4" w:space="0" w:color="auto"/>
            </w:tcBorders>
            <w:noWrap/>
            <w:hideMark/>
          </w:tcPr>
          <w:p w14:paraId="4214F8D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72%</w:t>
            </w:r>
          </w:p>
        </w:tc>
        <w:tc>
          <w:tcPr>
            <w:tcW w:w="0" w:type="auto"/>
          </w:tcPr>
          <w:p w14:paraId="399BE48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80%</w:t>
            </w:r>
          </w:p>
        </w:tc>
        <w:tc>
          <w:tcPr>
            <w:tcW w:w="0" w:type="auto"/>
          </w:tcPr>
          <w:p w14:paraId="2C9A789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84%</w:t>
            </w:r>
          </w:p>
        </w:tc>
        <w:tc>
          <w:tcPr>
            <w:tcW w:w="0" w:type="auto"/>
            <w:noWrap/>
            <w:hideMark/>
          </w:tcPr>
          <w:p w14:paraId="3D1019A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96%</w:t>
            </w:r>
          </w:p>
        </w:tc>
      </w:tr>
      <w:tr w:rsidR="001F4DDE" w:rsidRPr="00544780" w14:paraId="61FBCDBF"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90B810" w14:textId="77777777" w:rsidR="001F4DDE" w:rsidRPr="00544780" w:rsidRDefault="001F4DDE" w:rsidP="001F4DDE">
            <w:pPr>
              <w:rPr>
                <w:color w:val="000000"/>
                <w:sz w:val="18"/>
                <w:szCs w:val="18"/>
              </w:rPr>
            </w:pPr>
            <w:r w:rsidRPr="00544780">
              <w:rPr>
                <w:color w:val="000000"/>
                <w:sz w:val="18"/>
                <w:szCs w:val="18"/>
              </w:rPr>
              <w:t>Belgium</w:t>
            </w:r>
          </w:p>
        </w:tc>
        <w:tc>
          <w:tcPr>
            <w:tcW w:w="0" w:type="auto"/>
            <w:noWrap/>
            <w:hideMark/>
          </w:tcPr>
          <w:p w14:paraId="4BF2471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Pr>
          <w:p w14:paraId="289DC17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27%</w:t>
            </w:r>
          </w:p>
        </w:tc>
        <w:tc>
          <w:tcPr>
            <w:tcW w:w="0" w:type="auto"/>
          </w:tcPr>
          <w:p w14:paraId="47143EC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32%</w:t>
            </w:r>
          </w:p>
        </w:tc>
        <w:tc>
          <w:tcPr>
            <w:tcW w:w="0" w:type="auto"/>
            <w:tcBorders>
              <w:right w:val="single" w:sz="4" w:space="0" w:color="auto"/>
            </w:tcBorders>
            <w:noWrap/>
            <w:hideMark/>
          </w:tcPr>
          <w:p w14:paraId="6EB97A3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50%</w:t>
            </w:r>
          </w:p>
        </w:tc>
        <w:tc>
          <w:tcPr>
            <w:tcW w:w="0" w:type="auto"/>
            <w:tcBorders>
              <w:left w:val="single" w:sz="4" w:space="0" w:color="auto"/>
            </w:tcBorders>
            <w:noWrap/>
            <w:hideMark/>
          </w:tcPr>
          <w:p w14:paraId="5C92579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58%</w:t>
            </w:r>
          </w:p>
        </w:tc>
        <w:tc>
          <w:tcPr>
            <w:tcW w:w="0" w:type="auto"/>
          </w:tcPr>
          <w:p w14:paraId="7537EE6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65%</w:t>
            </w:r>
          </w:p>
        </w:tc>
        <w:tc>
          <w:tcPr>
            <w:tcW w:w="0" w:type="auto"/>
          </w:tcPr>
          <w:p w14:paraId="7DC1295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69%</w:t>
            </w:r>
          </w:p>
        </w:tc>
        <w:tc>
          <w:tcPr>
            <w:tcW w:w="0" w:type="auto"/>
            <w:tcBorders>
              <w:right w:val="single" w:sz="4" w:space="0" w:color="auto"/>
            </w:tcBorders>
            <w:noWrap/>
            <w:hideMark/>
          </w:tcPr>
          <w:p w14:paraId="765B3B9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93%</w:t>
            </w:r>
          </w:p>
        </w:tc>
        <w:tc>
          <w:tcPr>
            <w:tcW w:w="0" w:type="auto"/>
            <w:tcBorders>
              <w:left w:val="single" w:sz="4" w:space="0" w:color="auto"/>
            </w:tcBorders>
            <w:noWrap/>
            <w:hideMark/>
          </w:tcPr>
          <w:p w14:paraId="2509824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72%</w:t>
            </w:r>
          </w:p>
        </w:tc>
        <w:tc>
          <w:tcPr>
            <w:tcW w:w="0" w:type="auto"/>
          </w:tcPr>
          <w:p w14:paraId="78D855E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c>
          <w:tcPr>
            <w:tcW w:w="0" w:type="auto"/>
          </w:tcPr>
          <w:p w14:paraId="1E63826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noWrap/>
            <w:hideMark/>
          </w:tcPr>
          <w:p w14:paraId="6A8DEE4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93%</w:t>
            </w:r>
          </w:p>
        </w:tc>
      </w:tr>
      <w:tr w:rsidR="001F4DDE" w:rsidRPr="00544780" w14:paraId="7A61B6E6"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11070F" w14:textId="77777777" w:rsidR="001F4DDE" w:rsidRPr="00544780" w:rsidRDefault="001F4DDE" w:rsidP="001F4DDE">
            <w:pPr>
              <w:rPr>
                <w:color w:val="000000"/>
                <w:sz w:val="18"/>
                <w:szCs w:val="18"/>
              </w:rPr>
            </w:pPr>
            <w:r w:rsidRPr="00544780">
              <w:rPr>
                <w:color w:val="000000"/>
                <w:sz w:val="18"/>
                <w:szCs w:val="18"/>
              </w:rPr>
              <w:t>Canada</w:t>
            </w:r>
          </w:p>
        </w:tc>
        <w:tc>
          <w:tcPr>
            <w:tcW w:w="0" w:type="auto"/>
            <w:noWrap/>
            <w:hideMark/>
          </w:tcPr>
          <w:p w14:paraId="6C4888C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35%</w:t>
            </w:r>
          </w:p>
        </w:tc>
        <w:tc>
          <w:tcPr>
            <w:tcW w:w="0" w:type="auto"/>
          </w:tcPr>
          <w:p w14:paraId="35B48C0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45%</w:t>
            </w:r>
          </w:p>
        </w:tc>
        <w:tc>
          <w:tcPr>
            <w:tcW w:w="0" w:type="auto"/>
          </w:tcPr>
          <w:p w14:paraId="6A6C5F2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49%</w:t>
            </w:r>
          </w:p>
        </w:tc>
        <w:tc>
          <w:tcPr>
            <w:tcW w:w="0" w:type="auto"/>
            <w:tcBorders>
              <w:right w:val="single" w:sz="4" w:space="0" w:color="auto"/>
            </w:tcBorders>
            <w:noWrap/>
            <w:hideMark/>
          </w:tcPr>
          <w:p w14:paraId="5A8C268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49%</w:t>
            </w:r>
          </w:p>
        </w:tc>
        <w:tc>
          <w:tcPr>
            <w:tcW w:w="0" w:type="auto"/>
            <w:tcBorders>
              <w:left w:val="single" w:sz="4" w:space="0" w:color="auto"/>
            </w:tcBorders>
            <w:noWrap/>
            <w:hideMark/>
          </w:tcPr>
          <w:p w14:paraId="4DADDE9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Pr>
          <w:p w14:paraId="2240CB0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Pr>
          <w:p w14:paraId="2ABA922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Borders>
              <w:right w:val="single" w:sz="4" w:space="0" w:color="auto"/>
            </w:tcBorders>
            <w:noWrap/>
            <w:hideMark/>
          </w:tcPr>
          <w:p w14:paraId="5285D99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98%</w:t>
            </w:r>
          </w:p>
        </w:tc>
        <w:tc>
          <w:tcPr>
            <w:tcW w:w="0" w:type="auto"/>
            <w:tcBorders>
              <w:left w:val="single" w:sz="4" w:space="0" w:color="auto"/>
            </w:tcBorders>
            <w:noWrap/>
            <w:hideMark/>
          </w:tcPr>
          <w:p w14:paraId="73F9D75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81%</w:t>
            </w:r>
          </w:p>
        </w:tc>
        <w:tc>
          <w:tcPr>
            <w:tcW w:w="0" w:type="auto"/>
          </w:tcPr>
          <w:p w14:paraId="52C6074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94%</w:t>
            </w:r>
          </w:p>
        </w:tc>
        <w:tc>
          <w:tcPr>
            <w:tcW w:w="0" w:type="auto"/>
          </w:tcPr>
          <w:p w14:paraId="121137B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96%</w:t>
            </w:r>
          </w:p>
        </w:tc>
        <w:tc>
          <w:tcPr>
            <w:tcW w:w="0" w:type="auto"/>
            <w:noWrap/>
            <w:hideMark/>
          </w:tcPr>
          <w:p w14:paraId="3993E91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99%</w:t>
            </w:r>
          </w:p>
        </w:tc>
      </w:tr>
      <w:tr w:rsidR="001F4DDE" w:rsidRPr="00544780" w14:paraId="7F9B061B"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B28174" w14:textId="77777777" w:rsidR="001F4DDE" w:rsidRPr="00544780" w:rsidRDefault="001F4DDE" w:rsidP="001F4DDE">
            <w:pPr>
              <w:rPr>
                <w:color w:val="000000"/>
                <w:sz w:val="18"/>
                <w:szCs w:val="18"/>
              </w:rPr>
            </w:pPr>
            <w:r w:rsidRPr="00544780">
              <w:rPr>
                <w:color w:val="000000"/>
                <w:sz w:val="18"/>
                <w:szCs w:val="18"/>
              </w:rPr>
              <w:t>Denmark</w:t>
            </w:r>
          </w:p>
        </w:tc>
        <w:tc>
          <w:tcPr>
            <w:tcW w:w="0" w:type="auto"/>
            <w:noWrap/>
            <w:hideMark/>
          </w:tcPr>
          <w:p w14:paraId="081D083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28%</w:t>
            </w:r>
          </w:p>
        </w:tc>
        <w:tc>
          <w:tcPr>
            <w:tcW w:w="0" w:type="auto"/>
          </w:tcPr>
          <w:p w14:paraId="5CD043D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Pr>
          <w:p w14:paraId="3CC6D17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35%</w:t>
            </w:r>
          </w:p>
        </w:tc>
        <w:tc>
          <w:tcPr>
            <w:tcW w:w="0" w:type="auto"/>
            <w:tcBorders>
              <w:right w:val="single" w:sz="4" w:space="0" w:color="auto"/>
            </w:tcBorders>
            <w:noWrap/>
            <w:hideMark/>
          </w:tcPr>
          <w:p w14:paraId="325DA31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43%</w:t>
            </w:r>
          </w:p>
        </w:tc>
        <w:tc>
          <w:tcPr>
            <w:tcW w:w="0" w:type="auto"/>
            <w:tcBorders>
              <w:left w:val="single" w:sz="4" w:space="0" w:color="auto"/>
            </w:tcBorders>
            <w:noWrap/>
            <w:hideMark/>
          </w:tcPr>
          <w:p w14:paraId="4D463DF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44%</w:t>
            </w:r>
          </w:p>
        </w:tc>
        <w:tc>
          <w:tcPr>
            <w:tcW w:w="0" w:type="auto"/>
          </w:tcPr>
          <w:p w14:paraId="1AC3DE5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Pr>
          <w:p w14:paraId="6735462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Borders>
              <w:right w:val="single" w:sz="4" w:space="0" w:color="auto"/>
            </w:tcBorders>
            <w:noWrap/>
            <w:hideMark/>
          </w:tcPr>
          <w:p w14:paraId="01D1603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78%</w:t>
            </w:r>
          </w:p>
        </w:tc>
        <w:tc>
          <w:tcPr>
            <w:tcW w:w="0" w:type="auto"/>
            <w:tcBorders>
              <w:left w:val="single" w:sz="4" w:space="0" w:color="auto"/>
            </w:tcBorders>
            <w:noWrap/>
            <w:hideMark/>
          </w:tcPr>
          <w:p w14:paraId="58652F9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73%</w:t>
            </w:r>
          </w:p>
        </w:tc>
        <w:tc>
          <w:tcPr>
            <w:tcW w:w="0" w:type="auto"/>
          </w:tcPr>
          <w:p w14:paraId="3CDEA4B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80%</w:t>
            </w:r>
          </w:p>
        </w:tc>
        <w:tc>
          <w:tcPr>
            <w:tcW w:w="0" w:type="auto"/>
          </w:tcPr>
          <w:p w14:paraId="4463006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84%</w:t>
            </w:r>
          </w:p>
        </w:tc>
        <w:tc>
          <w:tcPr>
            <w:tcW w:w="0" w:type="auto"/>
            <w:noWrap/>
            <w:hideMark/>
          </w:tcPr>
          <w:p w14:paraId="2513B1D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88%</w:t>
            </w:r>
          </w:p>
        </w:tc>
      </w:tr>
      <w:tr w:rsidR="001F4DDE" w:rsidRPr="00544780" w14:paraId="4ED18A94"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463B0F" w14:textId="77777777" w:rsidR="001F4DDE" w:rsidRPr="00544780" w:rsidRDefault="001F4DDE" w:rsidP="001F4DDE">
            <w:pPr>
              <w:rPr>
                <w:color w:val="000000"/>
                <w:sz w:val="18"/>
                <w:szCs w:val="18"/>
              </w:rPr>
            </w:pPr>
            <w:r w:rsidRPr="00544780">
              <w:rPr>
                <w:color w:val="000000"/>
                <w:sz w:val="18"/>
                <w:szCs w:val="18"/>
              </w:rPr>
              <w:t>Finland</w:t>
            </w:r>
          </w:p>
        </w:tc>
        <w:tc>
          <w:tcPr>
            <w:tcW w:w="0" w:type="auto"/>
            <w:noWrap/>
            <w:hideMark/>
          </w:tcPr>
          <w:p w14:paraId="1654950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24%</w:t>
            </w:r>
          </w:p>
        </w:tc>
        <w:tc>
          <w:tcPr>
            <w:tcW w:w="0" w:type="auto"/>
          </w:tcPr>
          <w:p w14:paraId="45E5FAA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39%</w:t>
            </w:r>
          </w:p>
        </w:tc>
        <w:tc>
          <w:tcPr>
            <w:tcW w:w="0" w:type="auto"/>
          </w:tcPr>
          <w:p w14:paraId="22CD624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42%</w:t>
            </w:r>
          </w:p>
        </w:tc>
        <w:tc>
          <w:tcPr>
            <w:tcW w:w="0" w:type="auto"/>
            <w:tcBorders>
              <w:right w:val="single" w:sz="4" w:space="0" w:color="auto"/>
            </w:tcBorders>
            <w:noWrap/>
            <w:hideMark/>
          </w:tcPr>
          <w:p w14:paraId="3C3F616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55%</w:t>
            </w:r>
          </w:p>
        </w:tc>
        <w:tc>
          <w:tcPr>
            <w:tcW w:w="0" w:type="auto"/>
            <w:tcBorders>
              <w:left w:val="single" w:sz="4" w:space="0" w:color="auto"/>
            </w:tcBorders>
            <w:noWrap/>
            <w:hideMark/>
          </w:tcPr>
          <w:p w14:paraId="6688AE0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51%</w:t>
            </w:r>
          </w:p>
        </w:tc>
        <w:tc>
          <w:tcPr>
            <w:tcW w:w="0" w:type="auto"/>
          </w:tcPr>
          <w:p w14:paraId="2489BEF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66%</w:t>
            </w:r>
          </w:p>
        </w:tc>
        <w:tc>
          <w:tcPr>
            <w:tcW w:w="0" w:type="auto"/>
          </w:tcPr>
          <w:p w14:paraId="537054A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Borders>
              <w:right w:val="single" w:sz="4" w:space="0" w:color="auto"/>
            </w:tcBorders>
            <w:noWrap/>
            <w:hideMark/>
          </w:tcPr>
          <w:p w14:paraId="176BC69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c>
          <w:tcPr>
            <w:tcW w:w="0" w:type="auto"/>
            <w:tcBorders>
              <w:left w:val="single" w:sz="4" w:space="0" w:color="auto"/>
            </w:tcBorders>
            <w:noWrap/>
            <w:hideMark/>
          </w:tcPr>
          <w:p w14:paraId="1CAD318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72%</w:t>
            </w:r>
          </w:p>
        </w:tc>
        <w:tc>
          <w:tcPr>
            <w:tcW w:w="0" w:type="auto"/>
          </w:tcPr>
          <w:p w14:paraId="3B517F6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Pr>
          <w:p w14:paraId="409256B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80%</w:t>
            </w:r>
          </w:p>
        </w:tc>
        <w:tc>
          <w:tcPr>
            <w:tcW w:w="0" w:type="auto"/>
            <w:noWrap/>
            <w:hideMark/>
          </w:tcPr>
          <w:p w14:paraId="49153CF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94%</w:t>
            </w:r>
          </w:p>
        </w:tc>
      </w:tr>
      <w:tr w:rsidR="001F4DDE" w:rsidRPr="00544780" w14:paraId="5A416495"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BE3358" w14:textId="77777777" w:rsidR="001F4DDE" w:rsidRPr="00544780" w:rsidRDefault="001F4DDE" w:rsidP="001F4DDE">
            <w:pPr>
              <w:rPr>
                <w:color w:val="000000"/>
                <w:sz w:val="18"/>
                <w:szCs w:val="18"/>
              </w:rPr>
            </w:pPr>
            <w:r w:rsidRPr="00544780">
              <w:rPr>
                <w:color w:val="000000"/>
                <w:sz w:val="18"/>
                <w:szCs w:val="18"/>
              </w:rPr>
              <w:t>France</w:t>
            </w:r>
          </w:p>
        </w:tc>
        <w:tc>
          <w:tcPr>
            <w:tcW w:w="0" w:type="auto"/>
            <w:noWrap/>
            <w:hideMark/>
          </w:tcPr>
          <w:p w14:paraId="36C4A02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37%</w:t>
            </w:r>
          </w:p>
        </w:tc>
        <w:tc>
          <w:tcPr>
            <w:tcW w:w="0" w:type="auto"/>
          </w:tcPr>
          <w:p w14:paraId="30416C5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43%</w:t>
            </w:r>
          </w:p>
        </w:tc>
        <w:tc>
          <w:tcPr>
            <w:tcW w:w="0" w:type="auto"/>
          </w:tcPr>
          <w:p w14:paraId="58E6DDF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46%</w:t>
            </w:r>
          </w:p>
        </w:tc>
        <w:tc>
          <w:tcPr>
            <w:tcW w:w="0" w:type="auto"/>
            <w:tcBorders>
              <w:right w:val="single" w:sz="4" w:space="0" w:color="auto"/>
            </w:tcBorders>
            <w:noWrap/>
            <w:hideMark/>
          </w:tcPr>
          <w:p w14:paraId="2BDF013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56%</w:t>
            </w:r>
          </w:p>
        </w:tc>
        <w:tc>
          <w:tcPr>
            <w:tcW w:w="0" w:type="auto"/>
            <w:tcBorders>
              <w:left w:val="single" w:sz="4" w:space="0" w:color="auto"/>
            </w:tcBorders>
            <w:noWrap/>
            <w:hideMark/>
          </w:tcPr>
          <w:p w14:paraId="253E475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68%</w:t>
            </w:r>
          </w:p>
        </w:tc>
        <w:tc>
          <w:tcPr>
            <w:tcW w:w="0" w:type="auto"/>
          </w:tcPr>
          <w:p w14:paraId="61439C7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80%</w:t>
            </w:r>
          </w:p>
        </w:tc>
        <w:tc>
          <w:tcPr>
            <w:tcW w:w="0" w:type="auto"/>
          </w:tcPr>
          <w:p w14:paraId="79D63C1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83%</w:t>
            </w:r>
          </w:p>
        </w:tc>
        <w:tc>
          <w:tcPr>
            <w:tcW w:w="0" w:type="auto"/>
            <w:tcBorders>
              <w:right w:val="single" w:sz="4" w:space="0" w:color="auto"/>
            </w:tcBorders>
            <w:noWrap/>
            <w:hideMark/>
          </w:tcPr>
          <w:p w14:paraId="2ACD68A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96%</w:t>
            </w:r>
          </w:p>
        </w:tc>
        <w:tc>
          <w:tcPr>
            <w:tcW w:w="0" w:type="auto"/>
            <w:tcBorders>
              <w:left w:val="single" w:sz="4" w:space="0" w:color="auto"/>
            </w:tcBorders>
            <w:noWrap/>
            <w:hideMark/>
          </w:tcPr>
          <w:p w14:paraId="2533833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77%</w:t>
            </w:r>
          </w:p>
        </w:tc>
        <w:tc>
          <w:tcPr>
            <w:tcW w:w="0" w:type="auto"/>
          </w:tcPr>
          <w:p w14:paraId="443E8F1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87%</w:t>
            </w:r>
          </w:p>
        </w:tc>
        <w:tc>
          <w:tcPr>
            <w:tcW w:w="0" w:type="auto"/>
          </w:tcPr>
          <w:p w14:paraId="2F03DCE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89%</w:t>
            </w:r>
          </w:p>
        </w:tc>
        <w:tc>
          <w:tcPr>
            <w:tcW w:w="0" w:type="auto"/>
            <w:noWrap/>
            <w:hideMark/>
          </w:tcPr>
          <w:p w14:paraId="423DDC8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98%</w:t>
            </w:r>
          </w:p>
        </w:tc>
      </w:tr>
      <w:tr w:rsidR="001F4DDE" w:rsidRPr="00544780" w14:paraId="5EC155ED"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BC7D8D" w14:textId="77777777" w:rsidR="001F4DDE" w:rsidRPr="00544780" w:rsidRDefault="001F4DDE" w:rsidP="001F4DDE">
            <w:pPr>
              <w:rPr>
                <w:color w:val="000000"/>
                <w:sz w:val="18"/>
                <w:szCs w:val="18"/>
              </w:rPr>
            </w:pPr>
            <w:r w:rsidRPr="00544780">
              <w:rPr>
                <w:color w:val="000000"/>
                <w:sz w:val="18"/>
                <w:szCs w:val="18"/>
              </w:rPr>
              <w:t>Germany</w:t>
            </w:r>
          </w:p>
        </w:tc>
        <w:tc>
          <w:tcPr>
            <w:tcW w:w="0" w:type="auto"/>
            <w:noWrap/>
            <w:hideMark/>
          </w:tcPr>
          <w:p w14:paraId="6F29406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37%</w:t>
            </w:r>
          </w:p>
        </w:tc>
        <w:tc>
          <w:tcPr>
            <w:tcW w:w="0" w:type="auto"/>
          </w:tcPr>
          <w:p w14:paraId="1C98490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45%</w:t>
            </w:r>
          </w:p>
        </w:tc>
        <w:tc>
          <w:tcPr>
            <w:tcW w:w="0" w:type="auto"/>
          </w:tcPr>
          <w:p w14:paraId="193709A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47%</w:t>
            </w:r>
          </w:p>
        </w:tc>
        <w:tc>
          <w:tcPr>
            <w:tcW w:w="0" w:type="auto"/>
            <w:tcBorders>
              <w:right w:val="single" w:sz="4" w:space="0" w:color="auto"/>
            </w:tcBorders>
            <w:noWrap/>
            <w:hideMark/>
          </w:tcPr>
          <w:p w14:paraId="6F794F2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55%</w:t>
            </w:r>
          </w:p>
        </w:tc>
        <w:tc>
          <w:tcPr>
            <w:tcW w:w="0" w:type="auto"/>
            <w:tcBorders>
              <w:left w:val="single" w:sz="4" w:space="0" w:color="auto"/>
            </w:tcBorders>
            <w:noWrap/>
            <w:hideMark/>
          </w:tcPr>
          <w:p w14:paraId="1BDDCFE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Pr>
          <w:p w14:paraId="277D90D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Pr>
          <w:p w14:paraId="172A12E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c>
          <w:tcPr>
            <w:tcW w:w="0" w:type="auto"/>
            <w:tcBorders>
              <w:right w:val="single" w:sz="4" w:space="0" w:color="auto"/>
            </w:tcBorders>
            <w:noWrap/>
            <w:hideMark/>
          </w:tcPr>
          <w:p w14:paraId="4423BB0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97%</w:t>
            </w:r>
          </w:p>
        </w:tc>
        <w:tc>
          <w:tcPr>
            <w:tcW w:w="0" w:type="auto"/>
            <w:tcBorders>
              <w:left w:val="single" w:sz="4" w:space="0" w:color="auto"/>
            </w:tcBorders>
            <w:noWrap/>
            <w:hideMark/>
          </w:tcPr>
          <w:p w14:paraId="29CABB3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78%</w:t>
            </w:r>
          </w:p>
        </w:tc>
        <w:tc>
          <w:tcPr>
            <w:tcW w:w="0" w:type="auto"/>
          </w:tcPr>
          <w:p w14:paraId="617DAF6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88%</w:t>
            </w:r>
          </w:p>
        </w:tc>
        <w:tc>
          <w:tcPr>
            <w:tcW w:w="0" w:type="auto"/>
          </w:tcPr>
          <w:p w14:paraId="2DBF14F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90%</w:t>
            </w:r>
          </w:p>
        </w:tc>
        <w:tc>
          <w:tcPr>
            <w:tcW w:w="0" w:type="auto"/>
            <w:noWrap/>
            <w:hideMark/>
          </w:tcPr>
          <w:p w14:paraId="16949FC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99%</w:t>
            </w:r>
          </w:p>
        </w:tc>
      </w:tr>
      <w:tr w:rsidR="001F4DDE" w:rsidRPr="00544780" w14:paraId="59A0F822"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0A4262" w14:textId="77777777" w:rsidR="001F4DDE" w:rsidRPr="00544780" w:rsidRDefault="001F4DDE" w:rsidP="001F4DDE">
            <w:pPr>
              <w:rPr>
                <w:color w:val="000000"/>
                <w:sz w:val="18"/>
                <w:szCs w:val="18"/>
              </w:rPr>
            </w:pPr>
            <w:r w:rsidRPr="00544780">
              <w:rPr>
                <w:color w:val="000000"/>
                <w:sz w:val="18"/>
                <w:szCs w:val="18"/>
              </w:rPr>
              <w:t>Hong Kong</w:t>
            </w:r>
          </w:p>
        </w:tc>
        <w:tc>
          <w:tcPr>
            <w:tcW w:w="0" w:type="auto"/>
            <w:noWrap/>
            <w:hideMark/>
          </w:tcPr>
          <w:p w14:paraId="36A188E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18%</w:t>
            </w:r>
          </w:p>
        </w:tc>
        <w:tc>
          <w:tcPr>
            <w:tcW w:w="0" w:type="auto"/>
          </w:tcPr>
          <w:p w14:paraId="6E0E2E4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19%</w:t>
            </w:r>
          </w:p>
        </w:tc>
        <w:tc>
          <w:tcPr>
            <w:tcW w:w="0" w:type="auto"/>
          </w:tcPr>
          <w:p w14:paraId="31125F9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Borders>
              <w:right w:val="single" w:sz="4" w:space="0" w:color="auto"/>
            </w:tcBorders>
            <w:noWrap/>
            <w:hideMark/>
          </w:tcPr>
          <w:p w14:paraId="28EAF3C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Borders>
              <w:left w:val="single" w:sz="4" w:space="0" w:color="auto"/>
            </w:tcBorders>
            <w:noWrap/>
            <w:hideMark/>
          </w:tcPr>
          <w:p w14:paraId="58963EA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42%</w:t>
            </w:r>
          </w:p>
        </w:tc>
        <w:tc>
          <w:tcPr>
            <w:tcW w:w="0" w:type="auto"/>
          </w:tcPr>
          <w:p w14:paraId="16ED889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319D19F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Borders>
              <w:right w:val="single" w:sz="4" w:space="0" w:color="auto"/>
            </w:tcBorders>
            <w:noWrap/>
            <w:hideMark/>
          </w:tcPr>
          <w:p w14:paraId="72F9D2C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Borders>
              <w:left w:val="single" w:sz="4" w:space="0" w:color="auto"/>
            </w:tcBorders>
            <w:noWrap/>
            <w:hideMark/>
          </w:tcPr>
          <w:p w14:paraId="7518D38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Pr>
          <w:p w14:paraId="54786A0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Pr>
          <w:p w14:paraId="2A87F24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noWrap/>
            <w:hideMark/>
          </w:tcPr>
          <w:p w14:paraId="3C67151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r>
      <w:tr w:rsidR="001F4DDE" w:rsidRPr="00544780" w14:paraId="0FD03672"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5C15F5" w14:textId="77777777" w:rsidR="001F4DDE" w:rsidRPr="00544780" w:rsidRDefault="001F4DDE" w:rsidP="001F4DDE">
            <w:pPr>
              <w:rPr>
                <w:color w:val="000000"/>
                <w:sz w:val="18"/>
                <w:szCs w:val="18"/>
              </w:rPr>
            </w:pPr>
            <w:r w:rsidRPr="00544780">
              <w:rPr>
                <w:color w:val="000000"/>
                <w:sz w:val="18"/>
                <w:szCs w:val="18"/>
              </w:rPr>
              <w:t>Ireland</w:t>
            </w:r>
          </w:p>
        </w:tc>
        <w:tc>
          <w:tcPr>
            <w:tcW w:w="0" w:type="auto"/>
            <w:noWrap/>
            <w:hideMark/>
          </w:tcPr>
          <w:p w14:paraId="5AC3172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Pr>
          <w:p w14:paraId="095CAB2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27%</w:t>
            </w:r>
          </w:p>
        </w:tc>
        <w:tc>
          <w:tcPr>
            <w:tcW w:w="0" w:type="auto"/>
          </w:tcPr>
          <w:p w14:paraId="431FE66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Borders>
              <w:right w:val="single" w:sz="4" w:space="0" w:color="auto"/>
            </w:tcBorders>
            <w:noWrap/>
            <w:hideMark/>
          </w:tcPr>
          <w:p w14:paraId="39D66CA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50%</w:t>
            </w:r>
          </w:p>
        </w:tc>
        <w:tc>
          <w:tcPr>
            <w:tcW w:w="0" w:type="auto"/>
            <w:tcBorders>
              <w:left w:val="single" w:sz="4" w:space="0" w:color="auto"/>
            </w:tcBorders>
            <w:noWrap/>
            <w:hideMark/>
          </w:tcPr>
          <w:p w14:paraId="721268A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53%</w:t>
            </w:r>
          </w:p>
        </w:tc>
        <w:tc>
          <w:tcPr>
            <w:tcW w:w="0" w:type="auto"/>
          </w:tcPr>
          <w:p w14:paraId="4746AF4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Pr>
          <w:p w14:paraId="7DBF2F8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61%</w:t>
            </w:r>
          </w:p>
        </w:tc>
        <w:tc>
          <w:tcPr>
            <w:tcW w:w="0" w:type="auto"/>
            <w:tcBorders>
              <w:right w:val="single" w:sz="4" w:space="0" w:color="auto"/>
            </w:tcBorders>
            <w:noWrap/>
            <w:hideMark/>
          </w:tcPr>
          <w:p w14:paraId="2A8E333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93%</w:t>
            </w:r>
          </w:p>
        </w:tc>
        <w:tc>
          <w:tcPr>
            <w:tcW w:w="0" w:type="auto"/>
            <w:tcBorders>
              <w:left w:val="single" w:sz="4" w:space="0" w:color="auto"/>
            </w:tcBorders>
            <w:noWrap/>
            <w:hideMark/>
          </w:tcPr>
          <w:p w14:paraId="2C50A12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65%</w:t>
            </w:r>
          </w:p>
        </w:tc>
        <w:tc>
          <w:tcPr>
            <w:tcW w:w="0" w:type="auto"/>
          </w:tcPr>
          <w:p w14:paraId="2C43F20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tcPr>
          <w:p w14:paraId="45A980C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noWrap/>
            <w:hideMark/>
          </w:tcPr>
          <w:p w14:paraId="12BDA0D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92%</w:t>
            </w:r>
          </w:p>
        </w:tc>
      </w:tr>
      <w:tr w:rsidR="001F4DDE" w:rsidRPr="00544780" w14:paraId="02D00E46"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C55AD4" w14:textId="77777777" w:rsidR="001F4DDE" w:rsidRPr="00544780" w:rsidRDefault="001F4DDE" w:rsidP="001F4DDE">
            <w:pPr>
              <w:rPr>
                <w:color w:val="000000"/>
                <w:sz w:val="18"/>
                <w:szCs w:val="18"/>
              </w:rPr>
            </w:pPr>
            <w:r w:rsidRPr="00544780">
              <w:rPr>
                <w:color w:val="000000"/>
                <w:sz w:val="18"/>
                <w:szCs w:val="18"/>
              </w:rPr>
              <w:t>Israel</w:t>
            </w:r>
          </w:p>
        </w:tc>
        <w:tc>
          <w:tcPr>
            <w:tcW w:w="0" w:type="auto"/>
            <w:noWrap/>
            <w:hideMark/>
          </w:tcPr>
          <w:p w14:paraId="4B3A3F5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23%</w:t>
            </w:r>
          </w:p>
        </w:tc>
        <w:tc>
          <w:tcPr>
            <w:tcW w:w="0" w:type="auto"/>
          </w:tcPr>
          <w:p w14:paraId="149C117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46%</w:t>
            </w:r>
          </w:p>
        </w:tc>
        <w:tc>
          <w:tcPr>
            <w:tcW w:w="0" w:type="auto"/>
          </w:tcPr>
          <w:p w14:paraId="4257ED6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46%</w:t>
            </w:r>
          </w:p>
        </w:tc>
        <w:tc>
          <w:tcPr>
            <w:tcW w:w="0" w:type="auto"/>
            <w:tcBorders>
              <w:right w:val="single" w:sz="4" w:space="0" w:color="auto"/>
            </w:tcBorders>
            <w:noWrap/>
            <w:hideMark/>
          </w:tcPr>
          <w:p w14:paraId="423B986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51%</w:t>
            </w:r>
          </w:p>
        </w:tc>
        <w:tc>
          <w:tcPr>
            <w:tcW w:w="0" w:type="auto"/>
            <w:tcBorders>
              <w:left w:val="single" w:sz="4" w:space="0" w:color="auto"/>
            </w:tcBorders>
            <w:noWrap/>
            <w:hideMark/>
          </w:tcPr>
          <w:p w14:paraId="0353922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45%</w:t>
            </w:r>
          </w:p>
        </w:tc>
        <w:tc>
          <w:tcPr>
            <w:tcW w:w="0" w:type="auto"/>
          </w:tcPr>
          <w:p w14:paraId="381A7BA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56%</w:t>
            </w:r>
          </w:p>
        </w:tc>
        <w:tc>
          <w:tcPr>
            <w:tcW w:w="0" w:type="auto"/>
          </w:tcPr>
          <w:p w14:paraId="6B06397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56%</w:t>
            </w:r>
          </w:p>
        </w:tc>
        <w:tc>
          <w:tcPr>
            <w:tcW w:w="0" w:type="auto"/>
            <w:tcBorders>
              <w:right w:val="single" w:sz="4" w:space="0" w:color="auto"/>
            </w:tcBorders>
            <w:noWrap/>
            <w:hideMark/>
          </w:tcPr>
          <w:p w14:paraId="68D86B5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78%</w:t>
            </w:r>
          </w:p>
        </w:tc>
        <w:tc>
          <w:tcPr>
            <w:tcW w:w="0" w:type="auto"/>
            <w:tcBorders>
              <w:left w:val="single" w:sz="4" w:space="0" w:color="auto"/>
            </w:tcBorders>
            <w:noWrap/>
            <w:hideMark/>
          </w:tcPr>
          <w:p w14:paraId="519BD1D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38%</w:t>
            </w:r>
          </w:p>
        </w:tc>
        <w:tc>
          <w:tcPr>
            <w:tcW w:w="0" w:type="auto"/>
          </w:tcPr>
          <w:p w14:paraId="61CDCCA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46%</w:t>
            </w:r>
          </w:p>
        </w:tc>
        <w:tc>
          <w:tcPr>
            <w:tcW w:w="0" w:type="auto"/>
          </w:tcPr>
          <w:p w14:paraId="2F31925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49%</w:t>
            </w:r>
          </w:p>
        </w:tc>
        <w:tc>
          <w:tcPr>
            <w:tcW w:w="0" w:type="auto"/>
            <w:noWrap/>
            <w:hideMark/>
          </w:tcPr>
          <w:p w14:paraId="1BC8D64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63%</w:t>
            </w:r>
          </w:p>
        </w:tc>
      </w:tr>
      <w:tr w:rsidR="001F4DDE" w:rsidRPr="00544780" w14:paraId="3284E4C3"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C04FAD" w14:textId="77777777" w:rsidR="001F4DDE" w:rsidRPr="00544780" w:rsidRDefault="001F4DDE" w:rsidP="001F4DDE">
            <w:pPr>
              <w:rPr>
                <w:color w:val="000000"/>
                <w:sz w:val="18"/>
                <w:szCs w:val="18"/>
              </w:rPr>
            </w:pPr>
            <w:r w:rsidRPr="00544780">
              <w:rPr>
                <w:color w:val="000000"/>
                <w:sz w:val="18"/>
                <w:szCs w:val="18"/>
              </w:rPr>
              <w:t>Italy</w:t>
            </w:r>
          </w:p>
        </w:tc>
        <w:tc>
          <w:tcPr>
            <w:tcW w:w="0" w:type="auto"/>
            <w:noWrap/>
            <w:hideMark/>
          </w:tcPr>
          <w:p w14:paraId="26BD54D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30%</w:t>
            </w:r>
          </w:p>
        </w:tc>
        <w:tc>
          <w:tcPr>
            <w:tcW w:w="0" w:type="auto"/>
          </w:tcPr>
          <w:p w14:paraId="486BFD3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35%</w:t>
            </w:r>
          </w:p>
        </w:tc>
        <w:tc>
          <w:tcPr>
            <w:tcW w:w="0" w:type="auto"/>
          </w:tcPr>
          <w:p w14:paraId="71DED02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40%</w:t>
            </w:r>
          </w:p>
        </w:tc>
        <w:tc>
          <w:tcPr>
            <w:tcW w:w="0" w:type="auto"/>
            <w:tcBorders>
              <w:right w:val="single" w:sz="4" w:space="0" w:color="auto"/>
            </w:tcBorders>
            <w:noWrap/>
            <w:hideMark/>
          </w:tcPr>
          <w:p w14:paraId="0BE4041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44%</w:t>
            </w:r>
          </w:p>
        </w:tc>
        <w:tc>
          <w:tcPr>
            <w:tcW w:w="0" w:type="auto"/>
            <w:tcBorders>
              <w:left w:val="single" w:sz="4" w:space="0" w:color="auto"/>
            </w:tcBorders>
            <w:noWrap/>
            <w:hideMark/>
          </w:tcPr>
          <w:p w14:paraId="457EC34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62%</w:t>
            </w:r>
          </w:p>
        </w:tc>
        <w:tc>
          <w:tcPr>
            <w:tcW w:w="0" w:type="auto"/>
          </w:tcPr>
          <w:p w14:paraId="2B1710A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72%</w:t>
            </w:r>
          </w:p>
        </w:tc>
        <w:tc>
          <w:tcPr>
            <w:tcW w:w="0" w:type="auto"/>
          </w:tcPr>
          <w:p w14:paraId="2EE5B80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74%</w:t>
            </w:r>
          </w:p>
        </w:tc>
        <w:tc>
          <w:tcPr>
            <w:tcW w:w="0" w:type="auto"/>
            <w:tcBorders>
              <w:right w:val="single" w:sz="4" w:space="0" w:color="auto"/>
            </w:tcBorders>
            <w:noWrap/>
            <w:hideMark/>
          </w:tcPr>
          <w:p w14:paraId="3DD269B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96%</w:t>
            </w:r>
          </w:p>
        </w:tc>
        <w:tc>
          <w:tcPr>
            <w:tcW w:w="0" w:type="auto"/>
            <w:tcBorders>
              <w:left w:val="single" w:sz="4" w:space="0" w:color="auto"/>
            </w:tcBorders>
            <w:noWrap/>
            <w:hideMark/>
          </w:tcPr>
          <w:p w14:paraId="4C2F7F8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73%</w:t>
            </w:r>
          </w:p>
        </w:tc>
        <w:tc>
          <w:tcPr>
            <w:tcW w:w="0" w:type="auto"/>
          </w:tcPr>
          <w:p w14:paraId="553B5DC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83%</w:t>
            </w:r>
          </w:p>
        </w:tc>
        <w:tc>
          <w:tcPr>
            <w:tcW w:w="0" w:type="auto"/>
          </w:tcPr>
          <w:p w14:paraId="6189033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84%</w:t>
            </w:r>
          </w:p>
        </w:tc>
        <w:tc>
          <w:tcPr>
            <w:tcW w:w="0" w:type="auto"/>
            <w:noWrap/>
            <w:hideMark/>
          </w:tcPr>
          <w:p w14:paraId="604E2F9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98%</w:t>
            </w:r>
          </w:p>
        </w:tc>
      </w:tr>
      <w:tr w:rsidR="001F4DDE" w:rsidRPr="00544780" w14:paraId="4DD899A4"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48E110" w14:textId="77777777" w:rsidR="001F4DDE" w:rsidRPr="00544780" w:rsidRDefault="001F4DDE" w:rsidP="001F4DDE">
            <w:pPr>
              <w:rPr>
                <w:color w:val="000000"/>
                <w:sz w:val="18"/>
                <w:szCs w:val="18"/>
              </w:rPr>
            </w:pPr>
            <w:r w:rsidRPr="00544780">
              <w:rPr>
                <w:color w:val="000000"/>
                <w:sz w:val="18"/>
                <w:szCs w:val="18"/>
              </w:rPr>
              <w:t>Japan</w:t>
            </w:r>
          </w:p>
        </w:tc>
        <w:tc>
          <w:tcPr>
            <w:tcW w:w="0" w:type="auto"/>
            <w:noWrap/>
            <w:hideMark/>
          </w:tcPr>
          <w:p w14:paraId="19EEDC9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w:t>
            </w:r>
          </w:p>
        </w:tc>
        <w:tc>
          <w:tcPr>
            <w:tcW w:w="0" w:type="auto"/>
          </w:tcPr>
          <w:p w14:paraId="7B911BB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19%</w:t>
            </w:r>
          </w:p>
        </w:tc>
        <w:tc>
          <w:tcPr>
            <w:tcW w:w="0" w:type="auto"/>
          </w:tcPr>
          <w:p w14:paraId="08E02DC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19%</w:t>
            </w:r>
          </w:p>
        </w:tc>
        <w:tc>
          <w:tcPr>
            <w:tcW w:w="0" w:type="auto"/>
            <w:tcBorders>
              <w:right w:val="single" w:sz="4" w:space="0" w:color="auto"/>
            </w:tcBorders>
            <w:noWrap/>
            <w:hideMark/>
          </w:tcPr>
          <w:p w14:paraId="1B498C2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Borders>
              <w:left w:val="single" w:sz="4" w:space="0" w:color="auto"/>
            </w:tcBorders>
            <w:noWrap/>
            <w:hideMark/>
          </w:tcPr>
          <w:p w14:paraId="6F9291F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38%</w:t>
            </w:r>
          </w:p>
        </w:tc>
        <w:tc>
          <w:tcPr>
            <w:tcW w:w="0" w:type="auto"/>
          </w:tcPr>
          <w:p w14:paraId="64F70D8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49%</w:t>
            </w:r>
          </w:p>
        </w:tc>
        <w:tc>
          <w:tcPr>
            <w:tcW w:w="0" w:type="auto"/>
          </w:tcPr>
          <w:p w14:paraId="74CF72B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51%</w:t>
            </w:r>
          </w:p>
        </w:tc>
        <w:tc>
          <w:tcPr>
            <w:tcW w:w="0" w:type="auto"/>
            <w:tcBorders>
              <w:right w:val="single" w:sz="4" w:space="0" w:color="auto"/>
            </w:tcBorders>
            <w:noWrap/>
            <w:hideMark/>
          </w:tcPr>
          <w:p w14:paraId="55710C4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93%</w:t>
            </w:r>
          </w:p>
        </w:tc>
        <w:tc>
          <w:tcPr>
            <w:tcW w:w="0" w:type="auto"/>
            <w:tcBorders>
              <w:left w:val="single" w:sz="4" w:space="0" w:color="auto"/>
            </w:tcBorders>
            <w:noWrap/>
            <w:hideMark/>
          </w:tcPr>
          <w:p w14:paraId="6CF00CE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502CCED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61%</w:t>
            </w:r>
          </w:p>
        </w:tc>
        <w:tc>
          <w:tcPr>
            <w:tcW w:w="0" w:type="auto"/>
          </w:tcPr>
          <w:p w14:paraId="6207F9E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69%</w:t>
            </w:r>
          </w:p>
        </w:tc>
        <w:tc>
          <w:tcPr>
            <w:tcW w:w="0" w:type="auto"/>
            <w:noWrap/>
            <w:hideMark/>
          </w:tcPr>
          <w:p w14:paraId="670BE18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88%</w:t>
            </w:r>
          </w:p>
        </w:tc>
      </w:tr>
      <w:tr w:rsidR="001F4DDE" w:rsidRPr="00544780" w14:paraId="195DA377"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8B03FF" w14:textId="77777777" w:rsidR="001F4DDE" w:rsidRPr="00544780" w:rsidRDefault="001F4DDE" w:rsidP="001F4DDE">
            <w:pPr>
              <w:rPr>
                <w:color w:val="000000"/>
                <w:sz w:val="18"/>
                <w:szCs w:val="18"/>
              </w:rPr>
            </w:pPr>
            <w:r w:rsidRPr="00544780">
              <w:rPr>
                <w:color w:val="000000"/>
                <w:sz w:val="18"/>
                <w:szCs w:val="18"/>
              </w:rPr>
              <w:t>Netherlands</w:t>
            </w:r>
          </w:p>
        </w:tc>
        <w:tc>
          <w:tcPr>
            <w:tcW w:w="0" w:type="auto"/>
            <w:noWrap/>
            <w:hideMark/>
          </w:tcPr>
          <w:p w14:paraId="3524F1D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36%</w:t>
            </w:r>
          </w:p>
        </w:tc>
        <w:tc>
          <w:tcPr>
            <w:tcW w:w="0" w:type="auto"/>
          </w:tcPr>
          <w:p w14:paraId="655E219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39%</w:t>
            </w:r>
          </w:p>
        </w:tc>
        <w:tc>
          <w:tcPr>
            <w:tcW w:w="0" w:type="auto"/>
          </w:tcPr>
          <w:p w14:paraId="673B73F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46%</w:t>
            </w:r>
          </w:p>
        </w:tc>
        <w:tc>
          <w:tcPr>
            <w:tcW w:w="0" w:type="auto"/>
            <w:tcBorders>
              <w:right w:val="single" w:sz="4" w:space="0" w:color="auto"/>
            </w:tcBorders>
            <w:noWrap/>
            <w:hideMark/>
          </w:tcPr>
          <w:p w14:paraId="6EDBFFC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Borders>
              <w:left w:val="single" w:sz="4" w:space="0" w:color="auto"/>
            </w:tcBorders>
            <w:noWrap/>
            <w:hideMark/>
          </w:tcPr>
          <w:p w14:paraId="08F1431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64%</w:t>
            </w:r>
          </w:p>
        </w:tc>
        <w:tc>
          <w:tcPr>
            <w:tcW w:w="0" w:type="auto"/>
          </w:tcPr>
          <w:p w14:paraId="2AA7F80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77%</w:t>
            </w:r>
          </w:p>
        </w:tc>
        <w:tc>
          <w:tcPr>
            <w:tcW w:w="0" w:type="auto"/>
          </w:tcPr>
          <w:p w14:paraId="08E2747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80%</w:t>
            </w:r>
          </w:p>
        </w:tc>
        <w:tc>
          <w:tcPr>
            <w:tcW w:w="0" w:type="auto"/>
            <w:tcBorders>
              <w:right w:val="single" w:sz="4" w:space="0" w:color="auto"/>
            </w:tcBorders>
            <w:noWrap/>
            <w:hideMark/>
          </w:tcPr>
          <w:p w14:paraId="7299D55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c>
          <w:tcPr>
            <w:tcW w:w="0" w:type="auto"/>
            <w:tcBorders>
              <w:left w:val="single" w:sz="4" w:space="0" w:color="auto"/>
            </w:tcBorders>
            <w:noWrap/>
            <w:hideMark/>
          </w:tcPr>
          <w:p w14:paraId="129B211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76%</w:t>
            </w:r>
          </w:p>
        </w:tc>
        <w:tc>
          <w:tcPr>
            <w:tcW w:w="0" w:type="auto"/>
          </w:tcPr>
          <w:p w14:paraId="6451FE3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c>
          <w:tcPr>
            <w:tcW w:w="0" w:type="auto"/>
          </w:tcPr>
          <w:p w14:paraId="38929C6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88%</w:t>
            </w:r>
          </w:p>
        </w:tc>
        <w:tc>
          <w:tcPr>
            <w:tcW w:w="0" w:type="auto"/>
            <w:noWrap/>
            <w:hideMark/>
          </w:tcPr>
          <w:p w14:paraId="6B8646F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98%</w:t>
            </w:r>
          </w:p>
        </w:tc>
      </w:tr>
      <w:tr w:rsidR="001F4DDE" w:rsidRPr="00544780" w14:paraId="6EFD57F0"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54BA03" w14:textId="77777777" w:rsidR="001F4DDE" w:rsidRPr="00544780" w:rsidRDefault="001F4DDE" w:rsidP="001F4DDE">
            <w:pPr>
              <w:rPr>
                <w:color w:val="000000"/>
                <w:sz w:val="18"/>
                <w:szCs w:val="18"/>
              </w:rPr>
            </w:pPr>
            <w:r w:rsidRPr="00544780">
              <w:rPr>
                <w:color w:val="000000"/>
                <w:sz w:val="18"/>
                <w:szCs w:val="18"/>
              </w:rPr>
              <w:t>New Zealand</w:t>
            </w:r>
          </w:p>
        </w:tc>
        <w:tc>
          <w:tcPr>
            <w:tcW w:w="0" w:type="auto"/>
            <w:noWrap/>
            <w:hideMark/>
          </w:tcPr>
          <w:p w14:paraId="2570DE4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10%</w:t>
            </w:r>
          </w:p>
        </w:tc>
        <w:tc>
          <w:tcPr>
            <w:tcW w:w="0" w:type="auto"/>
          </w:tcPr>
          <w:p w14:paraId="760B434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Pr>
          <w:p w14:paraId="292192B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Borders>
              <w:right w:val="single" w:sz="4" w:space="0" w:color="auto"/>
            </w:tcBorders>
            <w:noWrap/>
            <w:hideMark/>
          </w:tcPr>
          <w:p w14:paraId="0806B46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43%</w:t>
            </w:r>
          </w:p>
        </w:tc>
        <w:tc>
          <w:tcPr>
            <w:tcW w:w="0" w:type="auto"/>
            <w:tcBorders>
              <w:left w:val="single" w:sz="4" w:space="0" w:color="auto"/>
            </w:tcBorders>
            <w:noWrap/>
            <w:hideMark/>
          </w:tcPr>
          <w:p w14:paraId="04447EA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29%</w:t>
            </w:r>
          </w:p>
        </w:tc>
        <w:tc>
          <w:tcPr>
            <w:tcW w:w="0" w:type="auto"/>
          </w:tcPr>
          <w:p w14:paraId="52BCC52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37%</w:t>
            </w:r>
          </w:p>
        </w:tc>
        <w:tc>
          <w:tcPr>
            <w:tcW w:w="0" w:type="auto"/>
          </w:tcPr>
          <w:p w14:paraId="2EE56C1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42%</w:t>
            </w:r>
          </w:p>
        </w:tc>
        <w:tc>
          <w:tcPr>
            <w:tcW w:w="0" w:type="auto"/>
            <w:tcBorders>
              <w:right w:val="single" w:sz="4" w:space="0" w:color="auto"/>
            </w:tcBorders>
            <w:noWrap/>
            <w:hideMark/>
          </w:tcPr>
          <w:p w14:paraId="3270D49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82%</w:t>
            </w:r>
          </w:p>
        </w:tc>
        <w:tc>
          <w:tcPr>
            <w:tcW w:w="0" w:type="auto"/>
            <w:tcBorders>
              <w:left w:val="single" w:sz="4" w:space="0" w:color="auto"/>
            </w:tcBorders>
            <w:noWrap/>
            <w:hideMark/>
          </w:tcPr>
          <w:p w14:paraId="2D99B3E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73%</w:t>
            </w:r>
          </w:p>
        </w:tc>
        <w:tc>
          <w:tcPr>
            <w:tcW w:w="0" w:type="auto"/>
          </w:tcPr>
          <w:p w14:paraId="7C984E9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Pr>
          <w:p w14:paraId="7A0C836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80%</w:t>
            </w:r>
          </w:p>
        </w:tc>
        <w:tc>
          <w:tcPr>
            <w:tcW w:w="0" w:type="auto"/>
            <w:noWrap/>
            <w:hideMark/>
          </w:tcPr>
          <w:p w14:paraId="4D19B9E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88%</w:t>
            </w:r>
          </w:p>
        </w:tc>
      </w:tr>
      <w:tr w:rsidR="001F4DDE" w:rsidRPr="00544780" w14:paraId="57D75B19"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23728D" w14:textId="77777777" w:rsidR="001F4DDE" w:rsidRPr="00544780" w:rsidRDefault="001F4DDE" w:rsidP="001F4DDE">
            <w:pPr>
              <w:rPr>
                <w:color w:val="000000"/>
                <w:sz w:val="18"/>
                <w:szCs w:val="18"/>
              </w:rPr>
            </w:pPr>
            <w:r w:rsidRPr="00544780">
              <w:rPr>
                <w:color w:val="000000"/>
                <w:sz w:val="18"/>
                <w:szCs w:val="18"/>
              </w:rPr>
              <w:t>Portugal</w:t>
            </w:r>
          </w:p>
        </w:tc>
        <w:tc>
          <w:tcPr>
            <w:tcW w:w="0" w:type="auto"/>
            <w:noWrap/>
            <w:hideMark/>
          </w:tcPr>
          <w:p w14:paraId="52EE2F1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15%</w:t>
            </w:r>
          </w:p>
        </w:tc>
        <w:tc>
          <w:tcPr>
            <w:tcW w:w="0" w:type="auto"/>
          </w:tcPr>
          <w:p w14:paraId="1692459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24%</w:t>
            </w:r>
          </w:p>
        </w:tc>
        <w:tc>
          <w:tcPr>
            <w:tcW w:w="0" w:type="auto"/>
          </w:tcPr>
          <w:p w14:paraId="0484E52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30%</w:t>
            </w:r>
          </w:p>
        </w:tc>
        <w:tc>
          <w:tcPr>
            <w:tcW w:w="0" w:type="auto"/>
            <w:tcBorders>
              <w:right w:val="single" w:sz="4" w:space="0" w:color="auto"/>
            </w:tcBorders>
            <w:noWrap/>
            <w:hideMark/>
          </w:tcPr>
          <w:p w14:paraId="795822E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36%</w:t>
            </w:r>
          </w:p>
        </w:tc>
        <w:tc>
          <w:tcPr>
            <w:tcW w:w="0" w:type="auto"/>
            <w:tcBorders>
              <w:left w:val="single" w:sz="4" w:space="0" w:color="auto"/>
            </w:tcBorders>
            <w:noWrap/>
            <w:hideMark/>
          </w:tcPr>
          <w:p w14:paraId="4540871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35%</w:t>
            </w:r>
          </w:p>
        </w:tc>
        <w:tc>
          <w:tcPr>
            <w:tcW w:w="0" w:type="auto"/>
          </w:tcPr>
          <w:p w14:paraId="578B184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45%</w:t>
            </w:r>
          </w:p>
        </w:tc>
        <w:tc>
          <w:tcPr>
            <w:tcW w:w="0" w:type="auto"/>
          </w:tcPr>
          <w:p w14:paraId="0E2E577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56%</w:t>
            </w:r>
          </w:p>
        </w:tc>
        <w:tc>
          <w:tcPr>
            <w:tcW w:w="0" w:type="auto"/>
            <w:tcBorders>
              <w:right w:val="single" w:sz="4" w:space="0" w:color="auto"/>
            </w:tcBorders>
            <w:noWrap/>
            <w:hideMark/>
          </w:tcPr>
          <w:p w14:paraId="22DE78F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76%</w:t>
            </w:r>
          </w:p>
        </w:tc>
        <w:tc>
          <w:tcPr>
            <w:tcW w:w="0" w:type="auto"/>
            <w:tcBorders>
              <w:left w:val="single" w:sz="4" w:space="0" w:color="auto"/>
            </w:tcBorders>
            <w:noWrap/>
            <w:hideMark/>
          </w:tcPr>
          <w:p w14:paraId="4BD3D54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63%</w:t>
            </w:r>
          </w:p>
        </w:tc>
        <w:tc>
          <w:tcPr>
            <w:tcW w:w="0" w:type="auto"/>
          </w:tcPr>
          <w:p w14:paraId="18A8EE9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72%</w:t>
            </w:r>
          </w:p>
        </w:tc>
        <w:tc>
          <w:tcPr>
            <w:tcW w:w="0" w:type="auto"/>
          </w:tcPr>
          <w:p w14:paraId="23D4DCE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77%</w:t>
            </w:r>
          </w:p>
        </w:tc>
        <w:tc>
          <w:tcPr>
            <w:tcW w:w="0" w:type="auto"/>
            <w:noWrap/>
            <w:hideMark/>
          </w:tcPr>
          <w:p w14:paraId="382AAA6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84%</w:t>
            </w:r>
          </w:p>
        </w:tc>
      </w:tr>
      <w:tr w:rsidR="001F4DDE" w:rsidRPr="00544780" w14:paraId="23DEE03E"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CEC4B1" w14:textId="77777777" w:rsidR="001F4DDE" w:rsidRPr="00544780" w:rsidRDefault="001F4DDE" w:rsidP="001F4DDE">
            <w:pPr>
              <w:rPr>
                <w:color w:val="000000"/>
                <w:sz w:val="18"/>
                <w:szCs w:val="18"/>
              </w:rPr>
            </w:pPr>
            <w:r w:rsidRPr="00544780">
              <w:rPr>
                <w:color w:val="000000"/>
                <w:sz w:val="18"/>
                <w:szCs w:val="18"/>
              </w:rPr>
              <w:t>Singapore</w:t>
            </w:r>
          </w:p>
        </w:tc>
        <w:tc>
          <w:tcPr>
            <w:tcW w:w="0" w:type="auto"/>
            <w:noWrap/>
            <w:hideMark/>
          </w:tcPr>
          <w:p w14:paraId="465CA8B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14%</w:t>
            </w:r>
          </w:p>
        </w:tc>
        <w:tc>
          <w:tcPr>
            <w:tcW w:w="0" w:type="auto"/>
          </w:tcPr>
          <w:p w14:paraId="6BC2775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20%</w:t>
            </w:r>
          </w:p>
        </w:tc>
        <w:tc>
          <w:tcPr>
            <w:tcW w:w="0" w:type="auto"/>
          </w:tcPr>
          <w:p w14:paraId="1E68F0D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Borders>
              <w:right w:val="single" w:sz="4" w:space="0" w:color="auto"/>
            </w:tcBorders>
            <w:noWrap/>
            <w:hideMark/>
          </w:tcPr>
          <w:p w14:paraId="3AEB3BF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33%</w:t>
            </w:r>
          </w:p>
        </w:tc>
        <w:tc>
          <w:tcPr>
            <w:tcW w:w="0" w:type="auto"/>
            <w:tcBorders>
              <w:left w:val="single" w:sz="4" w:space="0" w:color="auto"/>
            </w:tcBorders>
            <w:noWrap/>
            <w:hideMark/>
          </w:tcPr>
          <w:p w14:paraId="6D6976B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45%</w:t>
            </w:r>
          </w:p>
        </w:tc>
        <w:tc>
          <w:tcPr>
            <w:tcW w:w="0" w:type="auto"/>
          </w:tcPr>
          <w:p w14:paraId="01FBEC2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56%</w:t>
            </w:r>
          </w:p>
        </w:tc>
        <w:tc>
          <w:tcPr>
            <w:tcW w:w="0" w:type="auto"/>
          </w:tcPr>
          <w:p w14:paraId="389E508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61%</w:t>
            </w:r>
          </w:p>
        </w:tc>
        <w:tc>
          <w:tcPr>
            <w:tcW w:w="0" w:type="auto"/>
            <w:tcBorders>
              <w:right w:val="single" w:sz="4" w:space="0" w:color="auto"/>
            </w:tcBorders>
            <w:noWrap/>
            <w:hideMark/>
          </w:tcPr>
          <w:p w14:paraId="2C84412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89%</w:t>
            </w:r>
          </w:p>
        </w:tc>
        <w:tc>
          <w:tcPr>
            <w:tcW w:w="0" w:type="auto"/>
            <w:tcBorders>
              <w:left w:val="single" w:sz="4" w:space="0" w:color="auto"/>
            </w:tcBorders>
            <w:noWrap/>
            <w:hideMark/>
          </w:tcPr>
          <w:p w14:paraId="68C38A0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64%</w:t>
            </w:r>
          </w:p>
        </w:tc>
        <w:tc>
          <w:tcPr>
            <w:tcW w:w="0" w:type="auto"/>
          </w:tcPr>
          <w:p w14:paraId="3092C56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tcPr>
          <w:p w14:paraId="09AB9CE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c>
          <w:tcPr>
            <w:tcW w:w="0" w:type="auto"/>
            <w:noWrap/>
            <w:hideMark/>
          </w:tcPr>
          <w:p w14:paraId="17AEB19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r>
      <w:tr w:rsidR="001F4DDE" w:rsidRPr="00544780" w14:paraId="13BC618A"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4D78D3" w14:textId="77777777" w:rsidR="001F4DDE" w:rsidRPr="00544780" w:rsidRDefault="001F4DDE" w:rsidP="001F4DDE">
            <w:pPr>
              <w:rPr>
                <w:color w:val="000000"/>
                <w:sz w:val="18"/>
                <w:szCs w:val="18"/>
              </w:rPr>
            </w:pPr>
            <w:r w:rsidRPr="00544780">
              <w:rPr>
                <w:color w:val="000000"/>
                <w:sz w:val="18"/>
                <w:szCs w:val="18"/>
              </w:rPr>
              <w:t>Spain</w:t>
            </w:r>
          </w:p>
        </w:tc>
        <w:tc>
          <w:tcPr>
            <w:tcW w:w="0" w:type="auto"/>
            <w:noWrap/>
            <w:hideMark/>
          </w:tcPr>
          <w:p w14:paraId="0F21096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Pr>
          <w:p w14:paraId="01716FB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34%</w:t>
            </w:r>
          </w:p>
        </w:tc>
        <w:tc>
          <w:tcPr>
            <w:tcW w:w="0" w:type="auto"/>
          </w:tcPr>
          <w:p w14:paraId="77D83A3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Borders>
              <w:right w:val="single" w:sz="4" w:space="0" w:color="auto"/>
            </w:tcBorders>
            <w:noWrap/>
            <w:hideMark/>
          </w:tcPr>
          <w:p w14:paraId="3D3D3AC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46%</w:t>
            </w:r>
          </w:p>
        </w:tc>
        <w:tc>
          <w:tcPr>
            <w:tcW w:w="0" w:type="auto"/>
            <w:tcBorders>
              <w:left w:val="single" w:sz="4" w:space="0" w:color="auto"/>
            </w:tcBorders>
            <w:noWrap/>
            <w:hideMark/>
          </w:tcPr>
          <w:p w14:paraId="7105971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54%</w:t>
            </w:r>
          </w:p>
        </w:tc>
        <w:tc>
          <w:tcPr>
            <w:tcW w:w="0" w:type="auto"/>
          </w:tcPr>
          <w:p w14:paraId="7E83797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Pr>
          <w:p w14:paraId="14D8D31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74%</w:t>
            </w:r>
          </w:p>
        </w:tc>
        <w:tc>
          <w:tcPr>
            <w:tcW w:w="0" w:type="auto"/>
            <w:tcBorders>
              <w:right w:val="single" w:sz="4" w:space="0" w:color="auto"/>
            </w:tcBorders>
            <w:noWrap/>
            <w:hideMark/>
          </w:tcPr>
          <w:p w14:paraId="5D268D4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97%</w:t>
            </w:r>
          </w:p>
        </w:tc>
        <w:tc>
          <w:tcPr>
            <w:tcW w:w="0" w:type="auto"/>
            <w:tcBorders>
              <w:left w:val="single" w:sz="4" w:space="0" w:color="auto"/>
            </w:tcBorders>
            <w:noWrap/>
            <w:hideMark/>
          </w:tcPr>
          <w:p w14:paraId="2B0746B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69%</w:t>
            </w:r>
          </w:p>
        </w:tc>
        <w:tc>
          <w:tcPr>
            <w:tcW w:w="0" w:type="auto"/>
          </w:tcPr>
          <w:p w14:paraId="5130DDD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77%</w:t>
            </w:r>
          </w:p>
        </w:tc>
        <w:tc>
          <w:tcPr>
            <w:tcW w:w="0" w:type="auto"/>
          </w:tcPr>
          <w:p w14:paraId="5ABAF7D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noWrap/>
            <w:hideMark/>
          </w:tcPr>
          <w:p w14:paraId="51C1D2A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98%</w:t>
            </w:r>
          </w:p>
        </w:tc>
      </w:tr>
      <w:tr w:rsidR="001F4DDE" w:rsidRPr="00544780" w14:paraId="5BC2DF35"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F69611" w14:textId="77777777" w:rsidR="001F4DDE" w:rsidRPr="00544780" w:rsidRDefault="001F4DDE" w:rsidP="001F4DDE">
            <w:pPr>
              <w:rPr>
                <w:color w:val="000000"/>
                <w:sz w:val="18"/>
                <w:szCs w:val="18"/>
              </w:rPr>
            </w:pPr>
            <w:r w:rsidRPr="00544780">
              <w:rPr>
                <w:color w:val="000000"/>
                <w:sz w:val="18"/>
                <w:szCs w:val="18"/>
              </w:rPr>
              <w:t>Sweden</w:t>
            </w:r>
          </w:p>
        </w:tc>
        <w:tc>
          <w:tcPr>
            <w:tcW w:w="0" w:type="auto"/>
            <w:noWrap/>
            <w:hideMark/>
          </w:tcPr>
          <w:p w14:paraId="5AE7E71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32%</w:t>
            </w:r>
          </w:p>
        </w:tc>
        <w:tc>
          <w:tcPr>
            <w:tcW w:w="0" w:type="auto"/>
          </w:tcPr>
          <w:p w14:paraId="0D9919D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45807D8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Borders>
              <w:right w:val="single" w:sz="4" w:space="0" w:color="auto"/>
            </w:tcBorders>
            <w:noWrap/>
            <w:hideMark/>
          </w:tcPr>
          <w:p w14:paraId="6D5CA7F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Borders>
              <w:left w:val="single" w:sz="4" w:space="0" w:color="auto"/>
            </w:tcBorders>
            <w:noWrap/>
            <w:hideMark/>
          </w:tcPr>
          <w:p w14:paraId="16A5901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63%</w:t>
            </w:r>
          </w:p>
        </w:tc>
        <w:tc>
          <w:tcPr>
            <w:tcW w:w="0" w:type="auto"/>
          </w:tcPr>
          <w:p w14:paraId="6895B3D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73%</w:t>
            </w:r>
          </w:p>
        </w:tc>
        <w:tc>
          <w:tcPr>
            <w:tcW w:w="0" w:type="auto"/>
          </w:tcPr>
          <w:p w14:paraId="522252F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77%</w:t>
            </w:r>
          </w:p>
        </w:tc>
        <w:tc>
          <w:tcPr>
            <w:tcW w:w="0" w:type="auto"/>
            <w:tcBorders>
              <w:right w:val="single" w:sz="4" w:space="0" w:color="auto"/>
            </w:tcBorders>
            <w:noWrap/>
            <w:hideMark/>
          </w:tcPr>
          <w:p w14:paraId="09D5CF9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96%</w:t>
            </w:r>
          </w:p>
        </w:tc>
        <w:tc>
          <w:tcPr>
            <w:tcW w:w="0" w:type="auto"/>
            <w:tcBorders>
              <w:left w:val="single" w:sz="4" w:space="0" w:color="auto"/>
            </w:tcBorders>
            <w:noWrap/>
            <w:hideMark/>
          </w:tcPr>
          <w:p w14:paraId="6A8958A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77%</w:t>
            </w:r>
          </w:p>
        </w:tc>
        <w:tc>
          <w:tcPr>
            <w:tcW w:w="0" w:type="auto"/>
          </w:tcPr>
          <w:p w14:paraId="321ACA1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84%</w:t>
            </w:r>
          </w:p>
        </w:tc>
        <w:tc>
          <w:tcPr>
            <w:tcW w:w="0" w:type="auto"/>
          </w:tcPr>
          <w:p w14:paraId="48C8DDB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c>
          <w:tcPr>
            <w:tcW w:w="0" w:type="auto"/>
            <w:noWrap/>
            <w:hideMark/>
          </w:tcPr>
          <w:p w14:paraId="5CEF19E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98%</w:t>
            </w:r>
          </w:p>
        </w:tc>
      </w:tr>
      <w:tr w:rsidR="001F4DDE" w:rsidRPr="00544780" w14:paraId="5CBB1AEF"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F9D7FB" w14:textId="77777777" w:rsidR="001F4DDE" w:rsidRPr="00544780" w:rsidRDefault="001F4DDE" w:rsidP="001F4DDE">
            <w:pPr>
              <w:rPr>
                <w:color w:val="000000"/>
                <w:sz w:val="18"/>
                <w:szCs w:val="18"/>
              </w:rPr>
            </w:pPr>
            <w:r w:rsidRPr="00544780">
              <w:rPr>
                <w:color w:val="000000"/>
                <w:sz w:val="18"/>
                <w:szCs w:val="18"/>
              </w:rPr>
              <w:t>Switzerland</w:t>
            </w:r>
          </w:p>
        </w:tc>
        <w:tc>
          <w:tcPr>
            <w:tcW w:w="0" w:type="auto"/>
            <w:noWrap/>
            <w:hideMark/>
          </w:tcPr>
          <w:p w14:paraId="54DFAF5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30%</w:t>
            </w:r>
          </w:p>
        </w:tc>
        <w:tc>
          <w:tcPr>
            <w:tcW w:w="0" w:type="auto"/>
          </w:tcPr>
          <w:p w14:paraId="2455AF4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30%</w:t>
            </w:r>
          </w:p>
        </w:tc>
        <w:tc>
          <w:tcPr>
            <w:tcW w:w="0" w:type="auto"/>
          </w:tcPr>
          <w:p w14:paraId="06325CD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36%</w:t>
            </w:r>
          </w:p>
        </w:tc>
        <w:tc>
          <w:tcPr>
            <w:tcW w:w="0" w:type="auto"/>
            <w:tcBorders>
              <w:right w:val="single" w:sz="4" w:space="0" w:color="auto"/>
            </w:tcBorders>
            <w:noWrap/>
            <w:hideMark/>
          </w:tcPr>
          <w:p w14:paraId="552044F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53%</w:t>
            </w:r>
          </w:p>
        </w:tc>
        <w:tc>
          <w:tcPr>
            <w:tcW w:w="0" w:type="auto"/>
            <w:tcBorders>
              <w:left w:val="single" w:sz="4" w:space="0" w:color="auto"/>
            </w:tcBorders>
            <w:noWrap/>
            <w:hideMark/>
          </w:tcPr>
          <w:p w14:paraId="5203E0D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58%</w:t>
            </w:r>
          </w:p>
        </w:tc>
        <w:tc>
          <w:tcPr>
            <w:tcW w:w="0" w:type="auto"/>
          </w:tcPr>
          <w:p w14:paraId="79D6BCF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68%</w:t>
            </w:r>
          </w:p>
        </w:tc>
        <w:tc>
          <w:tcPr>
            <w:tcW w:w="0" w:type="auto"/>
          </w:tcPr>
          <w:p w14:paraId="3E1CA73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76%</w:t>
            </w:r>
          </w:p>
        </w:tc>
        <w:tc>
          <w:tcPr>
            <w:tcW w:w="0" w:type="auto"/>
            <w:tcBorders>
              <w:right w:val="single" w:sz="4" w:space="0" w:color="auto"/>
            </w:tcBorders>
            <w:noWrap/>
            <w:hideMark/>
          </w:tcPr>
          <w:p w14:paraId="6C481ED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93%</w:t>
            </w:r>
          </w:p>
        </w:tc>
        <w:tc>
          <w:tcPr>
            <w:tcW w:w="0" w:type="auto"/>
            <w:tcBorders>
              <w:left w:val="single" w:sz="4" w:space="0" w:color="auto"/>
            </w:tcBorders>
            <w:noWrap/>
            <w:hideMark/>
          </w:tcPr>
          <w:p w14:paraId="25D3A52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74%</w:t>
            </w:r>
          </w:p>
        </w:tc>
        <w:tc>
          <w:tcPr>
            <w:tcW w:w="0" w:type="auto"/>
          </w:tcPr>
          <w:p w14:paraId="43737FA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82%</w:t>
            </w:r>
          </w:p>
        </w:tc>
        <w:tc>
          <w:tcPr>
            <w:tcW w:w="0" w:type="auto"/>
          </w:tcPr>
          <w:p w14:paraId="40F4927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86%</w:t>
            </w:r>
          </w:p>
        </w:tc>
        <w:tc>
          <w:tcPr>
            <w:tcW w:w="0" w:type="auto"/>
            <w:noWrap/>
            <w:hideMark/>
          </w:tcPr>
          <w:p w14:paraId="01A2C70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96%</w:t>
            </w:r>
          </w:p>
        </w:tc>
      </w:tr>
      <w:tr w:rsidR="001F4DDE" w:rsidRPr="00544780" w14:paraId="3E7FB080"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051B2B" w14:textId="77777777" w:rsidR="001F4DDE" w:rsidRPr="00544780" w:rsidRDefault="001F4DDE" w:rsidP="001F4DDE">
            <w:pPr>
              <w:rPr>
                <w:color w:val="000000"/>
                <w:sz w:val="18"/>
                <w:szCs w:val="18"/>
              </w:rPr>
            </w:pPr>
            <w:r w:rsidRPr="00544780">
              <w:rPr>
                <w:color w:val="000000"/>
                <w:sz w:val="18"/>
                <w:szCs w:val="18"/>
              </w:rPr>
              <w:t>UK</w:t>
            </w:r>
          </w:p>
        </w:tc>
        <w:tc>
          <w:tcPr>
            <w:tcW w:w="0" w:type="auto"/>
            <w:noWrap/>
            <w:hideMark/>
          </w:tcPr>
          <w:p w14:paraId="0BF0057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35%</w:t>
            </w:r>
          </w:p>
        </w:tc>
        <w:tc>
          <w:tcPr>
            <w:tcW w:w="0" w:type="auto"/>
          </w:tcPr>
          <w:p w14:paraId="120F16C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36%</w:t>
            </w:r>
          </w:p>
        </w:tc>
        <w:tc>
          <w:tcPr>
            <w:tcW w:w="0" w:type="auto"/>
          </w:tcPr>
          <w:p w14:paraId="67E8A02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Borders>
              <w:right w:val="single" w:sz="4" w:space="0" w:color="auto"/>
            </w:tcBorders>
            <w:noWrap/>
            <w:hideMark/>
          </w:tcPr>
          <w:p w14:paraId="6254372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Borders>
              <w:left w:val="single" w:sz="4" w:space="0" w:color="auto"/>
            </w:tcBorders>
            <w:noWrap/>
            <w:hideMark/>
          </w:tcPr>
          <w:p w14:paraId="53D3D3B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64%</w:t>
            </w:r>
          </w:p>
        </w:tc>
        <w:tc>
          <w:tcPr>
            <w:tcW w:w="0" w:type="auto"/>
          </w:tcPr>
          <w:p w14:paraId="006DEE7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77%</w:t>
            </w:r>
          </w:p>
        </w:tc>
        <w:tc>
          <w:tcPr>
            <w:tcW w:w="0" w:type="auto"/>
          </w:tcPr>
          <w:p w14:paraId="1461528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Borders>
              <w:right w:val="single" w:sz="4" w:space="0" w:color="auto"/>
            </w:tcBorders>
            <w:noWrap/>
            <w:hideMark/>
          </w:tcPr>
          <w:p w14:paraId="74A7A09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c>
          <w:tcPr>
            <w:tcW w:w="0" w:type="auto"/>
            <w:tcBorders>
              <w:left w:val="single" w:sz="4" w:space="0" w:color="auto"/>
            </w:tcBorders>
            <w:noWrap/>
            <w:hideMark/>
          </w:tcPr>
          <w:p w14:paraId="5DC9ACB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78%</w:t>
            </w:r>
          </w:p>
        </w:tc>
        <w:tc>
          <w:tcPr>
            <w:tcW w:w="0" w:type="auto"/>
          </w:tcPr>
          <w:p w14:paraId="1CF4E77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87%</w:t>
            </w:r>
          </w:p>
        </w:tc>
        <w:tc>
          <w:tcPr>
            <w:tcW w:w="0" w:type="auto"/>
          </w:tcPr>
          <w:p w14:paraId="7A5F9B8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90%</w:t>
            </w:r>
          </w:p>
        </w:tc>
        <w:tc>
          <w:tcPr>
            <w:tcW w:w="0" w:type="auto"/>
            <w:noWrap/>
            <w:hideMark/>
          </w:tcPr>
          <w:p w14:paraId="40DECD8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97%</w:t>
            </w:r>
          </w:p>
        </w:tc>
      </w:tr>
      <w:tr w:rsidR="001F4DDE" w:rsidRPr="00A1478D" w14:paraId="7E6F1135"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A2ED06" w14:textId="77777777" w:rsidR="001F4DDE" w:rsidRPr="00A1478D" w:rsidRDefault="001F4DDE" w:rsidP="001F4DDE">
            <w:pPr>
              <w:rPr>
                <w:color w:val="000000"/>
                <w:sz w:val="18"/>
                <w:szCs w:val="18"/>
              </w:rPr>
            </w:pPr>
            <w:r w:rsidRPr="00A1478D">
              <w:rPr>
                <w:color w:val="000000"/>
                <w:sz w:val="18"/>
                <w:szCs w:val="18"/>
              </w:rPr>
              <w:t>Average</w:t>
            </w:r>
          </w:p>
        </w:tc>
        <w:tc>
          <w:tcPr>
            <w:tcW w:w="0" w:type="auto"/>
            <w:noWrap/>
            <w:hideMark/>
          </w:tcPr>
          <w:p w14:paraId="5C6BE6CE"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24%</w:t>
            </w:r>
          </w:p>
        </w:tc>
        <w:tc>
          <w:tcPr>
            <w:tcW w:w="0" w:type="auto"/>
          </w:tcPr>
          <w:p w14:paraId="32824EB2"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32%</w:t>
            </w:r>
          </w:p>
        </w:tc>
        <w:tc>
          <w:tcPr>
            <w:tcW w:w="0" w:type="auto"/>
          </w:tcPr>
          <w:p w14:paraId="4C11BEAE"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36%</w:t>
            </w:r>
          </w:p>
        </w:tc>
        <w:tc>
          <w:tcPr>
            <w:tcW w:w="0" w:type="auto"/>
            <w:tcBorders>
              <w:right w:val="single" w:sz="4" w:space="0" w:color="auto"/>
            </w:tcBorders>
            <w:noWrap/>
            <w:hideMark/>
          </w:tcPr>
          <w:p w14:paraId="5FCD0601"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49%</w:t>
            </w:r>
          </w:p>
        </w:tc>
        <w:tc>
          <w:tcPr>
            <w:tcW w:w="0" w:type="auto"/>
            <w:tcBorders>
              <w:left w:val="single" w:sz="4" w:space="0" w:color="auto"/>
            </w:tcBorders>
            <w:noWrap/>
            <w:hideMark/>
          </w:tcPr>
          <w:p w14:paraId="576C4AAD"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51%</w:t>
            </w:r>
          </w:p>
        </w:tc>
        <w:tc>
          <w:tcPr>
            <w:tcW w:w="0" w:type="auto"/>
          </w:tcPr>
          <w:p w14:paraId="7079A16A"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63%</w:t>
            </w:r>
          </w:p>
        </w:tc>
        <w:tc>
          <w:tcPr>
            <w:tcW w:w="0" w:type="auto"/>
          </w:tcPr>
          <w:p w14:paraId="05326628"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67%</w:t>
            </w:r>
          </w:p>
        </w:tc>
        <w:tc>
          <w:tcPr>
            <w:tcW w:w="0" w:type="auto"/>
            <w:tcBorders>
              <w:right w:val="single" w:sz="4" w:space="0" w:color="auto"/>
            </w:tcBorders>
            <w:noWrap/>
            <w:hideMark/>
          </w:tcPr>
          <w:p w14:paraId="7985CFBD"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90%</w:t>
            </w:r>
          </w:p>
        </w:tc>
        <w:tc>
          <w:tcPr>
            <w:tcW w:w="0" w:type="auto"/>
            <w:tcBorders>
              <w:left w:val="single" w:sz="4" w:space="0" w:color="auto"/>
            </w:tcBorders>
            <w:noWrap/>
            <w:hideMark/>
          </w:tcPr>
          <w:p w14:paraId="1D7F833E"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69%</w:t>
            </w:r>
          </w:p>
        </w:tc>
        <w:tc>
          <w:tcPr>
            <w:tcW w:w="0" w:type="auto"/>
          </w:tcPr>
          <w:p w14:paraId="3FDAA57C"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77%</w:t>
            </w:r>
          </w:p>
        </w:tc>
        <w:tc>
          <w:tcPr>
            <w:tcW w:w="0" w:type="auto"/>
          </w:tcPr>
          <w:p w14:paraId="420B5638"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80%</w:t>
            </w:r>
          </w:p>
        </w:tc>
        <w:tc>
          <w:tcPr>
            <w:tcW w:w="0" w:type="auto"/>
            <w:noWrap/>
            <w:hideMark/>
          </w:tcPr>
          <w:p w14:paraId="47F789D2" w14:textId="77777777" w:rsidR="001F4DDE" w:rsidRPr="00A1478D"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78D">
              <w:rPr>
                <w:bCs/>
                <w:color w:val="000000"/>
                <w:sz w:val="18"/>
                <w:szCs w:val="18"/>
              </w:rPr>
              <w:t>92%</w:t>
            </w:r>
          </w:p>
        </w:tc>
      </w:tr>
      <w:tr w:rsidR="001F4DDE" w:rsidRPr="00544780" w14:paraId="2C2678C2"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tcPr>
          <w:p w14:paraId="05F408E1" w14:textId="77777777" w:rsidR="001F4DDE" w:rsidRPr="00A1478D" w:rsidRDefault="001F4DDE" w:rsidP="001F4DDE">
            <w:pPr>
              <w:rPr>
                <w:i/>
                <w:color w:val="000000"/>
                <w:sz w:val="18"/>
                <w:szCs w:val="18"/>
              </w:rPr>
            </w:pPr>
            <w:r w:rsidRPr="00A1478D">
              <w:rPr>
                <w:i/>
                <w:color w:val="000000"/>
                <w:sz w:val="18"/>
                <w:szCs w:val="18"/>
              </w:rPr>
              <w:t>Emerging Markets</w:t>
            </w:r>
          </w:p>
        </w:tc>
        <w:tc>
          <w:tcPr>
            <w:tcW w:w="0" w:type="auto"/>
            <w:noWrap/>
          </w:tcPr>
          <w:p w14:paraId="7E05657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3013971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7A986B8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right w:val="single" w:sz="4" w:space="0" w:color="auto"/>
            </w:tcBorders>
            <w:noWrap/>
          </w:tcPr>
          <w:p w14:paraId="446204E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tcPr>
          <w:p w14:paraId="7F62799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7FDE883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171D80F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right w:val="single" w:sz="4" w:space="0" w:color="auto"/>
            </w:tcBorders>
            <w:noWrap/>
          </w:tcPr>
          <w:p w14:paraId="61E9B13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tcPr>
          <w:p w14:paraId="5D3F6B6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65076C7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Pr>
          <w:p w14:paraId="68D9C1B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tcPr>
          <w:p w14:paraId="04EA50B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544780" w14:paraId="39EFEA22"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F377E0" w14:textId="77777777" w:rsidR="001F4DDE" w:rsidRPr="00544780" w:rsidRDefault="001F4DDE" w:rsidP="001F4DDE">
            <w:pPr>
              <w:rPr>
                <w:color w:val="000000"/>
                <w:sz w:val="18"/>
                <w:szCs w:val="18"/>
              </w:rPr>
            </w:pPr>
            <w:r w:rsidRPr="00544780">
              <w:rPr>
                <w:color w:val="000000"/>
                <w:sz w:val="18"/>
                <w:szCs w:val="18"/>
              </w:rPr>
              <w:t>Brazil</w:t>
            </w:r>
          </w:p>
        </w:tc>
        <w:tc>
          <w:tcPr>
            <w:tcW w:w="0" w:type="auto"/>
            <w:noWrap/>
            <w:hideMark/>
          </w:tcPr>
          <w:p w14:paraId="494ABE9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19%</w:t>
            </w:r>
          </w:p>
        </w:tc>
        <w:tc>
          <w:tcPr>
            <w:tcW w:w="0" w:type="auto"/>
          </w:tcPr>
          <w:p w14:paraId="537D939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28%</w:t>
            </w:r>
          </w:p>
        </w:tc>
        <w:tc>
          <w:tcPr>
            <w:tcW w:w="0" w:type="auto"/>
          </w:tcPr>
          <w:p w14:paraId="1395178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29%</w:t>
            </w:r>
          </w:p>
        </w:tc>
        <w:tc>
          <w:tcPr>
            <w:tcW w:w="0" w:type="auto"/>
            <w:tcBorders>
              <w:right w:val="single" w:sz="4" w:space="0" w:color="auto"/>
            </w:tcBorders>
            <w:noWrap/>
            <w:hideMark/>
          </w:tcPr>
          <w:p w14:paraId="59B4449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54%</w:t>
            </w:r>
          </w:p>
        </w:tc>
        <w:tc>
          <w:tcPr>
            <w:tcW w:w="0" w:type="auto"/>
            <w:tcBorders>
              <w:left w:val="single" w:sz="4" w:space="0" w:color="auto"/>
            </w:tcBorders>
            <w:noWrap/>
            <w:hideMark/>
          </w:tcPr>
          <w:p w14:paraId="73B78D8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62%</w:t>
            </w:r>
          </w:p>
        </w:tc>
        <w:tc>
          <w:tcPr>
            <w:tcW w:w="0" w:type="auto"/>
          </w:tcPr>
          <w:p w14:paraId="63BD2A8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c>
          <w:tcPr>
            <w:tcW w:w="0" w:type="auto"/>
          </w:tcPr>
          <w:p w14:paraId="6B14E5E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Borders>
              <w:right w:val="single" w:sz="4" w:space="0" w:color="auto"/>
            </w:tcBorders>
            <w:noWrap/>
            <w:hideMark/>
          </w:tcPr>
          <w:p w14:paraId="1BC430C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92%</w:t>
            </w:r>
          </w:p>
        </w:tc>
        <w:tc>
          <w:tcPr>
            <w:tcW w:w="0" w:type="auto"/>
            <w:tcBorders>
              <w:left w:val="single" w:sz="4" w:space="0" w:color="auto"/>
            </w:tcBorders>
            <w:noWrap/>
            <w:hideMark/>
          </w:tcPr>
          <w:p w14:paraId="5090DB5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c>
          <w:tcPr>
            <w:tcW w:w="0" w:type="auto"/>
          </w:tcPr>
          <w:p w14:paraId="603BCBF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87%</w:t>
            </w:r>
          </w:p>
        </w:tc>
        <w:tc>
          <w:tcPr>
            <w:tcW w:w="0" w:type="auto"/>
          </w:tcPr>
          <w:p w14:paraId="710D568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91%</w:t>
            </w:r>
          </w:p>
        </w:tc>
        <w:tc>
          <w:tcPr>
            <w:tcW w:w="0" w:type="auto"/>
            <w:noWrap/>
            <w:hideMark/>
          </w:tcPr>
          <w:p w14:paraId="27BDDDB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r>
      <w:tr w:rsidR="001F4DDE" w:rsidRPr="00544780" w14:paraId="682E01E0"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F5F1B8" w14:textId="77777777" w:rsidR="001F4DDE" w:rsidRPr="00544780" w:rsidRDefault="001F4DDE" w:rsidP="001F4DDE">
            <w:pPr>
              <w:rPr>
                <w:color w:val="000000"/>
                <w:sz w:val="18"/>
                <w:szCs w:val="18"/>
              </w:rPr>
            </w:pPr>
            <w:r w:rsidRPr="00544780">
              <w:rPr>
                <w:color w:val="000000"/>
                <w:sz w:val="18"/>
                <w:szCs w:val="18"/>
              </w:rPr>
              <w:t>Chile</w:t>
            </w:r>
          </w:p>
        </w:tc>
        <w:tc>
          <w:tcPr>
            <w:tcW w:w="0" w:type="auto"/>
            <w:noWrap/>
            <w:hideMark/>
          </w:tcPr>
          <w:p w14:paraId="4D46F1B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18%</w:t>
            </w:r>
          </w:p>
        </w:tc>
        <w:tc>
          <w:tcPr>
            <w:tcW w:w="0" w:type="auto"/>
          </w:tcPr>
          <w:p w14:paraId="35B4CDF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20%</w:t>
            </w:r>
          </w:p>
        </w:tc>
        <w:tc>
          <w:tcPr>
            <w:tcW w:w="0" w:type="auto"/>
          </w:tcPr>
          <w:p w14:paraId="744DF1D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34%</w:t>
            </w:r>
          </w:p>
        </w:tc>
        <w:tc>
          <w:tcPr>
            <w:tcW w:w="0" w:type="auto"/>
            <w:tcBorders>
              <w:right w:val="single" w:sz="4" w:space="0" w:color="auto"/>
            </w:tcBorders>
            <w:noWrap/>
            <w:hideMark/>
          </w:tcPr>
          <w:p w14:paraId="6D449E8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38%</w:t>
            </w:r>
          </w:p>
        </w:tc>
        <w:tc>
          <w:tcPr>
            <w:tcW w:w="0" w:type="auto"/>
            <w:tcBorders>
              <w:left w:val="single" w:sz="4" w:space="0" w:color="auto"/>
            </w:tcBorders>
            <w:noWrap/>
            <w:hideMark/>
          </w:tcPr>
          <w:p w14:paraId="7C82629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51%</w:t>
            </w:r>
          </w:p>
        </w:tc>
        <w:tc>
          <w:tcPr>
            <w:tcW w:w="0" w:type="auto"/>
          </w:tcPr>
          <w:p w14:paraId="310DABC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Pr>
          <w:p w14:paraId="7482BDB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66%</w:t>
            </w:r>
          </w:p>
        </w:tc>
        <w:tc>
          <w:tcPr>
            <w:tcW w:w="0" w:type="auto"/>
            <w:tcBorders>
              <w:right w:val="single" w:sz="4" w:space="0" w:color="auto"/>
            </w:tcBorders>
            <w:noWrap/>
            <w:hideMark/>
          </w:tcPr>
          <w:p w14:paraId="56B3FA1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92%</w:t>
            </w:r>
          </w:p>
        </w:tc>
        <w:tc>
          <w:tcPr>
            <w:tcW w:w="0" w:type="auto"/>
            <w:tcBorders>
              <w:left w:val="single" w:sz="4" w:space="0" w:color="auto"/>
            </w:tcBorders>
            <w:noWrap/>
            <w:hideMark/>
          </w:tcPr>
          <w:p w14:paraId="518DB5E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Pr>
          <w:p w14:paraId="4487E9D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72%</w:t>
            </w:r>
          </w:p>
        </w:tc>
        <w:tc>
          <w:tcPr>
            <w:tcW w:w="0" w:type="auto"/>
          </w:tcPr>
          <w:p w14:paraId="2D23645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80%</w:t>
            </w:r>
          </w:p>
        </w:tc>
        <w:tc>
          <w:tcPr>
            <w:tcW w:w="0" w:type="auto"/>
            <w:noWrap/>
            <w:hideMark/>
          </w:tcPr>
          <w:p w14:paraId="41CCC85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95%</w:t>
            </w:r>
          </w:p>
        </w:tc>
      </w:tr>
      <w:tr w:rsidR="001F4DDE" w:rsidRPr="00544780" w14:paraId="7640107A"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0AD387" w14:textId="77777777" w:rsidR="001F4DDE" w:rsidRPr="00544780" w:rsidRDefault="001F4DDE" w:rsidP="001F4DDE">
            <w:pPr>
              <w:rPr>
                <w:color w:val="000000"/>
                <w:sz w:val="18"/>
                <w:szCs w:val="18"/>
              </w:rPr>
            </w:pPr>
            <w:r w:rsidRPr="00544780">
              <w:rPr>
                <w:color w:val="000000"/>
                <w:sz w:val="18"/>
                <w:szCs w:val="18"/>
              </w:rPr>
              <w:t>China</w:t>
            </w:r>
          </w:p>
        </w:tc>
        <w:tc>
          <w:tcPr>
            <w:tcW w:w="0" w:type="auto"/>
            <w:noWrap/>
            <w:hideMark/>
          </w:tcPr>
          <w:p w14:paraId="6261C41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w:t>
            </w:r>
          </w:p>
        </w:tc>
        <w:tc>
          <w:tcPr>
            <w:tcW w:w="0" w:type="auto"/>
          </w:tcPr>
          <w:p w14:paraId="5BADD08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12%</w:t>
            </w:r>
          </w:p>
        </w:tc>
        <w:tc>
          <w:tcPr>
            <w:tcW w:w="0" w:type="auto"/>
          </w:tcPr>
          <w:p w14:paraId="36266B4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14%</w:t>
            </w:r>
          </w:p>
        </w:tc>
        <w:tc>
          <w:tcPr>
            <w:tcW w:w="0" w:type="auto"/>
            <w:tcBorders>
              <w:right w:val="single" w:sz="4" w:space="0" w:color="auto"/>
            </w:tcBorders>
            <w:noWrap/>
            <w:hideMark/>
          </w:tcPr>
          <w:p w14:paraId="7AEEED5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22%</w:t>
            </w:r>
          </w:p>
        </w:tc>
        <w:tc>
          <w:tcPr>
            <w:tcW w:w="0" w:type="auto"/>
            <w:tcBorders>
              <w:left w:val="single" w:sz="4" w:space="0" w:color="auto"/>
            </w:tcBorders>
            <w:noWrap/>
            <w:hideMark/>
          </w:tcPr>
          <w:p w14:paraId="3B132AC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32%</w:t>
            </w:r>
          </w:p>
        </w:tc>
        <w:tc>
          <w:tcPr>
            <w:tcW w:w="0" w:type="auto"/>
          </w:tcPr>
          <w:p w14:paraId="695D9D0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475D722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61%</w:t>
            </w:r>
          </w:p>
        </w:tc>
        <w:tc>
          <w:tcPr>
            <w:tcW w:w="0" w:type="auto"/>
            <w:tcBorders>
              <w:right w:val="single" w:sz="4" w:space="0" w:color="auto"/>
            </w:tcBorders>
            <w:noWrap/>
            <w:hideMark/>
          </w:tcPr>
          <w:p w14:paraId="66F20C6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78%</w:t>
            </w:r>
          </w:p>
        </w:tc>
        <w:tc>
          <w:tcPr>
            <w:tcW w:w="0" w:type="auto"/>
            <w:tcBorders>
              <w:left w:val="single" w:sz="4" w:space="0" w:color="auto"/>
            </w:tcBorders>
            <w:noWrap/>
            <w:hideMark/>
          </w:tcPr>
          <w:p w14:paraId="6ED1AB8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Pr>
          <w:p w14:paraId="7CADF5B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Pr>
          <w:p w14:paraId="38B7623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noWrap/>
            <w:hideMark/>
          </w:tcPr>
          <w:p w14:paraId="6E3EB20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r>
      <w:tr w:rsidR="001F4DDE" w:rsidRPr="00544780" w14:paraId="17110D68"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C50E09" w14:textId="77777777" w:rsidR="001F4DDE" w:rsidRPr="00544780" w:rsidRDefault="001F4DDE" w:rsidP="001F4DDE">
            <w:pPr>
              <w:rPr>
                <w:color w:val="000000"/>
                <w:sz w:val="18"/>
                <w:szCs w:val="18"/>
              </w:rPr>
            </w:pPr>
            <w:r w:rsidRPr="00544780">
              <w:rPr>
                <w:color w:val="000000"/>
                <w:sz w:val="18"/>
                <w:szCs w:val="18"/>
              </w:rPr>
              <w:t>Colombia</w:t>
            </w:r>
          </w:p>
        </w:tc>
        <w:tc>
          <w:tcPr>
            <w:tcW w:w="0" w:type="auto"/>
            <w:noWrap/>
            <w:hideMark/>
          </w:tcPr>
          <w:p w14:paraId="2CB8308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11%</w:t>
            </w:r>
          </w:p>
        </w:tc>
        <w:tc>
          <w:tcPr>
            <w:tcW w:w="0" w:type="auto"/>
          </w:tcPr>
          <w:p w14:paraId="312AB34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w:t>
            </w:r>
          </w:p>
        </w:tc>
        <w:tc>
          <w:tcPr>
            <w:tcW w:w="0" w:type="auto"/>
          </w:tcPr>
          <w:p w14:paraId="4E2BF3B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11%</w:t>
            </w:r>
          </w:p>
        </w:tc>
        <w:tc>
          <w:tcPr>
            <w:tcW w:w="0" w:type="auto"/>
            <w:tcBorders>
              <w:right w:val="single" w:sz="4" w:space="0" w:color="auto"/>
            </w:tcBorders>
            <w:noWrap/>
            <w:hideMark/>
          </w:tcPr>
          <w:p w14:paraId="0731C6A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25%</w:t>
            </w:r>
          </w:p>
        </w:tc>
        <w:tc>
          <w:tcPr>
            <w:tcW w:w="0" w:type="auto"/>
            <w:tcBorders>
              <w:left w:val="single" w:sz="4" w:space="0" w:color="auto"/>
            </w:tcBorders>
            <w:noWrap/>
            <w:hideMark/>
          </w:tcPr>
          <w:p w14:paraId="1B9E518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29%</w:t>
            </w:r>
          </w:p>
        </w:tc>
        <w:tc>
          <w:tcPr>
            <w:tcW w:w="0" w:type="auto"/>
          </w:tcPr>
          <w:p w14:paraId="23AA7A9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39%</w:t>
            </w:r>
          </w:p>
        </w:tc>
        <w:tc>
          <w:tcPr>
            <w:tcW w:w="0" w:type="auto"/>
          </w:tcPr>
          <w:p w14:paraId="5E2EB95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47%</w:t>
            </w:r>
          </w:p>
        </w:tc>
        <w:tc>
          <w:tcPr>
            <w:tcW w:w="0" w:type="auto"/>
            <w:tcBorders>
              <w:right w:val="single" w:sz="4" w:space="0" w:color="auto"/>
            </w:tcBorders>
            <w:noWrap/>
            <w:hideMark/>
          </w:tcPr>
          <w:p w14:paraId="418841E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65%</w:t>
            </w:r>
          </w:p>
        </w:tc>
        <w:tc>
          <w:tcPr>
            <w:tcW w:w="0" w:type="auto"/>
            <w:tcBorders>
              <w:left w:val="single" w:sz="4" w:space="0" w:color="auto"/>
            </w:tcBorders>
            <w:noWrap/>
            <w:hideMark/>
          </w:tcPr>
          <w:p w14:paraId="2355F15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61%</w:t>
            </w:r>
          </w:p>
        </w:tc>
        <w:tc>
          <w:tcPr>
            <w:tcW w:w="0" w:type="auto"/>
          </w:tcPr>
          <w:p w14:paraId="3318AB6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65%</w:t>
            </w:r>
          </w:p>
        </w:tc>
        <w:tc>
          <w:tcPr>
            <w:tcW w:w="0" w:type="auto"/>
          </w:tcPr>
          <w:p w14:paraId="5474D14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74%</w:t>
            </w:r>
          </w:p>
        </w:tc>
        <w:tc>
          <w:tcPr>
            <w:tcW w:w="0" w:type="auto"/>
            <w:noWrap/>
            <w:hideMark/>
          </w:tcPr>
          <w:p w14:paraId="208E885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r>
      <w:tr w:rsidR="001F4DDE" w:rsidRPr="00544780" w14:paraId="2C6B6BA8"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3C112C" w14:textId="77777777" w:rsidR="001F4DDE" w:rsidRPr="00544780" w:rsidRDefault="001F4DDE" w:rsidP="001F4DDE">
            <w:pPr>
              <w:rPr>
                <w:color w:val="000000"/>
                <w:sz w:val="18"/>
                <w:szCs w:val="18"/>
              </w:rPr>
            </w:pPr>
            <w:r w:rsidRPr="00544780">
              <w:rPr>
                <w:color w:val="000000"/>
                <w:sz w:val="18"/>
                <w:szCs w:val="18"/>
              </w:rPr>
              <w:t>India</w:t>
            </w:r>
          </w:p>
        </w:tc>
        <w:tc>
          <w:tcPr>
            <w:tcW w:w="0" w:type="auto"/>
            <w:noWrap/>
            <w:hideMark/>
          </w:tcPr>
          <w:p w14:paraId="0F6B75E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w:t>
            </w:r>
          </w:p>
        </w:tc>
        <w:tc>
          <w:tcPr>
            <w:tcW w:w="0" w:type="auto"/>
          </w:tcPr>
          <w:p w14:paraId="28975CF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21%</w:t>
            </w:r>
          </w:p>
        </w:tc>
        <w:tc>
          <w:tcPr>
            <w:tcW w:w="0" w:type="auto"/>
          </w:tcPr>
          <w:p w14:paraId="51D52F3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25%</w:t>
            </w:r>
          </w:p>
        </w:tc>
        <w:tc>
          <w:tcPr>
            <w:tcW w:w="0" w:type="auto"/>
            <w:tcBorders>
              <w:right w:val="single" w:sz="4" w:space="0" w:color="auto"/>
            </w:tcBorders>
            <w:noWrap/>
            <w:hideMark/>
          </w:tcPr>
          <w:p w14:paraId="7A821F0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35%</w:t>
            </w:r>
          </w:p>
        </w:tc>
        <w:tc>
          <w:tcPr>
            <w:tcW w:w="0" w:type="auto"/>
            <w:tcBorders>
              <w:left w:val="single" w:sz="4" w:space="0" w:color="auto"/>
            </w:tcBorders>
            <w:noWrap/>
            <w:hideMark/>
          </w:tcPr>
          <w:p w14:paraId="6CEC867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34%</w:t>
            </w:r>
          </w:p>
        </w:tc>
        <w:tc>
          <w:tcPr>
            <w:tcW w:w="0" w:type="auto"/>
          </w:tcPr>
          <w:p w14:paraId="48F03F8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50%</w:t>
            </w:r>
          </w:p>
        </w:tc>
        <w:tc>
          <w:tcPr>
            <w:tcW w:w="0" w:type="auto"/>
          </w:tcPr>
          <w:p w14:paraId="43C1067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58%</w:t>
            </w:r>
          </w:p>
        </w:tc>
        <w:tc>
          <w:tcPr>
            <w:tcW w:w="0" w:type="auto"/>
            <w:tcBorders>
              <w:right w:val="single" w:sz="4" w:space="0" w:color="auto"/>
            </w:tcBorders>
            <w:noWrap/>
            <w:hideMark/>
          </w:tcPr>
          <w:p w14:paraId="5F21CB7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72%</w:t>
            </w:r>
          </w:p>
        </w:tc>
        <w:tc>
          <w:tcPr>
            <w:tcW w:w="0" w:type="auto"/>
            <w:tcBorders>
              <w:left w:val="single" w:sz="4" w:space="0" w:color="auto"/>
            </w:tcBorders>
            <w:noWrap/>
            <w:hideMark/>
          </w:tcPr>
          <w:p w14:paraId="2E874B9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55%</w:t>
            </w:r>
          </w:p>
        </w:tc>
        <w:tc>
          <w:tcPr>
            <w:tcW w:w="0" w:type="auto"/>
          </w:tcPr>
          <w:p w14:paraId="176C35B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63%</w:t>
            </w:r>
          </w:p>
        </w:tc>
        <w:tc>
          <w:tcPr>
            <w:tcW w:w="0" w:type="auto"/>
          </w:tcPr>
          <w:p w14:paraId="2D54FD4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73%</w:t>
            </w:r>
          </w:p>
        </w:tc>
        <w:tc>
          <w:tcPr>
            <w:tcW w:w="0" w:type="auto"/>
            <w:noWrap/>
            <w:hideMark/>
          </w:tcPr>
          <w:p w14:paraId="308654A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87%</w:t>
            </w:r>
          </w:p>
        </w:tc>
      </w:tr>
      <w:tr w:rsidR="001F4DDE" w:rsidRPr="00544780" w14:paraId="3D0F7E11"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0DDAB5" w14:textId="77777777" w:rsidR="001F4DDE" w:rsidRPr="00544780" w:rsidRDefault="001F4DDE" w:rsidP="001F4DDE">
            <w:pPr>
              <w:rPr>
                <w:color w:val="000000"/>
                <w:sz w:val="18"/>
                <w:szCs w:val="18"/>
              </w:rPr>
            </w:pPr>
            <w:r w:rsidRPr="00544780">
              <w:rPr>
                <w:color w:val="000000"/>
                <w:sz w:val="18"/>
                <w:szCs w:val="18"/>
              </w:rPr>
              <w:t>Indonesia</w:t>
            </w:r>
          </w:p>
        </w:tc>
        <w:tc>
          <w:tcPr>
            <w:tcW w:w="0" w:type="auto"/>
            <w:noWrap/>
            <w:hideMark/>
          </w:tcPr>
          <w:p w14:paraId="1E8C20F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w:t>
            </w:r>
          </w:p>
        </w:tc>
        <w:tc>
          <w:tcPr>
            <w:tcW w:w="0" w:type="auto"/>
          </w:tcPr>
          <w:p w14:paraId="00D90A4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13%</w:t>
            </w:r>
          </w:p>
        </w:tc>
        <w:tc>
          <w:tcPr>
            <w:tcW w:w="0" w:type="auto"/>
          </w:tcPr>
          <w:p w14:paraId="216B42B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23%</w:t>
            </w:r>
          </w:p>
        </w:tc>
        <w:tc>
          <w:tcPr>
            <w:tcW w:w="0" w:type="auto"/>
            <w:tcBorders>
              <w:right w:val="single" w:sz="4" w:space="0" w:color="auto"/>
            </w:tcBorders>
            <w:noWrap/>
            <w:hideMark/>
          </w:tcPr>
          <w:p w14:paraId="2AEC58C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51%</w:t>
            </w:r>
          </w:p>
        </w:tc>
        <w:tc>
          <w:tcPr>
            <w:tcW w:w="0" w:type="auto"/>
            <w:tcBorders>
              <w:left w:val="single" w:sz="4" w:space="0" w:color="auto"/>
            </w:tcBorders>
            <w:noWrap/>
            <w:hideMark/>
          </w:tcPr>
          <w:p w14:paraId="4816A2E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Pr>
          <w:p w14:paraId="2774102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42%</w:t>
            </w:r>
          </w:p>
        </w:tc>
        <w:tc>
          <w:tcPr>
            <w:tcW w:w="0" w:type="auto"/>
          </w:tcPr>
          <w:p w14:paraId="2A9CB25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54%</w:t>
            </w:r>
          </w:p>
        </w:tc>
        <w:tc>
          <w:tcPr>
            <w:tcW w:w="0" w:type="auto"/>
            <w:tcBorders>
              <w:right w:val="single" w:sz="4" w:space="0" w:color="auto"/>
            </w:tcBorders>
            <w:noWrap/>
            <w:hideMark/>
          </w:tcPr>
          <w:p w14:paraId="587264F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84%</w:t>
            </w:r>
          </w:p>
        </w:tc>
        <w:tc>
          <w:tcPr>
            <w:tcW w:w="0" w:type="auto"/>
            <w:tcBorders>
              <w:left w:val="single" w:sz="4" w:space="0" w:color="auto"/>
            </w:tcBorders>
            <w:noWrap/>
            <w:hideMark/>
          </w:tcPr>
          <w:p w14:paraId="3798E5E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53%</w:t>
            </w:r>
          </w:p>
        </w:tc>
        <w:tc>
          <w:tcPr>
            <w:tcW w:w="0" w:type="auto"/>
          </w:tcPr>
          <w:p w14:paraId="7FB9686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53%</w:t>
            </w:r>
          </w:p>
        </w:tc>
        <w:tc>
          <w:tcPr>
            <w:tcW w:w="0" w:type="auto"/>
          </w:tcPr>
          <w:p w14:paraId="06E7E15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73%</w:t>
            </w:r>
          </w:p>
        </w:tc>
        <w:tc>
          <w:tcPr>
            <w:tcW w:w="0" w:type="auto"/>
            <w:noWrap/>
            <w:hideMark/>
          </w:tcPr>
          <w:p w14:paraId="08BC5B8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88%</w:t>
            </w:r>
          </w:p>
        </w:tc>
      </w:tr>
      <w:tr w:rsidR="001F4DDE" w:rsidRPr="00544780" w14:paraId="6DF6F733"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6424F9" w14:textId="77777777" w:rsidR="001F4DDE" w:rsidRPr="00544780" w:rsidRDefault="001F4DDE" w:rsidP="001F4DDE">
            <w:pPr>
              <w:rPr>
                <w:color w:val="000000"/>
                <w:sz w:val="18"/>
                <w:szCs w:val="18"/>
              </w:rPr>
            </w:pPr>
            <w:r w:rsidRPr="00544780">
              <w:rPr>
                <w:color w:val="000000"/>
                <w:sz w:val="18"/>
                <w:szCs w:val="18"/>
              </w:rPr>
              <w:t>Korea</w:t>
            </w:r>
          </w:p>
        </w:tc>
        <w:tc>
          <w:tcPr>
            <w:tcW w:w="0" w:type="auto"/>
            <w:noWrap/>
            <w:hideMark/>
          </w:tcPr>
          <w:p w14:paraId="1AEB334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w:t>
            </w:r>
          </w:p>
        </w:tc>
        <w:tc>
          <w:tcPr>
            <w:tcW w:w="0" w:type="auto"/>
          </w:tcPr>
          <w:p w14:paraId="4C1B2E4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28%</w:t>
            </w:r>
          </w:p>
        </w:tc>
        <w:tc>
          <w:tcPr>
            <w:tcW w:w="0" w:type="auto"/>
          </w:tcPr>
          <w:p w14:paraId="49CBC49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32%</w:t>
            </w:r>
          </w:p>
        </w:tc>
        <w:tc>
          <w:tcPr>
            <w:tcW w:w="0" w:type="auto"/>
            <w:tcBorders>
              <w:right w:val="single" w:sz="4" w:space="0" w:color="auto"/>
            </w:tcBorders>
            <w:noWrap/>
            <w:hideMark/>
          </w:tcPr>
          <w:p w14:paraId="2942C54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51%</w:t>
            </w:r>
          </w:p>
        </w:tc>
        <w:tc>
          <w:tcPr>
            <w:tcW w:w="0" w:type="auto"/>
            <w:tcBorders>
              <w:left w:val="single" w:sz="4" w:space="0" w:color="auto"/>
            </w:tcBorders>
            <w:noWrap/>
            <w:hideMark/>
          </w:tcPr>
          <w:p w14:paraId="0197138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48%</w:t>
            </w:r>
          </w:p>
        </w:tc>
        <w:tc>
          <w:tcPr>
            <w:tcW w:w="0" w:type="auto"/>
          </w:tcPr>
          <w:p w14:paraId="1BD4061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60%</w:t>
            </w:r>
          </w:p>
        </w:tc>
        <w:tc>
          <w:tcPr>
            <w:tcW w:w="0" w:type="auto"/>
          </w:tcPr>
          <w:p w14:paraId="2FFB86F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62%</w:t>
            </w:r>
          </w:p>
        </w:tc>
        <w:tc>
          <w:tcPr>
            <w:tcW w:w="0" w:type="auto"/>
            <w:tcBorders>
              <w:right w:val="single" w:sz="4" w:space="0" w:color="auto"/>
            </w:tcBorders>
            <w:noWrap/>
            <w:hideMark/>
          </w:tcPr>
          <w:p w14:paraId="5F757D7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74%</w:t>
            </w:r>
          </w:p>
        </w:tc>
        <w:tc>
          <w:tcPr>
            <w:tcW w:w="0" w:type="auto"/>
            <w:tcBorders>
              <w:left w:val="single" w:sz="4" w:space="0" w:color="auto"/>
            </w:tcBorders>
            <w:noWrap/>
            <w:hideMark/>
          </w:tcPr>
          <w:p w14:paraId="395A5A1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63%</w:t>
            </w:r>
          </w:p>
        </w:tc>
        <w:tc>
          <w:tcPr>
            <w:tcW w:w="0" w:type="auto"/>
          </w:tcPr>
          <w:p w14:paraId="5A3EF41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69%</w:t>
            </w:r>
          </w:p>
        </w:tc>
        <w:tc>
          <w:tcPr>
            <w:tcW w:w="0" w:type="auto"/>
          </w:tcPr>
          <w:p w14:paraId="3C26874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76%</w:t>
            </w:r>
          </w:p>
        </w:tc>
        <w:tc>
          <w:tcPr>
            <w:tcW w:w="0" w:type="auto"/>
            <w:noWrap/>
            <w:hideMark/>
          </w:tcPr>
          <w:p w14:paraId="2D2134E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r>
      <w:tr w:rsidR="001F4DDE" w:rsidRPr="00544780" w14:paraId="659E7DBD"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7660B4" w14:textId="77777777" w:rsidR="001F4DDE" w:rsidRPr="00544780" w:rsidRDefault="001F4DDE" w:rsidP="001F4DDE">
            <w:pPr>
              <w:rPr>
                <w:color w:val="000000"/>
                <w:sz w:val="18"/>
                <w:szCs w:val="18"/>
              </w:rPr>
            </w:pPr>
            <w:r w:rsidRPr="00544780">
              <w:rPr>
                <w:color w:val="000000"/>
                <w:sz w:val="18"/>
                <w:szCs w:val="18"/>
              </w:rPr>
              <w:t>Malaysia</w:t>
            </w:r>
          </w:p>
        </w:tc>
        <w:tc>
          <w:tcPr>
            <w:tcW w:w="0" w:type="auto"/>
            <w:noWrap/>
            <w:hideMark/>
          </w:tcPr>
          <w:p w14:paraId="7668B8E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12%</w:t>
            </w:r>
          </w:p>
        </w:tc>
        <w:tc>
          <w:tcPr>
            <w:tcW w:w="0" w:type="auto"/>
          </w:tcPr>
          <w:p w14:paraId="2A8B264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14%</w:t>
            </w:r>
          </w:p>
        </w:tc>
        <w:tc>
          <w:tcPr>
            <w:tcW w:w="0" w:type="auto"/>
          </w:tcPr>
          <w:p w14:paraId="3748450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23%</w:t>
            </w:r>
          </w:p>
        </w:tc>
        <w:tc>
          <w:tcPr>
            <w:tcW w:w="0" w:type="auto"/>
            <w:tcBorders>
              <w:right w:val="single" w:sz="4" w:space="0" w:color="auto"/>
            </w:tcBorders>
            <w:noWrap/>
            <w:hideMark/>
          </w:tcPr>
          <w:p w14:paraId="6A8D62E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Borders>
              <w:left w:val="single" w:sz="4" w:space="0" w:color="auto"/>
            </w:tcBorders>
            <w:noWrap/>
            <w:hideMark/>
          </w:tcPr>
          <w:p w14:paraId="4D1822B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27%</w:t>
            </w:r>
          </w:p>
        </w:tc>
        <w:tc>
          <w:tcPr>
            <w:tcW w:w="0" w:type="auto"/>
          </w:tcPr>
          <w:p w14:paraId="31F7B3E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34%</w:t>
            </w:r>
          </w:p>
        </w:tc>
        <w:tc>
          <w:tcPr>
            <w:tcW w:w="0" w:type="auto"/>
          </w:tcPr>
          <w:p w14:paraId="06BE337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Borders>
              <w:right w:val="single" w:sz="4" w:space="0" w:color="auto"/>
            </w:tcBorders>
            <w:noWrap/>
            <w:hideMark/>
          </w:tcPr>
          <w:p w14:paraId="49C9F23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89%</w:t>
            </w:r>
          </w:p>
        </w:tc>
        <w:tc>
          <w:tcPr>
            <w:tcW w:w="0" w:type="auto"/>
            <w:tcBorders>
              <w:left w:val="single" w:sz="4" w:space="0" w:color="auto"/>
            </w:tcBorders>
            <w:noWrap/>
            <w:hideMark/>
          </w:tcPr>
          <w:p w14:paraId="635DFD7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Pr>
          <w:p w14:paraId="27D1EE7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3BB6071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62%</w:t>
            </w:r>
          </w:p>
        </w:tc>
        <w:tc>
          <w:tcPr>
            <w:tcW w:w="0" w:type="auto"/>
            <w:noWrap/>
            <w:hideMark/>
          </w:tcPr>
          <w:p w14:paraId="513B28F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93%</w:t>
            </w:r>
          </w:p>
        </w:tc>
      </w:tr>
      <w:tr w:rsidR="001F4DDE" w:rsidRPr="00544780" w14:paraId="069E4545"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4AB3D9" w14:textId="77777777" w:rsidR="001F4DDE" w:rsidRPr="00544780" w:rsidRDefault="001F4DDE" w:rsidP="001F4DDE">
            <w:pPr>
              <w:rPr>
                <w:color w:val="000000"/>
                <w:sz w:val="18"/>
                <w:szCs w:val="18"/>
              </w:rPr>
            </w:pPr>
            <w:r w:rsidRPr="00544780">
              <w:rPr>
                <w:color w:val="000000"/>
                <w:sz w:val="18"/>
                <w:szCs w:val="18"/>
              </w:rPr>
              <w:t>Mexico</w:t>
            </w:r>
          </w:p>
        </w:tc>
        <w:tc>
          <w:tcPr>
            <w:tcW w:w="0" w:type="auto"/>
            <w:noWrap/>
            <w:hideMark/>
          </w:tcPr>
          <w:p w14:paraId="28E24CC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Pr>
          <w:p w14:paraId="0CA8F41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29%</w:t>
            </w:r>
          </w:p>
        </w:tc>
        <w:tc>
          <w:tcPr>
            <w:tcW w:w="0" w:type="auto"/>
          </w:tcPr>
          <w:p w14:paraId="48A9093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44%</w:t>
            </w:r>
          </w:p>
        </w:tc>
        <w:tc>
          <w:tcPr>
            <w:tcW w:w="0" w:type="auto"/>
            <w:tcBorders>
              <w:right w:val="single" w:sz="4" w:space="0" w:color="auto"/>
            </w:tcBorders>
            <w:noWrap/>
            <w:hideMark/>
          </w:tcPr>
          <w:p w14:paraId="17D394A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50%</w:t>
            </w:r>
          </w:p>
        </w:tc>
        <w:tc>
          <w:tcPr>
            <w:tcW w:w="0" w:type="auto"/>
            <w:tcBorders>
              <w:left w:val="single" w:sz="4" w:space="0" w:color="auto"/>
            </w:tcBorders>
            <w:noWrap/>
            <w:hideMark/>
          </w:tcPr>
          <w:p w14:paraId="2AFA359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69%</w:t>
            </w:r>
          </w:p>
        </w:tc>
        <w:tc>
          <w:tcPr>
            <w:tcW w:w="0" w:type="auto"/>
          </w:tcPr>
          <w:p w14:paraId="5BE7A04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74%</w:t>
            </w:r>
          </w:p>
        </w:tc>
        <w:tc>
          <w:tcPr>
            <w:tcW w:w="0" w:type="auto"/>
          </w:tcPr>
          <w:p w14:paraId="5FFD82C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76%</w:t>
            </w:r>
          </w:p>
        </w:tc>
        <w:tc>
          <w:tcPr>
            <w:tcW w:w="0" w:type="auto"/>
            <w:tcBorders>
              <w:right w:val="single" w:sz="4" w:space="0" w:color="auto"/>
            </w:tcBorders>
            <w:noWrap/>
            <w:hideMark/>
          </w:tcPr>
          <w:p w14:paraId="1B8E560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97%</w:t>
            </w:r>
          </w:p>
        </w:tc>
        <w:tc>
          <w:tcPr>
            <w:tcW w:w="0" w:type="auto"/>
            <w:tcBorders>
              <w:left w:val="single" w:sz="4" w:space="0" w:color="auto"/>
            </w:tcBorders>
            <w:noWrap/>
            <w:hideMark/>
          </w:tcPr>
          <w:p w14:paraId="3E87D0B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c>
          <w:tcPr>
            <w:tcW w:w="0" w:type="auto"/>
          </w:tcPr>
          <w:p w14:paraId="7B5EEBD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90%</w:t>
            </w:r>
          </w:p>
        </w:tc>
        <w:tc>
          <w:tcPr>
            <w:tcW w:w="0" w:type="auto"/>
          </w:tcPr>
          <w:p w14:paraId="0389D45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93%</w:t>
            </w:r>
          </w:p>
        </w:tc>
        <w:tc>
          <w:tcPr>
            <w:tcW w:w="0" w:type="auto"/>
            <w:noWrap/>
            <w:hideMark/>
          </w:tcPr>
          <w:p w14:paraId="59A413F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98%</w:t>
            </w:r>
          </w:p>
        </w:tc>
      </w:tr>
      <w:tr w:rsidR="001F4DDE" w:rsidRPr="00544780" w14:paraId="2761E11A"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D42271" w14:textId="77777777" w:rsidR="001F4DDE" w:rsidRPr="00544780" w:rsidRDefault="001F4DDE" w:rsidP="001F4DDE">
            <w:pPr>
              <w:rPr>
                <w:color w:val="000000"/>
                <w:sz w:val="18"/>
                <w:szCs w:val="18"/>
              </w:rPr>
            </w:pPr>
            <w:r w:rsidRPr="00544780">
              <w:rPr>
                <w:color w:val="000000"/>
                <w:sz w:val="18"/>
                <w:szCs w:val="18"/>
              </w:rPr>
              <w:t>Philippines</w:t>
            </w:r>
          </w:p>
        </w:tc>
        <w:tc>
          <w:tcPr>
            <w:tcW w:w="0" w:type="auto"/>
            <w:noWrap/>
            <w:hideMark/>
          </w:tcPr>
          <w:p w14:paraId="6539E94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w:t>
            </w:r>
          </w:p>
        </w:tc>
        <w:tc>
          <w:tcPr>
            <w:tcW w:w="0" w:type="auto"/>
          </w:tcPr>
          <w:p w14:paraId="79B6D9F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12%</w:t>
            </w:r>
          </w:p>
        </w:tc>
        <w:tc>
          <w:tcPr>
            <w:tcW w:w="0" w:type="auto"/>
          </w:tcPr>
          <w:p w14:paraId="76D43B6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22%</w:t>
            </w:r>
          </w:p>
        </w:tc>
        <w:tc>
          <w:tcPr>
            <w:tcW w:w="0" w:type="auto"/>
            <w:tcBorders>
              <w:right w:val="single" w:sz="4" w:space="0" w:color="auto"/>
            </w:tcBorders>
            <w:noWrap/>
            <w:hideMark/>
          </w:tcPr>
          <w:p w14:paraId="46F8EA6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Borders>
              <w:left w:val="single" w:sz="4" w:space="0" w:color="auto"/>
            </w:tcBorders>
            <w:noWrap/>
            <w:hideMark/>
          </w:tcPr>
          <w:p w14:paraId="5645BD4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Pr>
          <w:p w14:paraId="4C7BEFD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45%</w:t>
            </w:r>
          </w:p>
        </w:tc>
        <w:tc>
          <w:tcPr>
            <w:tcW w:w="0" w:type="auto"/>
          </w:tcPr>
          <w:p w14:paraId="49ABEB4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51%</w:t>
            </w:r>
          </w:p>
        </w:tc>
        <w:tc>
          <w:tcPr>
            <w:tcW w:w="0" w:type="auto"/>
            <w:tcBorders>
              <w:right w:val="single" w:sz="4" w:space="0" w:color="auto"/>
            </w:tcBorders>
            <w:noWrap/>
            <w:hideMark/>
          </w:tcPr>
          <w:p w14:paraId="636E187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71%</w:t>
            </w:r>
          </w:p>
        </w:tc>
        <w:tc>
          <w:tcPr>
            <w:tcW w:w="0" w:type="auto"/>
            <w:tcBorders>
              <w:left w:val="single" w:sz="4" w:space="0" w:color="auto"/>
            </w:tcBorders>
            <w:noWrap/>
            <w:hideMark/>
          </w:tcPr>
          <w:p w14:paraId="11AEBD3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50%</w:t>
            </w:r>
          </w:p>
        </w:tc>
        <w:tc>
          <w:tcPr>
            <w:tcW w:w="0" w:type="auto"/>
          </w:tcPr>
          <w:p w14:paraId="779CE0B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56%</w:t>
            </w:r>
          </w:p>
        </w:tc>
        <w:tc>
          <w:tcPr>
            <w:tcW w:w="0" w:type="auto"/>
          </w:tcPr>
          <w:p w14:paraId="58656CC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59%</w:t>
            </w:r>
          </w:p>
        </w:tc>
        <w:tc>
          <w:tcPr>
            <w:tcW w:w="0" w:type="auto"/>
            <w:noWrap/>
            <w:hideMark/>
          </w:tcPr>
          <w:p w14:paraId="460ACCD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r>
      <w:tr w:rsidR="001F4DDE" w:rsidRPr="00544780" w14:paraId="1C45B4D8"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7105595D" w14:textId="77777777" w:rsidR="001F4DDE" w:rsidRPr="00544780" w:rsidRDefault="001F4DDE" w:rsidP="001F4DDE">
            <w:pPr>
              <w:rPr>
                <w:color w:val="000000"/>
                <w:sz w:val="18"/>
                <w:szCs w:val="18"/>
              </w:rPr>
            </w:pPr>
            <w:r w:rsidRPr="00544780">
              <w:rPr>
                <w:color w:val="000000"/>
                <w:sz w:val="18"/>
                <w:szCs w:val="18"/>
              </w:rPr>
              <w:t>Russia</w:t>
            </w:r>
          </w:p>
        </w:tc>
        <w:tc>
          <w:tcPr>
            <w:tcW w:w="0" w:type="auto"/>
            <w:noWrap/>
            <w:hideMark/>
          </w:tcPr>
          <w:p w14:paraId="75424A7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17%</w:t>
            </w:r>
          </w:p>
        </w:tc>
        <w:tc>
          <w:tcPr>
            <w:tcW w:w="0" w:type="auto"/>
          </w:tcPr>
          <w:p w14:paraId="0B2F462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16%</w:t>
            </w:r>
          </w:p>
        </w:tc>
        <w:tc>
          <w:tcPr>
            <w:tcW w:w="0" w:type="auto"/>
          </w:tcPr>
          <w:p w14:paraId="2FA2B29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17%</w:t>
            </w:r>
          </w:p>
        </w:tc>
        <w:tc>
          <w:tcPr>
            <w:tcW w:w="0" w:type="auto"/>
            <w:tcBorders>
              <w:right w:val="single" w:sz="4" w:space="0" w:color="auto"/>
            </w:tcBorders>
            <w:noWrap/>
            <w:hideMark/>
          </w:tcPr>
          <w:p w14:paraId="0FAAFB3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Borders>
              <w:left w:val="single" w:sz="4" w:space="0" w:color="auto"/>
            </w:tcBorders>
            <w:noWrap/>
            <w:hideMark/>
          </w:tcPr>
          <w:p w14:paraId="2D74401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Pr>
          <w:p w14:paraId="5FCB039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0A55F79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53%</w:t>
            </w:r>
          </w:p>
        </w:tc>
        <w:tc>
          <w:tcPr>
            <w:tcW w:w="0" w:type="auto"/>
            <w:tcBorders>
              <w:right w:val="single" w:sz="4" w:space="0" w:color="auto"/>
            </w:tcBorders>
            <w:noWrap/>
            <w:hideMark/>
          </w:tcPr>
          <w:p w14:paraId="1F087B7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71%</w:t>
            </w:r>
          </w:p>
        </w:tc>
        <w:tc>
          <w:tcPr>
            <w:tcW w:w="0" w:type="auto"/>
            <w:tcBorders>
              <w:left w:val="single" w:sz="4" w:space="0" w:color="auto"/>
            </w:tcBorders>
            <w:noWrap/>
            <w:hideMark/>
          </w:tcPr>
          <w:p w14:paraId="2374E6F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61%</w:t>
            </w:r>
          </w:p>
        </w:tc>
        <w:tc>
          <w:tcPr>
            <w:tcW w:w="0" w:type="auto"/>
          </w:tcPr>
          <w:p w14:paraId="56CC37D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71%</w:t>
            </w:r>
          </w:p>
        </w:tc>
        <w:tc>
          <w:tcPr>
            <w:tcW w:w="0" w:type="auto"/>
          </w:tcPr>
          <w:p w14:paraId="738704D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78%</w:t>
            </w:r>
          </w:p>
        </w:tc>
        <w:tc>
          <w:tcPr>
            <w:tcW w:w="0" w:type="auto"/>
            <w:noWrap/>
            <w:hideMark/>
          </w:tcPr>
          <w:p w14:paraId="1DD1FF8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85%</w:t>
            </w:r>
          </w:p>
        </w:tc>
      </w:tr>
      <w:tr w:rsidR="001F4DDE" w:rsidRPr="00544780" w14:paraId="5AFBD5A1"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37762C" w14:textId="77777777" w:rsidR="001F4DDE" w:rsidRPr="00544780" w:rsidRDefault="001F4DDE" w:rsidP="001F4DDE">
            <w:pPr>
              <w:rPr>
                <w:color w:val="000000"/>
                <w:sz w:val="18"/>
                <w:szCs w:val="18"/>
              </w:rPr>
            </w:pPr>
            <w:r w:rsidRPr="00544780">
              <w:rPr>
                <w:color w:val="000000"/>
                <w:sz w:val="18"/>
                <w:szCs w:val="18"/>
              </w:rPr>
              <w:t>South Africa</w:t>
            </w:r>
          </w:p>
        </w:tc>
        <w:tc>
          <w:tcPr>
            <w:tcW w:w="0" w:type="auto"/>
            <w:noWrap/>
            <w:hideMark/>
          </w:tcPr>
          <w:p w14:paraId="1FBD363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20%</w:t>
            </w:r>
          </w:p>
        </w:tc>
        <w:tc>
          <w:tcPr>
            <w:tcW w:w="0" w:type="auto"/>
          </w:tcPr>
          <w:p w14:paraId="38D50F8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31%</w:t>
            </w:r>
          </w:p>
        </w:tc>
        <w:tc>
          <w:tcPr>
            <w:tcW w:w="0" w:type="auto"/>
          </w:tcPr>
          <w:p w14:paraId="60C289E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33%</w:t>
            </w:r>
          </w:p>
        </w:tc>
        <w:tc>
          <w:tcPr>
            <w:tcW w:w="0" w:type="auto"/>
            <w:tcBorders>
              <w:right w:val="single" w:sz="4" w:space="0" w:color="auto"/>
            </w:tcBorders>
            <w:noWrap/>
            <w:hideMark/>
          </w:tcPr>
          <w:p w14:paraId="22327D6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38%</w:t>
            </w:r>
          </w:p>
        </w:tc>
        <w:tc>
          <w:tcPr>
            <w:tcW w:w="0" w:type="auto"/>
            <w:tcBorders>
              <w:left w:val="single" w:sz="4" w:space="0" w:color="auto"/>
            </w:tcBorders>
            <w:noWrap/>
            <w:hideMark/>
          </w:tcPr>
          <w:p w14:paraId="0600A6C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620A6D5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65%</w:t>
            </w:r>
          </w:p>
        </w:tc>
        <w:tc>
          <w:tcPr>
            <w:tcW w:w="0" w:type="auto"/>
          </w:tcPr>
          <w:p w14:paraId="45118F0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tcBorders>
              <w:right w:val="single" w:sz="4" w:space="0" w:color="auto"/>
            </w:tcBorders>
            <w:noWrap/>
            <w:hideMark/>
          </w:tcPr>
          <w:p w14:paraId="4DA8D30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78%</w:t>
            </w:r>
          </w:p>
        </w:tc>
        <w:tc>
          <w:tcPr>
            <w:tcW w:w="0" w:type="auto"/>
            <w:tcBorders>
              <w:left w:val="single" w:sz="4" w:space="0" w:color="auto"/>
            </w:tcBorders>
            <w:noWrap/>
            <w:hideMark/>
          </w:tcPr>
          <w:p w14:paraId="60B4014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tcPr>
          <w:p w14:paraId="74A16C1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79%</w:t>
            </w:r>
          </w:p>
        </w:tc>
        <w:tc>
          <w:tcPr>
            <w:tcW w:w="0" w:type="auto"/>
          </w:tcPr>
          <w:p w14:paraId="6FBD694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83%</w:t>
            </w:r>
          </w:p>
        </w:tc>
        <w:tc>
          <w:tcPr>
            <w:tcW w:w="0" w:type="auto"/>
            <w:noWrap/>
            <w:hideMark/>
          </w:tcPr>
          <w:p w14:paraId="507CB36A"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91%</w:t>
            </w:r>
          </w:p>
        </w:tc>
      </w:tr>
      <w:tr w:rsidR="001F4DDE" w:rsidRPr="00544780" w14:paraId="18DCC753"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3F5F74" w14:textId="77777777" w:rsidR="001F4DDE" w:rsidRPr="00544780" w:rsidRDefault="001F4DDE" w:rsidP="001F4DDE">
            <w:pPr>
              <w:rPr>
                <w:color w:val="000000"/>
                <w:sz w:val="18"/>
                <w:szCs w:val="18"/>
              </w:rPr>
            </w:pPr>
            <w:r w:rsidRPr="00544780">
              <w:rPr>
                <w:color w:val="000000"/>
                <w:sz w:val="18"/>
                <w:szCs w:val="18"/>
              </w:rPr>
              <w:t>Taiwan</w:t>
            </w:r>
          </w:p>
        </w:tc>
        <w:tc>
          <w:tcPr>
            <w:tcW w:w="0" w:type="auto"/>
            <w:noWrap/>
            <w:hideMark/>
          </w:tcPr>
          <w:p w14:paraId="3C3D901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11%</w:t>
            </w:r>
          </w:p>
        </w:tc>
        <w:tc>
          <w:tcPr>
            <w:tcW w:w="0" w:type="auto"/>
          </w:tcPr>
          <w:p w14:paraId="20CD05D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Pr>
          <w:p w14:paraId="7464DF6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36%</w:t>
            </w:r>
          </w:p>
        </w:tc>
        <w:tc>
          <w:tcPr>
            <w:tcW w:w="0" w:type="auto"/>
            <w:tcBorders>
              <w:right w:val="single" w:sz="4" w:space="0" w:color="auto"/>
            </w:tcBorders>
            <w:noWrap/>
            <w:hideMark/>
          </w:tcPr>
          <w:p w14:paraId="5CDAEF9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48%</w:t>
            </w:r>
          </w:p>
        </w:tc>
        <w:tc>
          <w:tcPr>
            <w:tcW w:w="0" w:type="auto"/>
            <w:tcBorders>
              <w:left w:val="single" w:sz="4" w:space="0" w:color="auto"/>
            </w:tcBorders>
            <w:noWrap/>
            <w:hideMark/>
          </w:tcPr>
          <w:p w14:paraId="562591C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38%</w:t>
            </w:r>
          </w:p>
        </w:tc>
        <w:tc>
          <w:tcPr>
            <w:tcW w:w="0" w:type="auto"/>
          </w:tcPr>
          <w:p w14:paraId="7A563BA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Pr>
          <w:p w14:paraId="593C91D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Borders>
              <w:right w:val="single" w:sz="4" w:space="0" w:color="auto"/>
            </w:tcBorders>
            <w:noWrap/>
            <w:hideMark/>
          </w:tcPr>
          <w:p w14:paraId="03B4139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81%</w:t>
            </w:r>
          </w:p>
        </w:tc>
        <w:tc>
          <w:tcPr>
            <w:tcW w:w="0" w:type="auto"/>
            <w:tcBorders>
              <w:left w:val="single" w:sz="4" w:space="0" w:color="auto"/>
            </w:tcBorders>
            <w:noWrap/>
            <w:hideMark/>
          </w:tcPr>
          <w:p w14:paraId="2E61497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54%</w:t>
            </w:r>
          </w:p>
        </w:tc>
        <w:tc>
          <w:tcPr>
            <w:tcW w:w="0" w:type="auto"/>
          </w:tcPr>
          <w:p w14:paraId="654B8B5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64%</w:t>
            </w:r>
          </w:p>
        </w:tc>
        <w:tc>
          <w:tcPr>
            <w:tcW w:w="0" w:type="auto"/>
          </w:tcPr>
          <w:p w14:paraId="1E2D0B7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noWrap/>
            <w:hideMark/>
          </w:tcPr>
          <w:p w14:paraId="411D373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86%</w:t>
            </w:r>
          </w:p>
        </w:tc>
      </w:tr>
      <w:tr w:rsidR="001F4DDE" w:rsidRPr="00544780" w14:paraId="004A3504"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D77C6A" w14:textId="77777777" w:rsidR="001F4DDE" w:rsidRPr="00544780" w:rsidRDefault="001F4DDE" w:rsidP="001F4DDE">
            <w:pPr>
              <w:rPr>
                <w:color w:val="000000"/>
                <w:sz w:val="18"/>
                <w:szCs w:val="18"/>
              </w:rPr>
            </w:pPr>
            <w:r w:rsidRPr="00544780">
              <w:rPr>
                <w:color w:val="000000"/>
                <w:sz w:val="18"/>
                <w:szCs w:val="18"/>
              </w:rPr>
              <w:t>Thailand</w:t>
            </w:r>
          </w:p>
        </w:tc>
        <w:tc>
          <w:tcPr>
            <w:tcW w:w="0" w:type="auto"/>
            <w:noWrap/>
            <w:hideMark/>
          </w:tcPr>
          <w:p w14:paraId="2DCCD05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w:t>
            </w:r>
          </w:p>
        </w:tc>
        <w:tc>
          <w:tcPr>
            <w:tcW w:w="0" w:type="auto"/>
          </w:tcPr>
          <w:p w14:paraId="2562622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12%</w:t>
            </w:r>
          </w:p>
        </w:tc>
        <w:tc>
          <w:tcPr>
            <w:tcW w:w="0" w:type="auto"/>
          </w:tcPr>
          <w:p w14:paraId="4A5CD20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13%</w:t>
            </w:r>
          </w:p>
        </w:tc>
        <w:tc>
          <w:tcPr>
            <w:tcW w:w="0" w:type="auto"/>
            <w:tcBorders>
              <w:right w:val="single" w:sz="4" w:space="0" w:color="auto"/>
            </w:tcBorders>
            <w:noWrap/>
            <w:hideMark/>
          </w:tcPr>
          <w:p w14:paraId="65F3330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28%</w:t>
            </w:r>
          </w:p>
        </w:tc>
        <w:tc>
          <w:tcPr>
            <w:tcW w:w="0" w:type="auto"/>
            <w:tcBorders>
              <w:left w:val="single" w:sz="4" w:space="0" w:color="auto"/>
            </w:tcBorders>
            <w:noWrap/>
            <w:hideMark/>
          </w:tcPr>
          <w:p w14:paraId="3DF9B2D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18%</w:t>
            </w:r>
          </w:p>
        </w:tc>
        <w:tc>
          <w:tcPr>
            <w:tcW w:w="0" w:type="auto"/>
          </w:tcPr>
          <w:p w14:paraId="2F4EC264"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36%</w:t>
            </w:r>
          </w:p>
        </w:tc>
        <w:tc>
          <w:tcPr>
            <w:tcW w:w="0" w:type="auto"/>
          </w:tcPr>
          <w:p w14:paraId="7B843976"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36%</w:t>
            </w:r>
          </w:p>
        </w:tc>
        <w:tc>
          <w:tcPr>
            <w:tcW w:w="0" w:type="auto"/>
            <w:tcBorders>
              <w:right w:val="single" w:sz="4" w:space="0" w:color="auto"/>
            </w:tcBorders>
            <w:noWrap/>
            <w:hideMark/>
          </w:tcPr>
          <w:p w14:paraId="1A9D5A7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64%</w:t>
            </w:r>
          </w:p>
        </w:tc>
        <w:tc>
          <w:tcPr>
            <w:tcW w:w="0" w:type="auto"/>
            <w:tcBorders>
              <w:left w:val="single" w:sz="4" w:space="0" w:color="auto"/>
            </w:tcBorders>
            <w:noWrap/>
            <w:hideMark/>
          </w:tcPr>
          <w:p w14:paraId="21A4E8D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44%</w:t>
            </w:r>
          </w:p>
        </w:tc>
        <w:tc>
          <w:tcPr>
            <w:tcW w:w="0" w:type="auto"/>
          </w:tcPr>
          <w:p w14:paraId="4E8556D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58%</w:t>
            </w:r>
          </w:p>
        </w:tc>
        <w:tc>
          <w:tcPr>
            <w:tcW w:w="0" w:type="auto"/>
          </w:tcPr>
          <w:p w14:paraId="6C628FE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67%</w:t>
            </w:r>
          </w:p>
        </w:tc>
        <w:tc>
          <w:tcPr>
            <w:tcW w:w="0" w:type="auto"/>
            <w:noWrap/>
            <w:hideMark/>
          </w:tcPr>
          <w:p w14:paraId="1C36E05E"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88%</w:t>
            </w:r>
          </w:p>
        </w:tc>
      </w:tr>
      <w:tr w:rsidR="001F4DDE" w:rsidRPr="00544780" w14:paraId="5D341228"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E09D24" w14:textId="77777777" w:rsidR="001F4DDE" w:rsidRPr="00544780" w:rsidRDefault="001F4DDE" w:rsidP="001F4DDE">
            <w:pPr>
              <w:rPr>
                <w:color w:val="000000"/>
                <w:sz w:val="18"/>
                <w:szCs w:val="18"/>
              </w:rPr>
            </w:pPr>
            <w:r w:rsidRPr="00544780">
              <w:rPr>
                <w:color w:val="000000"/>
                <w:sz w:val="18"/>
                <w:szCs w:val="18"/>
              </w:rPr>
              <w:t>Turkey</w:t>
            </w:r>
          </w:p>
        </w:tc>
        <w:tc>
          <w:tcPr>
            <w:tcW w:w="0" w:type="auto"/>
            <w:noWrap/>
            <w:hideMark/>
          </w:tcPr>
          <w:p w14:paraId="78F93AE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17%</w:t>
            </w:r>
          </w:p>
        </w:tc>
        <w:tc>
          <w:tcPr>
            <w:tcW w:w="0" w:type="auto"/>
          </w:tcPr>
          <w:p w14:paraId="0C54B8EF"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17%</w:t>
            </w:r>
          </w:p>
        </w:tc>
        <w:tc>
          <w:tcPr>
            <w:tcW w:w="0" w:type="auto"/>
          </w:tcPr>
          <w:p w14:paraId="2947719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27%</w:t>
            </w:r>
          </w:p>
        </w:tc>
        <w:tc>
          <w:tcPr>
            <w:tcW w:w="0" w:type="auto"/>
            <w:tcBorders>
              <w:right w:val="single" w:sz="4" w:space="0" w:color="auto"/>
            </w:tcBorders>
            <w:noWrap/>
            <w:hideMark/>
          </w:tcPr>
          <w:p w14:paraId="34DD22E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42%</w:t>
            </w:r>
          </w:p>
        </w:tc>
        <w:tc>
          <w:tcPr>
            <w:tcW w:w="0" w:type="auto"/>
            <w:tcBorders>
              <w:left w:val="single" w:sz="4" w:space="0" w:color="auto"/>
            </w:tcBorders>
            <w:noWrap/>
            <w:hideMark/>
          </w:tcPr>
          <w:p w14:paraId="2291574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34%</w:t>
            </w:r>
          </w:p>
        </w:tc>
        <w:tc>
          <w:tcPr>
            <w:tcW w:w="0" w:type="auto"/>
          </w:tcPr>
          <w:p w14:paraId="3CCE2AB1"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41%</w:t>
            </w:r>
          </w:p>
        </w:tc>
        <w:tc>
          <w:tcPr>
            <w:tcW w:w="0" w:type="auto"/>
          </w:tcPr>
          <w:p w14:paraId="4C48915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Borders>
              <w:right w:val="single" w:sz="4" w:space="0" w:color="auto"/>
            </w:tcBorders>
            <w:noWrap/>
            <w:hideMark/>
          </w:tcPr>
          <w:p w14:paraId="16FD2DB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c>
          <w:tcPr>
            <w:tcW w:w="0" w:type="auto"/>
            <w:tcBorders>
              <w:left w:val="single" w:sz="4" w:space="0" w:color="auto"/>
            </w:tcBorders>
            <w:noWrap/>
            <w:hideMark/>
          </w:tcPr>
          <w:p w14:paraId="09CFC7A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69%</w:t>
            </w:r>
          </w:p>
        </w:tc>
        <w:tc>
          <w:tcPr>
            <w:tcW w:w="0" w:type="auto"/>
          </w:tcPr>
          <w:p w14:paraId="032A58E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70%</w:t>
            </w:r>
          </w:p>
        </w:tc>
        <w:tc>
          <w:tcPr>
            <w:tcW w:w="0" w:type="auto"/>
          </w:tcPr>
          <w:p w14:paraId="0AA0B77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74%</w:t>
            </w:r>
          </w:p>
        </w:tc>
        <w:tc>
          <w:tcPr>
            <w:tcW w:w="0" w:type="auto"/>
            <w:noWrap/>
            <w:hideMark/>
          </w:tcPr>
          <w:p w14:paraId="52A9F54B"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86%</w:t>
            </w:r>
          </w:p>
        </w:tc>
      </w:tr>
      <w:tr w:rsidR="001F4DDE" w:rsidRPr="00544780" w14:paraId="09D96C87" w14:textId="77777777" w:rsidTr="001F4DDE">
        <w:trPr>
          <w:trHeight w:val="1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A963DF" w14:textId="77777777" w:rsidR="001F4DDE" w:rsidRPr="00544780" w:rsidRDefault="001F4DDE" w:rsidP="001F4DDE">
            <w:pPr>
              <w:rPr>
                <w:color w:val="000000"/>
                <w:sz w:val="18"/>
                <w:szCs w:val="18"/>
              </w:rPr>
            </w:pPr>
            <w:r w:rsidRPr="00544780">
              <w:rPr>
                <w:color w:val="000000"/>
                <w:sz w:val="18"/>
                <w:szCs w:val="18"/>
              </w:rPr>
              <w:t>Average</w:t>
            </w:r>
          </w:p>
        </w:tc>
        <w:tc>
          <w:tcPr>
            <w:tcW w:w="0" w:type="auto"/>
            <w:tcBorders>
              <w:bottom w:val="single" w:sz="12" w:space="0" w:color="000000"/>
            </w:tcBorders>
            <w:noWrap/>
            <w:hideMark/>
          </w:tcPr>
          <w:p w14:paraId="4A692599"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44780">
              <w:rPr>
                <w:bCs/>
                <w:color w:val="000000"/>
                <w:sz w:val="18"/>
                <w:szCs w:val="18"/>
              </w:rPr>
              <w:t>12%</w:t>
            </w:r>
          </w:p>
        </w:tc>
        <w:tc>
          <w:tcPr>
            <w:tcW w:w="0" w:type="auto"/>
            <w:tcBorders>
              <w:bottom w:val="single" w:sz="12" w:space="0" w:color="000000"/>
            </w:tcBorders>
          </w:tcPr>
          <w:p w14:paraId="3ED43247"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19%</w:t>
            </w:r>
          </w:p>
        </w:tc>
        <w:tc>
          <w:tcPr>
            <w:tcW w:w="0" w:type="auto"/>
            <w:tcBorders>
              <w:bottom w:val="single" w:sz="12" w:space="0" w:color="000000"/>
            </w:tcBorders>
          </w:tcPr>
          <w:p w14:paraId="6D99A382"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26%</w:t>
            </w:r>
          </w:p>
        </w:tc>
        <w:tc>
          <w:tcPr>
            <w:tcW w:w="0" w:type="auto"/>
            <w:tcBorders>
              <w:bottom w:val="single" w:sz="12" w:space="0" w:color="000000"/>
              <w:right w:val="single" w:sz="4" w:space="0" w:color="auto"/>
            </w:tcBorders>
            <w:noWrap/>
            <w:hideMark/>
          </w:tcPr>
          <w:p w14:paraId="3A22AAA3"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44780">
              <w:rPr>
                <w:bCs/>
                <w:color w:val="000000"/>
                <w:sz w:val="18"/>
                <w:szCs w:val="18"/>
              </w:rPr>
              <w:t>39%</w:t>
            </w:r>
          </w:p>
        </w:tc>
        <w:tc>
          <w:tcPr>
            <w:tcW w:w="0" w:type="auto"/>
            <w:tcBorders>
              <w:left w:val="single" w:sz="4" w:space="0" w:color="auto"/>
              <w:bottom w:val="single" w:sz="12" w:space="0" w:color="000000"/>
            </w:tcBorders>
            <w:noWrap/>
            <w:hideMark/>
          </w:tcPr>
          <w:p w14:paraId="5EF90528"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44780">
              <w:rPr>
                <w:bCs/>
                <w:color w:val="000000"/>
                <w:sz w:val="18"/>
                <w:szCs w:val="18"/>
              </w:rPr>
              <w:t>38%</w:t>
            </w:r>
          </w:p>
        </w:tc>
        <w:tc>
          <w:tcPr>
            <w:tcW w:w="0" w:type="auto"/>
            <w:tcBorders>
              <w:bottom w:val="single" w:sz="12" w:space="0" w:color="000000"/>
            </w:tcBorders>
          </w:tcPr>
          <w:p w14:paraId="1247B67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52%</w:t>
            </w:r>
          </w:p>
        </w:tc>
        <w:tc>
          <w:tcPr>
            <w:tcW w:w="0" w:type="auto"/>
            <w:tcBorders>
              <w:bottom w:val="single" w:sz="12" w:space="0" w:color="000000"/>
            </w:tcBorders>
          </w:tcPr>
          <w:p w14:paraId="64307C8D"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57%</w:t>
            </w:r>
          </w:p>
        </w:tc>
        <w:tc>
          <w:tcPr>
            <w:tcW w:w="0" w:type="auto"/>
            <w:tcBorders>
              <w:bottom w:val="single" w:sz="12" w:space="0" w:color="000000"/>
              <w:right w:val="single" w:sz="4" w:space="0" w:color="auto"/>
            </w:tcBorders>
            <w:noWrap/>
            <w:hideMark/>
          </w:tcPr>
          <w:p w14:paraId="33270E5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44780">
              <w:rPr>
                <w:bCs/>
                <w:color w:val="000000"/>
                <w:sz w:val="18"/>
                <w:szCs w:val="18"/>
              </w:rPr>
              <w:t>79%</w:t>
            </w:r>
          </w:p>
        </w:tc>
        <w:tc>
          <w:tcPr>
            <w:tcW w:w="0" w:type="auto"/>
            <w:tcBorders>
              <w:left w:val="single" w:sz="4" w:space="0" w:color="auto"/>
            </w:tcBorders>
            <w:noWrap/>
            <w:hideMark/>
          </w:tcPr>
          <w:p w14:paraId="7C5D95F0"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44780">
              <w:rPr>
                <w:bCs/>
                <w:color w:val="000000"/>
                <w:sz w:val="18"/>
                <w:szCs w:val="18"/>
              </w:rPr>
              <w:t>60%</w:t>
            </w:r>
          </w:p>
        </w:tc>
        <w:tc>
          <w:tcPr>
            <w:tcW w:w="0" w:type="auto"/>
          </w:tcPr>
          <w:p w14:paraId="2D4E07D5"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68%</w:t>
            </w:r>
          </w:p>
        </w:tc>
        <w:tc>
          <w:tcPr>
            <w:tcW w:w="0" w:type="auto"/>
          </w:tcPr>
          <w:p w14:paraId="258F42B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544780">
              <w:rPr>
                <w:color w:val="000000"/>
                <w:sz w:val="18"/>
                <w:szCs w:val="18"/>
              </w:rPr>
              <w:t>75%</w:t>
            </w:r>
          </w:p>
        </w:tc>
        <w:tc>
          <w:tcPr>
            <w:tcW w:w="0" w:type="auto"/>
            <w:noWrap/>
            <w:hideMark/>
          </w:tcPr>
          <w:p w14:paraId="03FFDD4C" w14:textId="77777777" w:rsidR="001F4DDE" w:rsidRPr="00544780" w:rsidRDefault="001F4DDE" w:rsidP="001F4DDE">
            <w:pPr>
              <w:jc w:val="right"/>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44780">
              <w:rPr>
                <w:bCs/>
                <w:color w:val="000000"/>
                <w:sz w:val="18"/>
                <w:szCs w:val="18"/>
              </w:rPr>
              <w:t>88%</w:t>
            </w:r>
          </w:p>
        </w:tc>
      </w:tr>
    </w:tbl>
    <w:p w14:paraId="75252831" w14:textId="77777777" w:rsidR="001F4DDE" w:rsidRPr="000E6048" w:rsidRDefault="001F4DDE" w:rsidP="005817F4">
      <w:pPr>
        <w:spacing w:line="240" w:lineRule="auto"/>
        <w:ind w:right="1361"/>
        <w:rPr>
          <w:rFonts w:ascii="Times New Roman" w:hAnsi="Times New Roman"/>
          <w:sz w:val="18"/>
          <w:szCs w:val="18"/>
        </w:rPr>
      </w:pPr>
      <w:r w:rsidRPr="000E6048">
        <w:rPr>
          <w:rFonts w:ascii="Times New Roman" w:hAnsi="Times New Roman"/>
          <w:sz w:val="18"/>
          <w:szCs w:val="18"/>
        </w:rPr>
        <w:t>Notes: This table shows the correlation of each foreig</w:t>
      </w:r>
      <w:r>
        <w:rPr>
          <w:rFonts w:ascii="Times New Roman" w:hAnsi="Times New Roman"/>
          <w:sz w:val="18"/>
          <w:szCs w:val="18"/>
        </w:rPr>
        <w:t>n country index with the domestic firms, and the replicating portfolios D1, D2 and D3 in the 3 sub-periods.</w:t>
      </w:r>
    </w:p>
    <w:p w14:paraId="2D83E600" w14:textId="77777777" w:rsidR="008E6C2C" w:rsidRDefault="008E6C2C" w:rsidP="005817F4">
      <w:pPr>
        <w:pStyle w:val="Caption"/>
        <w:sectPr w:rsidR="008E6C2C" w:rsidSect="008E6C2C">
          <w:pgSz w:w="15840" w:h="12240" w:orient="landscape" w:code="1"/>
          <w:pgMar w:top="1440" w:right="1440" w:bottom="1440" w:left="1440" w:header="709" w:footer="709" w:gutter="0"/>
          <w:cols w:space="708"/>
          <w:docGrid w:linePitch="360"/>
        </w:sectPr>
      </w:pPr>
      <w:bookmarkStart w:id="23" w:name="_Ref377499347"/>
      <w:bookmarkStart w:id="24" w:name="_Toc383428911"/>
    </w:p>
    <w:p w14:paraId="381B4DC4" w14:textId="77777777" w:rsidR="001F4DDE" w:rsidRPr="000E6048" w:rsidRDefault="008E6C2C" w:rsidP="005817F4">
      <w:pPr>
        <w:pStyle w:val="Caption"/>
      </w:pPr>
      <w:bookmarkStart w:id="25" w:name="_Ref384643508"/>
      <w:bookmarkEnd w:id="23"/>
      <w:r>
        <w:lastRenderedPageBreak/>
        <w:t xml:space="preserve">Table </w:t>
      </w:r>
      <w:r w:rsidR="00CD4B7C">
        <w:fldChar w:fldCharType="begin"/>
      </w:r>
      <w:r w:rsidR="00CD4B7C">
        <w:instrText xml:space="preserve"> SEQ Table \* ARABIC </w:instrText>
      </w:r>
      <w:r w:rsidR="00CD4B7C">
        <w:fldChar w:fldCharType="separate"/>
      </w:r>
      <w:r w:rsidR="00A0607E">
        <w:rPr>
          <w:noProof/>
        </w:rPr>
        <w:t>9</w:t>
      </w:r>
      <w:r w:rsidR="00CD4B7C">
        <w:rPr>
          <w:noProof/>
        </w:rPr>
        <w:fldChar w:fldCharType="end"/>
      </w:r>
      <w:bookmarkEnd w:id="25"/>
      <w:r>
        <w:t xml:space="preserve"> </w:t>
      </w:r>
      <w:r w:rsidR="001F4DDE" w:rsidRPr="000E6048">
        <w:t>Risk-adjusted return for sub-periods</w:t>
      </w:r>
      <w:bookmarkEnd w:id="24"/>
    </w:p>
    <w:tbl>
      <w:tblPr>
        <w:tblStyle w:val="TableClassic1"/>
        <w:tblW w:w="0" w:type="auto"/>
        <w:tblLook w:val="06A0" w:firstRow="1" w:lastRow="0" w:firstColumn="1" w:lastColumn="0" w:noHBand="1" w:noVBand="1"/>
      </w:tblPr>
      <w:tblGrid>
        <w:gridCol w:w="1474"/>
        <w:gridCol w:w="1243"/>
        <w:gridCol w:w="550"/>
        <w:gridCol w:w="550"/>
        <w:gridCol w:w="550"/>
        <w:gridCol w:w="1265"/>
        <w:gridCol w:w="505"/>
        <w:gridCol w:w="505"/>
        <w:gridCol w:w="1659"/>
        <w:gridCol w:w="1630"/>
        <w:gridCol w:w="1064"/>
        <w:gridCol w:w="1139"/>
        <w:gridCol w:w="591"/>
      </w:tblGrid>
      <w:tr w:rsidR="001F4DDE" w:rsidRPr="004C37CB" w14:paraId="0136D1D2" w14:textId="77777777" w:rsidTr="001F4D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0A8321C9" w14:textId="77777777" w:rsidR="001F4DDE" w:rsidRPr="004C37CB" w:rsidRDefault="00DC70AA" w:rsidP="001F4DDE">
            <w:pPr>
              <w:jc w:val="center"/>
              <w:rPr>
                <w:color w:val="000000"/>
                <w:sz w:val="16"/>
                <w:szCs w:val="16"/>
              </w:rPr>
            </w:pPr>
            <w:r>
              <w:rPr>
                <w:color w:val="000000"/>
                <w:sz w:val="16"/>
                <w:szCs w:val="16"/>
              </w:rPr>
              <w:t>1996-2002</w:t>
            </w:r>
          </w:p>
        </w:tc>
        <w:tc>
          <w:tcPr>
            <w:tcW w:w="3934" w:type="dxa"/>
            <w:gridSpan w:val="4"/>
            <w:tcBorders>
              <w:top w:val="single" w:sz="12" w:space="0" w:color="000000"/>
              <w:right w:val="single" w:sz="4" w:space="0" w:color="auto"/>
            </w:tcBorders>
          </w:tcPr>
          <w:p w14:paraId="63B3DDBB" w14:textId="77777777" w:rsidR="001F4DDE" w:rsidRPr="004C37CB"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2003-2007</w:t>
            </w:r>
          </w:p>
        </w:tc>
        <w:tc>
          <w:tcPr>
            <w:tcW w:w="4424" w:type="dxa"/>
            <w:gridSpan w:val="4"/>
            <w:tcBorders>
              <w:left w:val="single" w:sz="4" w:space="0" w:color="auto"/>
            </w:tcBorders>
          </w:tcPr>
          <w:p w14:paraId="064E343E" w14:textId="77777777" w:rsidR="001F4DDE" w:rsidRPr="004C37CB" w:rsidRDefault="00DC70AA" w:rsidP="001F4DDE">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2008-2011</w:t>
            </w:r>
          </w:p>
        </w:tc>
      </w:tr>
      <w:tr w:rsidR="001F4DDE" w:rsidRPr="004C37CB" w14:paraId="41624E2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1C079C" w14:textId="77777777" w:rsidR="001F4DDE" w:rsidRPr="004C37CB" w:rsidRDefault="001F4DDE" w:rsidP="001F4DDE">
            <w:pPr>
              <w:jc w:val="center"/>
              <w:rPr>
                <w:color w:val="000000"/>
                <w:sz w:val="16"/>
                <w:szCs w:val="16"/>
              </w:rPr>
            </w:pPr>
            <w:r>
              <w:rPr>
                <w:color w:val="000000"/>
                <w:sz w:val="16"/>
                <w:szCs w:val="16"/>
              </w:rPr>
              <w:t>Developed Markets</w:t>
            </w:r>
          </w:p>
        </w:tc>
        <w:tc>
          <w:tcPr>
            <w:tcW w:w="0" w:type="auto"/>
            <w:tcBorders>
              <w:top w:val="nil"/>
              <w:bottom w:val="nil"/>
            </w:tcBorders>
          </w:tcPr>
          <w:p w14:paraId="615CA67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Country Indices</w:t>
            </w:r>
          </w:p>
        </w:tc>
        <w:tc>
          <w:tcPr>
            <w:tcW w:w="0" w:type="auto"/>
            <w:tcBorders>
              <w:top w:val="nil"/>
              <w:bottom w:val="nil"/>
            </w:tcBorders>
          </w:tcPr>
          <w:p w14:paraId="3A6C054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D1</w:t>
            </w:r>
          </w:p>
        </w:tc>
        <w:tc>
          <w:tcPr>
            <w:tcW w:w="0" w:type="auto"/>
            <w:tcBorders>
              <w:top w:val="nil"/>
              <w:bottom w:val="nil"/>
            </w:tcBorders>
          </w:tcPr>
          <w:p w14:paraId="5D14551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D2</w:t>
            </w:r>
          </w:p>
        </w:tc>
        <w:tc>
          <w:tcPr>
            <w:tcW w:w="0" w:type="auto"/>
            <w:tcBorders>
              <w:top w:val="nil"/>
              <w:bottom w:val="nil"/>
              <w:right w:val="single" w:sz="4" w:space="0" w:color="auto"/>
            </w:tcBorders>
            <w:noWrap/>
            <w:hideMark/>
          </w:tcPr>
          <w:p w14:paraId="7011C97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D3</w:t>
            </w:r>
          </w:p>
        </w:tc>
        <w:tc>
          <w:tcPr>
            <w:tcW w:w="0" w:type="auto"/>
            <w:tcBorders>
              <w:left w:val="single" w:sz="4" w:space="0" w:color="auto"/>
            </w:tcBorders>
            <w:noWrap/>
            <w:hideMark/>
          </w:tcPr>
          <w:p w14:paraId="756BDB0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Country Indices</w:t>
            </w:r>
          </w:p>
        </w:tc>
        <w:tc>
          <w:tcPr>
            <w:tcW w:w="0" w:type="auto"/>
          </w:tcPr>
          <w:p w14:paraId="45BFCB0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D1</w:t>
            </w:r>
          </w:p>
        </w:tc>
        <w:tc>
          <w:tcPr>
            <w:tcW w:w="0" w:type="auto"/>
          </w:tcPr>
          <w:p w14:paraId="69DDB49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D2</w:t>
            </w:r>
          </w:p>
        </w:tc>
        <w:tc>
          <w:tcPr>
            <w:tcW w:w="1630" w:type="dxa"/>
            <w:tcBorders>
              <w:right w:val="single" w:sz="4" w:space="0" w:color="auto"/>
            </w:tcBorders>
            <w:noWrap/>
            <w:hideMark/>
          </w:tcPr>
          <w:p w14:paraId="79671E1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D3</w:t>
            </w:r>
          </w:p>
        </w:tc>
        <w:tc>
          <w:tcPr>
            <w:tcW w:w="1630" w:type="dxa"/>
            <w:tcBorders>
              <w:left w:val="single" w:sz="4" w:space="0" w:color="auto"/>
            </w:tcBorders>
            <w:noWrap/>
            <w:hideMark/>
          </w:tcPr>
          <w:p w14:paraId="03FB1D0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Country Indices</w:t>
            </w:r>
          </w:p>
        </w:tc>
        <w:tc>
          <w:tcPr>
            <w:tcW w:w="1064" w:type="dxa"/>
          </w:tcPr>
          <w:p w14:paraId="5395249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D1</w:t>
            </w:r>
          </w:p>
        </w:tc>
        <w:tc>
          <w:tcPr>
            <w:tcW w:w="1139" w:type="dxa"/>
          </w:tcPr>
          <w:p w14:paraId="1BAA155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D2</w:t>
            </w:r>
          </w:p>
        </w:tc>
        <w:tc>
          <w:tcPr>
            <w:tcW w:w="0" w:type="auto"/>
            <w:noWrap/>
            <w:hideMark/>
          </w:tcPr>
          <w:p w14:paraId="67018BE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D3</w:t>
            </w:r>
          </w:p>
        </w:tc>
      </w:tr>
      <w:tr w:rsidR="001F4DDE" w:rsidRPr="004C37CB" w14:paraId="35BE9B4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5D1172" w14:textId="77777777" w:rsidR="001F4DDE" w:rsidRPr="004C37CB" w:rsidRDefault="001F4DDE" w:rsidP="001F4DDE">
            <w:pPr>
              <w:jc w:val="center"/>
              <w:rPr>
                <w:color w:val="000000"/>
                <w:sz w:val="16"/>
                <w:szCs w:val="16"/>
              </w:rPr>
            </w:pPr>
            <w:r w:rsidRPr="004C37CB">
              <w:rPr>
                <w:color w:val="000000"/>
                <w:sz w:val="16"/>
                <w:szCs w:val="16"/>
              </w:rPr>
              <w:t>Argentina</w:t>
            </w:r>
          </w:p>
        </w:tc>
        <w:tc>
          <w:tcPr>
            <w:tcW w:w="0" w:type="auto"/>
            <w:tcBorders>
              <w:top w:val="nil"/>
              <w:bottom w:val="nil"/>
            </w:tcBorders>
            <w:noWrap/>
            <w:hideMark/>
          </w:tcPr>
          <w:p w14:paraId="5473361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-0.27</w:t>
            </w:r>
          </w:p>
        </w:tc>
        <w:tc>
          <w:tcPr>
            <w:tcW w:w="0" w:type="auto"/>
            <w:tcBorders>
              <w:top w:val="nil"/>
              <w:bottom w:val="nil"/>
            </w:tcBorders>
          </w:tcPr>
          <w:p w14:paraId="62EF6EA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-1.66</w:t>
            </w:r>
          </w:p>
        </w:tc>
        <w:tc>
          <w:tcPr>
            <w:tcW w:w="0" w:type="auto"/>
            <w:tcBorders>
              <w:top w:val="nil"/>
              <w:bottom w:val="nil"/>
            </w:tcBorders>
          </w:tcPr>
          <w:p w14:paraId="16756D3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-1.35</w:t>
            </w:r>
          </w:p>
        </w:tc>
        <w:tc>
          <w:tcPr>
            <w:tcW w:w="0" w:type="auto"/>
            <w:tcBorders>
              <w:top w:val="nil"/>
              <w:bottom w:val="nil"/>
              <w:right w:val="single" w:sz="4" w:space="0" w:color="auto"/>
            </w:tcBorders>
            <w:noWrap/>
            <w:hideMark/>
          </w:tcPr>
          <w:p w14:paraId="31EAA6D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-0.71</w:t>
            </w:r>
          </w:p>
        </w:tc>
        <w:tc>
          <w:tcPr>
            <w:tcW w:w="0" w:type="auto"/>
            <w:tcBorders>
              <w:left w:val="single" w:sz="4" w:space="0" w:color="auto"/>
            </w:tcBorders>
            <w:noWrap/>
            <w:hideMark/>
          </w:tcPr>
          <w:p w14:paraId="120EC51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1.38</w:t>
            </w:r>
          </w:p>
        </w:tc>
        <w:tc>
          <w:tcPr>
            <w:tcW w:w="0" w:type="auto"/>
          </w:tcPr>
          <w:p w14:paraId="5BAB03E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2.44</w:t>
            </w:r>
          </w:p>
        </w:tc>
        <w:tc>
          <w:tcPr>
            <w:tcW w:w="0" w:type="auto"/>
          </w:tcPr>
          <w:p w14:paraId="4AC18FE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2.39</w:t>
            </w:r>
          </w:p>
        </w:tc>
        <w:tc>
          <w:tcPr>
            <w:tcW w:w="1630" w:type="dxa"/>
            <w:tcBorders>
              <w:right w:val="single" w:sz="4" w:space="0" w:color="auto"/>
            </w:tcBorders>
            <w:noWrap/>
            <w:hideMark/>
          </w:tcPr>
          <w:p w14:paraId="7EB9983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1.75</w:t>
            </w:r>
          </w:p>
        </w:tc>
        <w:tc>
          <w:tcPr>
            <w:tcW w:w="1630" w:type="dxa"/>
            <w:tcBorders>
              <w:left w:val="single" w:sz="4" w:space="0" w:color="auto"/>
            </w:tcBorders>
            <w:noWrap/>
            <w:hideMark/>
          </w:tcPr>
          <w:p w14:paraId="3111118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064" w:type="dxa"/>
          </w:tcPr>
          <w:p w14:paraId="76DB486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1139" w:type="dxa"/>
          </w:tcPr>
          <w:p w14:paraId="5576879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noWrap/>
            <w:hideMark/>
          </w:tcPr>
          <w:p w14:paraId="3F3D825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r>
      <w:tr w:rsidR="001F4DDE" w:rsidRPr="004C37CB" w14:paraId="4FFF24D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56B6F2" w14:textId="77777777" w:rsidR="001F4DDE" w:rsidRPr="004C37CB" w:rsidRDefault="001F4DDE" w:rsidP="001F4DDE">
            <w:pPr>
              <w:jc w:val="center"/>
              <w:rPr>
                <w:color w:val="000000"/>
                <w:sz w:val="16"/>
                <w:szCs w:val="16"/>
              </w:rPr>
            </w:pPr>
            <w:r w:rsidRPr="004C37CB">
              <w:rPr>
                <w:color w:val="000000"/>
                <w:sz w:val="16"/>
                <w:szCs w:val="16"/>
              </w:rPr>
              <w:t>Australia</w:t>
            </w:r>
          </w:p>
        </w:tc>
        <w:tc>
          <w:tcPr>
            <w:tcW w:w="0" w:type="auto"/>
            <w:tcBorders>
              <w:top w:val="nil"/>
              <w:bottom w:val="nil"/>
            </w:tcBorders>
            <w:noWrap/>
            <w:hideMark/>
          </w:tcPr>
          <w:p w14:paraId="55B553C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0" w:type="auto"/>
            <w:tcBorders>
              <w:top w:val="nil"/>
              <w:bottom w:val="nil"/>
            </w:tcBorders>
          </w:tcPr>
          <w:p w14:paraId="285CE34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0.32</w:t>
            </w:r>
          </w:p>
        </w:tc>
        <w:tc>
          <w:tcPr>
            <w:tcW w:w="0" w:type="auto"/>
            <w:tcBorders>
              <w:top w:val="nil"/>
              <w:bottom w:val="nil"/>
            </w:tcBorders>
          </w:tcPr>
          <w:p w14:paraId="0E87BB5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0.30</w:t>
            </w:r>
          </w:p>
        </w:tc>
        <w:tc>
          <w:tcPr>
            <w:tcW w:w="0" w:type="auto"/>
            <w:tcBorders>
              <w:top w:val="nil"/>
              <w:bottom w:val="nil"/>
              <w:right w:val="single" w:sz="4" w:space="0" w:color="auto"/>
            </w:tcBorders>
            <w:noWrap/>
            <w:hideMark/>
          </w:tcPr>
          <w:p w14:paraId="0829BF7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0.20</w:t>
            </w:r>
          </w:p>
        </w:tc>
        <w:tc>
          <w:tcPr>
            <w:tcW w:w="0" w:type="auto"/>
            <w:tcBorders>
              <w:left w:val="single" w:sz="4" w:space="0" w:color="auto"/>
            </w:tcBorders>
            <w:noWrap/>
            <w:hideMark/>
          </w:tcPr>
          <w:p w14:paraId="44A2CBB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1.62</w:t>
            </w:r>
          </w:p>
        </w:tc>
        <w:tc>
          <w:tcPr>
            <w:tcW w:w="0" w:type="auto"/>
          </w:tcPr>
          <w:p w14:paraId="346DE7A6" w14:textId="77777777" w:rsidR="001F4DDE" w:rsidRPr="004C37CB" w:rsidRDefault="001F4DDE" w:rsidP="001F4DDE">
            <w:pP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1.14</w:t>
            </w:r>
          </w:p>
        </w:tc>
        <w:tc>
          <w:tcPr>
            <w:tcW w:w="0" w:type="auto"/>
          </w:tcPr>
          <w:p w14:paraId="775C9FA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1.00</w:t>
            </w:r>
          </w:p>
        </w:tc>
        <w:tc>
          <w:tcPr>
            <w:tcW w:w="1630" w:type="dxa"/>
            <w:tcBorders>
              <w:right w:val="single" w:sz="4" w:space="0" w:color="auto"/>
            </w:tcBorders>
            <w:noWrap/>
            <w:hideMark/>
          </w:tcPr>
          <w:p w14:paraId="3766778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1.42</w:t>
            </w:r>
          </w:p>
        </w:tc>
        <w:tc>
          <w:tcPr>
            <w:tcW w:w="1630" w:type="dxa"/>
            <w:tcBorders>
              <w:left w:val="single" w:sz="4" w:space="0" w:color="auto"/>
            </w:tcBorders>
            <w:noWrap/>
            <w:hideMark/>
          </w:tcPr>
          <w:p w14:paraId="710555F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1064" w:type="dxa"/>
          </w:tcPr>
          <w:p w14:paraId="74C05E6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1139" w:type="dxa"/>
          </w:tcPr>
          <w:p w14:paraId="12F204D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0" w:type="auto"/>
            <w:noWrap/>
            <w:hideMark/>
          </w:tcPr>
          <w:p w14:paraId="69B1405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r>
      <w:tr w:rsidR="001F4DDE" w:rsidRPr="004C37CB" w14:paraId="0F51F4B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3481DB" w14:textId="77777777" w:rsidR="001F4DDE" w:rsidRPr="004C37CB" w:rsidRDefault="001F4DDE" w:rsidP="001F4DDE">
            <w:pPr>
              <w:jc w:val="center"/>
              <w:rPr>
                <w:color w:val="000000"/>
                <w:sz w:val="16"/>
                <w:szCs w:val="16"/>
              </w:rPr>
            </w:pPr>
            <w:r w:rsidRPr="004C37CB">
              <w:rPr>
                <w:color w:val="000000"/>
                <w:sz w:val="16"/>
                <w:szCs w:val="16"/>
              </w:rPr>
              <w:t>Austria</w:t>
            </w:r>
          </w:p>
        </w:tc>
        <w:tc>
          <w:tcPr>
            <w:tcW w:w="0" w:type="auto"/>
            <w:tcBorders>
              <w:top w:val="nil"/>
              <w:bottom w:val="nil"/>
            </w:tcBorders>
            <w:noWrap/>
            <w:hideMark/>
          </w:tcPr>
          <w:p w14:paraId="1B6661D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0" w:type="auto"/>
            <w:tcBorders>
              <w:top w:val="nil"/>
              <w:bottom w:val="nil"/>
            </w:tcBorders>
          </w:tcPr>
          <w:p w14:paraId="41C3255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-0.38</w:t>
            </w:r>
          </w:p>
        </w:tc>
        <w:tc>
          <w:tcPr>
            <w:tcW w:w="0" w:type="auto"/>
            <w:tcBorders>
              <w:top w:val="nil"/>
              <w:bottom w:val="nil"/>
            </w:tcBorders>
          </w:tcPr>
          <w:p w14:paraId="767BED4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-0.38</w:t>
            </w:r>
          </w:p>
        </w:tc>
        <w:tc>
          <w:tcPr>
            <w:tcW w:w="0" w:type="auto"/>
            <w:tcBorders>
              <w:top w:val="nil"/>
              <w:bottom w:val="nil"/>
              <w:right w:val="single" w:sz="4" w:space="0" w:color="auto"/>
            </w:tcBorders>
            <w:noWrap/>
            <w:hideMark/>
          </w:tcPr>
          <w:p w14:paraId="0B4A3D2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-1.34</w:t>
            </w:r>
          </w:p>
        </w:tc>
        <w:tc>
          <w:tcPr>
            <w:tcW w:w="0" w:type="auto"/>
            <w:tcBorders>
              <w:left w:val="single" w:sz="4" w:space="0" w:color="auto"/>
            </w:tcBorders>
            <w:noWrap/>
            <w:hideMark/>
          </w:tcPr>
          <w:p w14:paraId="3A19710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1.66</w:t>
            </w:r>
          </w:p>
        </w:tc>
        <w:tc>
          <w:tcPr>
            <w:tcW w:w="0" w:type="auto"/>
          </w:tcPr>
          <w:p w14:paraId="7D116A7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1.32</w:t>
            </w:r>
          </w:p>
        </w:tc>
        <w:tc>
          <w:tcPr>
            <w:tcW w:w="0" w:type="auto"/>
          </w:tcPr>
          <w:p w14:paraId="202F148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1.52</w:t>
            </w:r>
          </w:p>
        </w:tc>
        <w:tc>
          <w:tcPr>
            <w:tcW w:w="1630" w:type="dxa"/>
            <w:tcBorders>
              <w:right w:val="single" w:sz="4" w:space="0" w:color="auto"/>
            </w:tcBorders>
            <w:noWrap/>
            <w:hideMark/>
          </w:tcPr>
          <w:p w14:paraId="493448A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1.49</w:t>
            </w:r>
          </w:p>
        </w:tc>
        <w:tc>
          <w:tcPr>
            <w:tcW w:w="1630" w:type="dxa"/>
            <w:tcBorders>
              <w:left w:val="single" w:sz="4" w:space="0" w:color="auto"/>
            </w:tcBorders>
            <w:noWrap/>
            <w:hideMark/>
          </w:tcPr>
          <w:p w14:paraId="75D409E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-0.42</w:t>
            </w:r>
          </w:p>
        </w:tc>
        <w:tc>
          <w:tcPr>
            <w:tcW w:w="1064" w:type="dxa"/>
          </w:tcPr>
          <w:p w14:paraId="628DD27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-0.54</w:t>
            </w:r>
          </w:p>
        </w:tc>
        <w:tc>
          <w:tcPr>
            <w:tcW w:w="1139" w:type="dxa"/>
          </w:tcPr>
          <w:p w14:paraId="75CF10F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-0.50</w:t>
            </w:r>
          </w:p>
        </w:tc>
        <w:tc>
          <w:tcPr>
            <w:tcW w:w="0" w:type="auto"/>
            <w:noWrap/>
            <w:hideMark/>
          </w:tcPr>
          <w:p w14:paraId="23C9C9D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-0.44</w:t>
            </w:r>
          </w:p>
        </w:tc>
      </w:tr>
      <w:tr w:rsidR="001F4DDE" w:rsidRPr="004C37CB" w14:paraId="5CAF85B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2694C8" w14:textId="77777777" w:rsidR="001F4DDE" w:rsidRPr="004C37CB" w:rsidRDefault="001F4DDE" w:rsidP="001F4DDE">
            <w:pPr>
              <w:jc w:val="center"/>
              <w:rPr>
                <w:color w:val="000000"/>
                <w:sz w:val="16"/>
                <w:szCs w:val="16"/>
              </w:rPr>
            </w:pPr>
            <w:r w:rsidRPr="004C37CB">
              <w:rPr>
                <w:color w:val="000000"/>
                <w:sz w:val="16"/>
                <w:szCs w:val="16"/>
              </w:rPr>
              <w:t>Belgium</w:t>
            </w:r>
          </w:p>
        </w:tc>
        <w:tc>
          <w:tcPr>
            <w:tcW w:w="0" w:type="auto"/>
            <w:tcBorders>
              <w:top w:val="nil"/>
              <w:bottom w:val="nil"/>
            </w:tcBorders>
            <w:noWrap/>
            <w:hideMark/>
          </w:tcPr>
          <w:p w14:paraId="2126973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0" w:type="auto"/>
            <w:tcBorders>
              <w:top w:val="nil"/>
              <w:bottom w:val="nil"/>
            </w:tcBorders>
          </w:tcPr>
          <w:p w14:paraId="6085168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0.24</w:t>
            </w:r>
          </w:p>
        </w:tc>
        <w:tc>
          <w:tcPr>
            <w:tcW w:w="0" w:type="auto"/>
            <w:tcBorders>
              <w:top w:val="nil"/>
              <w:bottom w:val="nil"/>
            </w:tcBorders>
          </w:tcPr>
          <w:p w14:paraId="6CBD9C7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0.30</w:t>
            </w:r>
          </w:p>
        </w:tc>
        <w:tc>
          <w:tcPr>
            <w:tcW w:w="0" w:type="auto"/>
            <w:tcBorders>
              <w:top w:val="nil"/>
              <w:bottom w:val="nil"/>
              <w:right w:val="single" w:sz="4" w:space="0" w:color="auto"/>
            </w:tcBorders>
            <w:noWrap/>
            <w:hideMark/>
          </w:tcPr>
          <w:p w14:paraId="4129861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0.05</w:t>
            </w:r>
          </w:p>
        </w:tc>
        <w:tc>
          <w:tcPr>
            <w:tcW w:w="0" w:type="auto"/>
            <w:tcBorders>
              <w:left w:val="single" w:sz="4" w:space="0" w:color="auto"/>
            </w:tcBorders>
            <w:noWrap/>
            <w:hideMark/>
          </w:tcPr>
          <w:p w14:paraId="710AAF3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1.36</w:t>
            </w:r>
          </w:p>
        </w:tc>
        <w:tc>
          <w:tcPr>
            <w:tcW w:w="0" w:type="auto"/>
          </w:tcPr>
          <w:p w14:paraId="41F0E96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0.85</w:t>
            </w:r>
          </w:p>
        </w:tc>
        <w:tc>
          <w:tcPr>
            <w:tcW w:w="0" w:type="auto"/>
          </w:tcPr>
          <w:p w14:paraId="5236401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0.97</w:t>
            </w:r>
          </w:p>
        </w:tc>
        <w:tc>
          <w:tcPr>
            <w:tcW w:w="1630" w:type="dxa"/>
            <w:tcBorders>
              <w:right w:val="single" w:sz="4" w:space="0" w:color="auto"/>
            </w:tcBorders>
            <w:noWrap/>
            <w:hideMark/>
          </w:tcPr>
          <w:p w14:paraId="0646D83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1.31</w:t>
            </w:r>
          </w:p>
        </w:tc>
        <w:tc>
          <w:tcPr>
            <w:tcW w:w="1630" w:type="dxa"/>
            <w:tcBorders>
              <w:left w:val="single" w:sz="4" w:space="0" w:color="auto"/>
            </w:tcBorders>
            <w:noWrap/>
            <w:hideMark/>
          </w:tcPr>
          <w:p w14:paraId="66E10EC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-0.47</w:t>
            </w:r>
          </w:p>
        </w:tc>
        <w:tc>
          <w:tcPr>
            <w:tcW w:w="1064" w:type="dxa"/>
          </w:tcPr>
          <w:p w14:paraId="63015BA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1139" w:type="dxa"/>
          </w:tcPr>
          <w:p w14:paraId="46263B0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c>
          <w:tcPr>
            <w:tcW w:w="0" w:type="auto"/>
            <w:noWrap/>
            <w:hideMark/>
          </w:tcPr>
          <w:p w14:paraId="43B39D8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r>
      <w:tr w:rsidR="001F4DDE" w:rsidRPr="004C37CB" w14:paraId="31D0DE5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AA4587" w14:textId="77777777" w:rsidR="001F4DDE" w:rsidRPr="004C37CB" w:rsidRDefault="001F4DDE" w:rsidP="001F4DDE">
            <w:pPr>
              <w:jc w:val="center"/>
              <w:rPr>
                <w:color w:val="000000"/>
                <w:sz w:val="16"/>
                <w:szCs w:val="16"/>
              </w:rPr>
            </w:pPr>
            <w:r w:rsidRPr="004C37CB">
              <w:rPr>
                <w:color w:val="000000"/>
                <w:sz w:val="16"/>
                <w:szCs w:val="16"/>
              </w:rPr>
              <w:t>Canada</w:t>
            </w:r>
          </w:p>
        </w:tc>
        <w:tc>
          <w:tcPr>
            <w:tcW w:w="0" w:type="auto"/>
            <w:tcBorders>
              <w:top w:val="nil"/>
              <w:bottom w:val="nil"/>
            </w:tcBorders>
            <w:noWrap/>
            <w:hideMark/>
          </w:tcPr>
          <w:p w14:paraId="233A29C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0.29</w:t>
            </w:r>
          </w:p>
        </w:tc>
        <w:tc>
          <w:tcPr>
            <w:tcW w:w="0" w:type="auto"/>
            <w:tcBorders>
              <w:top w:val="nil"/>
              <w:bottom w:val="nil"/>
            </w:tcBorders>
          </w:tcPr>
          <w:p w14:paraId="09619A0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0.21</w:t>
            </w:r>
          </w:p>
        </w:tc>
        <w:tc>
          <w:tcPr>
            <w:tcW w:w="0" w:type="auto"/>
            <w:tcBorders>
              <w:top w:val="nil"/>
              <w:bottom w:val="nil"/>
            </w:tcBorders>
          </w:tcPr>
          <w:p w14:paraId="005FA7A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0.33</w:t>
            </w:r>
          </w:p>
        </w:tc>
        <w:tc>
          <w:tcPr>
            <w:tcW w:w="0" w:type="auto"/>
            <w:tcBorders>
              <w:top w:val="nil"/>
              <w:bottom w:val="nil"/>
              <w:right w:val="single" w:sz="4" w:space="0" w:color="auto"/>
            </w:tcBorders>
            <w:noWrap/>
            <w:hideMark/>
          </w:tcPr>
          <w:p w14:paraId="70AED38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0.43</w:t>
            </w:r>
          </w:p>
        </w:tc>
        <w:tc>
          <w:tcPr>
            <w:tcW w:w="0" w:type="auto"/>
            <w:tcBorders>
              <w:left w:val="single" w:sz="4" w:space="0" w:color="auto"/>
            </w:tcBorders>
            <w:noWrap/>
            <w:hideMark/>
          </w:tcPr>
          <w:p w14:paraId="7DF6E96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1.69</w:t>
            </w:r>
          </w:p>
        </w:tc>
        <w:tc>
          <w:tcPr>
            <w:tcW w:w="0" w:type="auto"/>
          </w:tcPr>
          <w:p w14:paraId="0464A4D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1.22</w:t>
            </w:r>
          </w:p>
        </w:tc>
        <w:tc>
          <w:tcPr>
            <w:tcW w:w="0" w:type="auto"/>
          </w:tcPr>
          <w:p w14:paraId="24142A7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1.28</w:t>
            </w:r>
          </w:p>
        </w:tc>
        <w:tc>
          <w:tcPr>
            <w:tcW w:w="1630" w:type="dxa"/>
            <w:tcBorders>
              <w:right w:val="single" w:sz="4" w:space="0" w:color="auto"/>
            </w:tcBorders>
            <w:noWrap/>
            <w:hideMark/>
          </w:tcPr>
          <w:p w14:paraId="34ADDBB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1.56</w:t>
            </w:r>
          </w:p>
        </w:tc>
        <w:tc>
          <w:tcPr>
            <w:tcW w:w="1630" w:type="dxa"/>
            <w:tcBorders>
              <w:left w:val="single" w:sz="4" w:space="0" w:color="auto"/>
            </w:tcBorders>
            <w:noWrap/>
            <w:hideMark/>
          </w:tcPr>
          <w:p w14:paraId="0CD2D61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1064" w:type="dxa"/>
          </w:tcPr>
          <w:p w14:paraId="0F6B3B2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1139" w:type="dxa"/>
          </w:tcPr>
          <w:p w14:paraId="1FC9B72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-0.26</w:t>
            </w:r>
          </w:p>
        </w:tc>
        <w:tc>
          <w:tcPr>
            <w:tcW w:w="0" w:type="auto"/>
            <w:noWrap/>
            <w:hideMark/>
          </w:tcPr>
          <w:p w14:paraId="1884983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r>
      <w:tr w:rsidR="001F4DDE" w:rsidRPr="004C37CB" w14:paraId="63A67E6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EE46FC" w14:textId="77777777" w:rsidR="001F4DDE" w:rsidRPr="004C37CB" w:rsidRDefault="001F4DDE" w:rsidP="001F4DDE">
            <w:pPr>
              <w:jc w:val="center"/>
              <w:rPr>
                <w:color w:val="000000"/>
                <w:sz w:val="16"/>
                <w:szCs w:val="16"/>
              </w:rPr>
            </w:pPr>
            <w:r w:rsidRPr="004C37CB">
              <w:rPr>
                <w:color w:val="000000"/>
                <w:sz w:val="16"/>
                <w:szCs w:val="16"/>
              </w:rPr>
              <w:t>Denmark</w:t>
            </w:r>
          </w:p>
        </w:tc>
        <w:tc>
          <w:tcPr>
            <w:tcW w:w="0" w:type="auto"/>
            <w:tcBorders>
              <w:top w:val="nil"/>
              <w:bottom w:val="nil"/>
            </w:tcBorders>
            <w:noWrap/>
            <w:hideMark/>
          </w:tcPr>
          <w:p w14:paraId="3425FEC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0.27</w:t>
            </w:r>
          </w:p>
        </w:tc>
        <w:tc>
          <w:tcPr>
            <w:tcW w:w="0" w:type="auto"/>
            <w:tcBorders>
              <w:top w:val="nil"/>
              <w:bottom w:val="nil"/>
            </w:tcBorders>
          </w:tcPr>
          <w:p w14:paraId="30ACBC5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0" w:type="auto"/>
            <w:tcBorders>
              <w:top w:val="nil"/>
              <w:bottom w:val="nil"/>
            </w:tcBorders>
          </w:tcPr>
          <w:p w14:paraId="6DC316F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0" w:type="auto"/>
            <w:tcBorders>
              <w:top w:val="nil"/>
              <w:bottom w:val="nil"/>
              <w:right w:val="single" w:sz="4" w:space="0" w:color="auto"/>
            </w:tcBorders>
            <w:noWrap/>
            <w:hideMark/>
          </w:tcPr>
          <w:p w14:paraId="70552A7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0.37</w:t>
            </w:r>
          </w:p>
        </w:tc>
        <w:tc>
          <w:tcPr>
            <w:tcW w:w="0" w:type="auto"/>
            <w:tcBorders>
              <w:left w:val="single" w:sz="4" w:space="0" w:color="auto"/>
            </w:tcBorders>
            <w:noWrap/>
            <w:hideMark/>
          </w:tcPr>
          <w:p w14:paraId="0E4B198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1.76</w:t>
            </w:r>
          </w:p>
        </w:tc>
        <w:tc>
          <w:tcPr>
            <w:tcW w:w="0" w:type="auto"/>
          </w:tcPr>
          <w:p w14:paraId="721F4B7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1.37</w:t>
            </w:r>
          </w:p>
        </w:tc>
        <w:tc>
          <w:tcPr>
            <w:tcW w:w="0" w:type="auto"/>
          </w:tcPr>
          <w:p w14:paraId="359E5AD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1.26</w:t>
            </w:r>
          </w:p>
        </w:tc>
        <w:tc>
          <w:tcPr>
            <w:tcW w:w="1630" w:type="dxa"/>
            <w:tcBorders>
              <w:right w:val="single" w:sz="4" w:space="0" w:color="auto"/>
            </w:tcBorders>
            <w:noWrap/>
            <w:hideMark/>
          </w:tcPr>
          <w:p w14:paraId="170F987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1.50</w:t>
            </w:r>
          </w:p>
        </w:tc>
        <w:tc>
          <w:tcPr>
            <w:tcW w:w="1630" w:type="dxa"/>
            <w:tcBorders>
              <w:left w:val="single" w:sz="4" w:space="0" w:color="auto"/>
            </w:tcBorders>
            <w:noWrap/>
            <w:hideMark/>
          </w:tcPr>
          <w:p w14:paraId="4C59B79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1064" w:type="dxa"/>
          </w:tcPr>
          <w:p w14:paraId="28E5274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c>
          <w:tcPr>
            <w:tcW w:w="1139" w:type="dxa"/>
          </w:tcPr>
          <w:p w14:paraId="7A2169B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noWrap/>
            <w:hideMark/>
          </w:tcPr>
          <w:p w14:paraId="6EE1B34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0.29</w:t>
            </w:r>
          </w:p>
        </w:tc>
      </w:tr>
      <w:tr w:rsidR="001F4DDE" w:rsidRPr="004C37CB" w14:paraId="7CD324A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4B513E" w14:textId="77777777" w:rsidR="001F4DDE" w:rsidRPr="004C37CB" w:rsidRDefault="001F4DDE" w:rsidP="001F4DDE">
            <w:pPr>
              <w:jc w:val="center"/>
              <w:rPr>
                <w:color w:val="000000"/>
                <w:sz w:val="16"/>
                <w:szCs w:val="16"/>
              </w:rPr>
            </w:pPr>
            <w:r w:rsidRPr="004C37CB">
              <w:rPr>
                <w:color w:val="000000"/>
                <w:sz w:val="16"/>
                <w:szCs w:val="16"/>
              </w:rPr>
              <w:t>Finland</w:t>
            </w:r>
          </w:p>
        </w:tc>
        <w:tc>
          <w:tcPr>
            <w:tcW w:w="0" w:type="auto"/>
            <w:tcBorders>
              <w:top w:val="nil"/>
              <w:bottom w:val="nil"/>
            </w:tcBorders>
            <w:noWrap/>
            <w:hideMark/>
          </w:tcPr>
          <w:p w14:paraId="3578709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0.46</w:t>
            </w:r>
          </w:p>
        </w:tc>
        <w:tc>
          <w:tcPr>
            <w:tcW w:w="0" w:type="auto"/>
            <w:tcBorders>
              <w:top w:val="nil"/>
              <w:bottom w:val="nil"/>
            </w:tcBorders>
          </w:tcPr>
          <w:p w14:paraId="688546F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c>
          <w:tcPr>
            <w:tcW w:w="0" w:type="auto"/>
            <w:tcBorders>
              <w:top w:val="nil"/>
              <w:bottom w:val="nil"/>
            </w:tcBorders>
          </w:tcPr>
          <w:p w14:paraId="5C0095A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0" w:type="auto"/>
            <w:tcBorders>
              <w:top w:val="nil"/>
              <w:bottom w:val="nil"/>
              <w:right w:val="single" w:sz="4" w:space="0" w:color="auto"/>
            </w:tcBorders>
            <w:noWrap/>
            <w:hideMark/>
          </w:tcPr>
          <w:p w14:paraId="1D7AD1C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0.52</w:t>
            </w:r>
          </w:p>
        </w:tc>
        <w:tc>
          <w:tcPr>
            <w:tcW w:w="0" w:type="auto"/>
            <w:tcBorders>
              <w:left w:val="single" w:sz="4" w:space="0" w:color="auto"/>
            </w:tcBorders>
            <w:noWrap/>
            <w:hideMark/>
          </w:tcPr>
          <w:p w14:paraId="0BCFC26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0.88</w:t>
            </w:r>
          </w:p>
        </w:tc>
        <w:tc>
          <w:tcPr>
            <w:tcW w:w="0" w:type="auto"/>
          </w:tcPr>
          <w:p w14:paraId="3C609DF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1.15</w:t>
            </w:r>
          </w:p>
        </w:tc>
        <w:tc>
          <w:tcPr>
            <w:tcW w:w="0" w:type="auto"/>
          </w:tcPr>
          <w:p w14:paraId="6199C6D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1.03</w:t>
            </w:r>
          </w:p>
        </w:tc>
        <w:tc>
          <w:tcPr>
            <w:tcW w:w="1630" w:type="dxa"/>
            <w:tcBorders>
              <w:right w:val="single" w:sz="4" w:space="0" w:color="auto"/>
            </w:tcBorders>
            <w:noWrap/>
            <w:hideMark/>
          </w:tcPr>
          <w:p w14:paraId="636D9DA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0.73</w:t>
            </w:r>
          </w:p>
        </w:tc>
        <w:tc>
          <w:tcPr>
            <w:tcW w:w="1630" w:type="dxa"/>
            <w:tcBorders>
              <w:left w:val="single" w:sz="4" w:space="0" w:color="auto"/>
            </w:tcBorders>
            <w:noWrap/>
            <w:hideMark/>
          </w:tcPr>
          <w:p w14:paraId="7F45624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-0.56</w:t>
            </w:r>
          </w:p>
        </w:tc>
        <w:tc>
          <w:tcPr>
            <w:tcW w:w="1064" w:type="dxa"/>
          </w:tcPr>
          <w:p w14:paraId="23D77B5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1139" w:type="dxa"/>
          </w:tcPr>
          <w:p w14:paraId="1CA3416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-0.32</w:t>
            </w:r>
          </w:p>
        </w:tc>
        <w:tc>
          <w:tcPr>
            <w:tcW w:w="0" w:type="auto"/>
            <w:noWrap/>
            <w:hideMark/>
          </w:tcPr>
          <w:p w14:paraId="3E0FBD0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-0.76</w:t>
            </w:r>
          </w:p>
        </w:tc>
      </w:tr>
      <w:tr w:rsidR="001F4DDE" w:rsidRPr="004C37CB" w14:paraId="636600B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332C6F" w14:textId="77777777" w:rsidR="001F4DDE" w:rsidRPr="004C37CB" w:rsidRDefault="001F4DDE" w:rsidP="001F4DDE">
            <w:pPr>
              <w:jc w:val="center"/>
              <w:rPr>
                <w:color w:val="000000"/>
                <w:sz w:val="16"/>
                <w:szCs w:val="16"/>
              </w:rPr>
            </w:pPr>
            <w:r w:rsidRPr="004C37CB">
              <w:rPr>
                <w:color w:val="000000"/>
                <w:sz w:val="16"/>
                <w:szCs w:val="16"/>
              </w:rPr>
              <w:t>France</w:t>
            </w:r>
          </w:p>
        </w:tc>
        <w:tc>
          <w:tcPr>
            <w:tcW w:w="0" w:type="auto"/>
            <w:tcBorders>
              <w:top w:val="nil"/>
              <w:bottom w:val="nil"/>
            </w:tcBorders>
            <w:noWrap/>
            <w:hideMark/>
          </w:tcPr>
          <w:p w14:paraId="053C76A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tcBorders>
              <w:top w:val="nil"/>
              <w:bottom w:val="nil"/>
            </w:tcBorders>
          </w:tcPr>
          <w:p w14:paraId="7BA1378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tcBorders>
              <w:top w:val="nil"/>
              <w:bottom w:val="nil"/>
            </w:tcBorders>
          </w:tcPr>
          <w:p w14:paraId="72DBA20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tcBorders>
              <w:top w:val="nil"/>
              <w:bottom w:val="nil"/>
              <w:right w:val="single" w:sz="4" w:space="0" w:color="auto"/>
            </w:tcBorders>
            <w:noWrap/>
            <w:hideMark/>
          </w:tcPr>
          <w:p w14:paraId="6EE4207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0" w:type="auto"/>
            <w:tcBorders>
              <w:left w:val="single" w:sz="4" w:space="0" w:color="auto"/>
            </w:tcBorders>
            <w:noWrap/>
            <w:hideMark/>
          </w:tcPr>
          <w:p w14:paraId="40BD5B8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1.37</w:t>
            </w:r>
          </w:p>
        </w:tc>
        <w:tc>
          <w:tcPr>
            <w:tcW w:w="0" w:type="auto"/>
          </w:tcPr>
          <w:p w14:paraId="3B6E1B9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1.22</w:t>
            </w:r>
          </w:p>
        </w:tc>
        <w:tc>
          <w:tcPr>
            <w:tcW w:w="0" w:type="auto"/>
          </w:tcPr>
          <w:p w14:paraId="0A257B3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1.08</w:t>
            </w:r>
          </w:p>
        </w:tc>
        <w:tc>
          <w:tcPr>
            <w:tcW w:w="1630" w:type="dxa"/>
            <w:tcBorders>
              <w:right w:val="single" w:sz="4" w:space="0" w:color="auto"/>
            </w:tcBorders>
            <w:noWrap/>
            <w:hideMark/>
          </w:tcPr>
          <w:p w14:paraId="5AF50DD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1.27</w:t>
            </w:r>
          </w:p>
        </w:tc>
        <w:tc>
          <w:tcPr>
            <w:tcW w:w="1630" w:type="dxa"/>
            <w:tcBorders>
              <w:left w:val="single" w:sz="4" w:space="0" w:color="auto"/>
            </w:tcBorders>
            <w:noWrap/>
            <w:hideMark/>
          </w:tcPr>
          <w:p w14:paraId="06213D5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1064" w:type="dxa"/>
          </w:tcPr>
          <w:p w14:paraId="443BD21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1139" w:type="dxa"/>
          </w:tcPr>
          <w:p w14:paraId="45F82DE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-0.09</w:t>
            </w:r>
          </w:p>
        </w:tc>
        <w:tc>
          <w:tcPr>
            <w:tcW w:w="0" w:type="auto"/>
            <w:noWrap/>
            <w:hideMark/>
          </w:tcPr>
          <w:p w14:paraId="5D06A7F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-0.26</w:t>
            </w:r>
          </w:p>
        </w:tc>
      </w:tr>
      <w:tr w:rsidR="001F4DDE" w:rsidRPr="004C37CB" w14:paraId="6A9EA83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36A52D" w14:textId="77777777" w:rsidR="001F4DDE" w:rsidRPr="004C37CB" w:rsidRDefault="001F4DDE" w:rsidP="001F4DDE">
            <w:pPr>
              <w:jc w:val="center"/>
              <w:rPr>
                <w:color w:val="000000"/>
                <w:sz w:val="16"/>
                <w:szCs w:val="16"/>
              </w:rPr>
            </w:pPr>
            <w:r w:rsidRPr="004C37CB">
              <w:rPr>
                <w:color w:val="000000"/>
                <w:sz w:val="16"/>
                <w:szCs w:val="16"/>
              </w:rPr>
              <w:t>Germany</w:t>
            </w:r>
          </w:p>
        </w:tc>
        <w:tc>
          <w:tcPr>
            <w:tcW w:w="0" w:type="auto"/>
            <w:tcBorders>
              <w:top w:val="nil"/>
              <w:bottom w:val="nil"/>
            </w:tcBorders>
            <w:noWrap/>
            <w:hideMark/>
          </w:tcPr>
          <w:p w14:paraId="5A6BA5B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tcBorders>
              <w:top w:val="nil"/>
              <w:bottom w:val="nil"/>
            </w:tcBorders>
          </w:tcPr>
          <w:p w14:paraId="6EC1F6D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0" w:type="auto"/>
            <w:tcBorders>
              <w:top w:val="nil"/>
              <w:bottom w:val="nil"/>
            </w:tcBorders>
          </w:tcPr>
          <w:p w14:paraId="22274BE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0.23</w:t>
            </w:r>
          </w:p>
        </w:tc>
        <w:tc>
          <w:tcPr>
            <w:tcW w:w="0" w:type="auto"/>
            <w:tcBorders>
              <w:top w:val="nil"/>
              <w:bottom w:val="nil"/>
              <w:right w:val="single" w:sz="4" w:space="0" w:color="auto"/>
            </w:tcBorders>
            <w:noWrap/>
            <w:hideMark/>
          </w:tcPr>
          <w:p w14:paraId="5897C6F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0" w:type="auto"/>
            <w:tcBorders>
              <w:left w:val="single" w:sz="4" w:space="0" w:color="auto"/>
            </w:tcBorders>
            <w:noWrap/>
            <w:hideMark/>
          </w:tcPr>
          <w:p w14:paraId="51B7E63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1.49</w:t>
            </w:r>
          </w:p>
        </w:tc>
        <w:tc>
          <w:tcPr>
            <w:tcW w:w="0" w:type="auto"/>
          </w:tcPr>
          <w:p w14:paraId="17079D9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1.15</w:t>
            </w:r>
          </w:p>
        </w:tc>
        <w:tc>
          <w:tcPr>
            <w:tcW w:w="0" w:type="auto"/>
          </w:tcPr>
          <w:p w14:paraId="1A35093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1.09</w:t>
            </w:r>
          </w:p>
        </w:tc>
        <w:tc>
          <w:tcPr>
            <w:tcW w:w="1630" w:type="dxa"/>
            <w:tcBorders>
              <w:right w:val="single" w:sz="4" w:space="0" w:color="auto"/>
            </w:tcBorders>
            <w:noWrap/>
            <w:hideMark/>
          </w:tcPr>
          <w:p w14:paraId="7FAE48C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1.45</w:t>
            </w:r>
          </w:p>
        </w:tc>
        <w:tc>
          <w:tcPr>
            <w:tcW w:w="1630" w:type="dxa"/>
            <w:tcBorders>
              <w:left w:val="single" w:sz="4" w:space="0" w:color="auto"/>
            </w:tcBorders>
            <w:noWrap/>
            <w:hideMark/>
          </w:tcPr>
          <w:p w14:paraId="5C2B126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1064" w:type="dxa"/>
          </w:tcPr>
          <w:p w14:paraId="7B6DA2B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139" w:type="dxa"/>
          </w:tcPr>
          <w:p w14:paraId="3807B07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noWrap/>
            <w:hideMark/>
          </w:tcPr>
          <w:p w14:paraId="1A091CB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r>
      <w:tr w:rsidR="001F4DDE" w:rsidRPr="004C37CB" w14:paraId="6957CC2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A90240" w14:textId="77777777" w:rsidR="001F4DDE" w:rsidRPr="004C37CB" w:rsidRDefault="001F4DDE" w:rsidP="001F4DDE">
            <w:pPr>
              <w:jc w:val="center"/>
              <w:rPr>
                <w:color w:val="000000"/>
                <w:sz w:val="16"/>
                <w:szCs w:val="16"/>
              </w:rPr>
            </w:pPr>
            <w:r w:rsidRPr="004C37CB">
              <w:rPr>
                <w:color w:val="000000"/>
                <w:sz w:val="16"/>
                <w:szCs w:val="16"/>
              </w:rPr>
              <w:t>Hong Kong</w:t>
            </w:r>
          </w:p>
        </w:tc>
        <w:tc>
          <w:tcPr>
            <w:tcW w:w="0" w:type="auto"/>
            <w:tcBorders>
              <w:top w:val="nil"/>
              <w:bottom w:val="nil"/>
            </w:tcBorders>
            <w:noWrap/>
            <w:hideMark/>
          </w:tcPr>
          <w:p w14:paraId="65C8462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-0.10</w:t>
            </w:r>
          </w:p>
        </w:tc>
        <w:tc>
          <w:tcPr>
            <w:tcW w:w="0" w:type="auto"/>
            <w:tcBorders>
              <w:top w:val="nil"/>
              <w:bottom w:val="nil"/>
            </w:tcBorders>
          </w:tcPr>
          <w:p w14:paraId="4F37945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0.24</w:t>
            </w:r>
          </w:p>
        </w:tc>
        <w:tc>
          <w:tcPr>
            <w:tcW w:w="0" w:type="auto"/>
            <w:tcBorders>
              <w:top w:val="nil"/>
              <w:bottom w:val="nil"/>
            </w:tcBorders>
          </w:tcPr>
          <w:p w14:paraId="2242AF7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0" w:type="auto"/>
            <w:tcBorders>
              <w:top w:val="nil"/>
              <w:bottom w:val="nil"/>
              <w:right w:val="single" w:sz="4" w:space="0" w:color="auto"/>
            </w:tcBorders>
            <w:noWrap/>
            <w:hideMark/>
          </w:tcPr>
          <w:p w14:paraId="7352243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0" w:type="auto"/>
            <w:tcBorders>
              <w:left w:val="single" w:sz="4" w:space="0" w:color="auto"/>
            </w:tcBorders>
            <w:noWrap/>
            <w:hideMark/>
          </w:tcPr>
          <w:p w14:paraId="314571A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1.43</w:t>
            </w:r>
          </w:p>
        </w:tc>
        <w:tc>
          <w:tcPr>
            <w:tcW w:w="0" w:type="auto"/>
          </w:tcPr>
          <w:p w14:paraId="5027168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1.10</w:t>
            </w:r>
          </w:p>
        </w:tc>
        <w:tc>
          <w:tcPr>
            <w:tcW w:w="0" w:type="auto"/>
          </w:tcPr>
          <w:p w14:paraId="0697E54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1.36</w:t>
            </w:r>
          </w:p>
        </w:tc>
        <w:tc>
          <w:tcPr>
            <w:tcW w:w="1630" w:type="dxa"/>
            <w:tcBorders>
              <w:right w:val="single" w:sz="4" w:space="0" w:color="auto"/>
            </w:tcBorders>
            <w:noWrap/>
            <w:hideMark/>
          </w:tcPr>
          <w:p w14:paraId="0C42A88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1.32</w:t>
            </w:r>
          </w:p>
        </w:tc>
        <w:tc>
          <w:tcPr>
            <w:tcW w:w="1630" w:type="dxa"/>
            <w:tcBorders>
              <w:left w:val="single" w:sz="4" w:space="0" w:color="auto"/>
            </w:tcBorders>
            <w:noWrap/>
            <w:hideMark/>
          </w:tcPr>
          <w:p w14:paraId="744852E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-0.05</w:t>
            </w:r>
          </w:p>
        </w:tc>
        <w:tc>
          <w:tcPr>
            <w:tcW w:w="1064" w:type="dxa"/>
          </w:tcPr>
          <w:p w14:paraId="15A15E8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1139" w:type="dxa"/>
          </w:tcPr>
          <w:p w14:paraId="6AB44F8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-0.24</w:t>
            </w:r>
          </w:p>
        </w:tc>
        <w:tc>
          <w:tcPr>
            <w:tcW w:w="0" w:type="auto"/>
            <w:noWrap/>
            <w:hideMark/>
          </w:tcPr>
          <w:p w14:paraId="225D1E1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-0.36</w:t>
            </w:r>
          </w:p>
        </w:tc>
      </w:tr>
      <w:tr w:rsidR="001F4DDE" w:rsidRPr="004C37CB" w14:paraId="094F21D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3F69FA" w14:textId="77777777" w:rsidR="001F4DDE" w:rsidRPr="004C37CB" w:rsidRDefault="001F4DDE" w:rsidP="001F4DDE">
            <w:pPr>
              <w:jc w:val="center"/>
              <w:rPr>
                <w:color w:val="000000"/>
                <w:sz w:val="16"/>
                <w:szCs w:val="16"/>
              </w:rPr>
            </w:pPr>
            <w:r w:rsidRPr="004C37CB">
              <w:rPr>
                <w:color w:val="000000"/>
                <w:sz w:val="16"/>
                <w:szCs w:val="16"/>
              </w:rPr>
              <w:t>Ireland</w:t>
            </w:r>
          </w:p>
        </w:tc>
        <w:tc>
          <w:tcPr>
            <w:tcW w:w="0" w:type="auto"/>
            <w:tcBorders>
              <w:top w:val="nil"/>
              <w:bottom w:val="nil"/>
            </w:tcBorders>
            <w:noWrap/>
            <w:hideMark/>
          </w:tcPr>
          <w:p w14:paraId="63D1810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tcBorders>
              <w:top w:val="nil"/>
              <w:bottom w:val="nil"/>
            </w:tcBorders>
          </w:tcPr>
          <w:p w14:paraId="7750926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tcBorders>
              <w:top w:val="nil"/>
              <w:bottom w:val="nil"/>
            </w:tcBorders>
          </w:tcPr>
          <w:p w14:paraId="690D92F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top w:val="nil"/>
              <w:bottom w:val="nil"/>
              <w:right w:val="single" w:sz="4" w:space="0" w:color="auto"/>
            </w:tcBorders>
            <w:noWrap/>
            <w:hideMark/>
          </w:tcPr>
          <w:p w14:paraId="48CB2EC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0.33</w:t>
            </w:r>
          </w:p>
        </w:tc>
        <w:tc>
          <w:tcPr>
            <w:tcW w:w="0" w:type="auto"/>
            <w:tcBorders>
              <w:left w:val="single" w:sz="4" w:space="0" w:color="auto"/>
            </w:tcBorders>
            <w:noWrap/>
            <w:hideMark/>
          </w:tcPr>
          <w:p w14:paraId="35CF1CA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0.94</w:t>
            </w:r>
          </w:p>
        </w:tc>
        <w:tc>
          <w:tcPr>
            <w:tcW w:w="0" w:type="auto"/>
          </w:tcPr>
          <w:p w14:paraId="658A222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0.84</w:t>
            </w:r>
          </w:p>
        </w:tc>
        <w:tc>
          <w:tcPr>
            <w:tcW w:w="0" w:type="auto"/>
          </w:tcPr>
          <w:p w14:paraId="7F4C3D6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0.84</w:t>
            </w:r>
          </w:p>
        </w:tc>
        <w:tc>
          <w:tcPr>
            <w:tcW w:w="1630" w:type="dxa"/>
            <w:tcBorders>
              <w:right w:val="single" w:sz="4" w:space="0" w:color="auto"/>
            </w:tcBorders>
            <w:noWrap/>
            <w:hideMark/>
          </w:tcPr>
          <w:p w14:paraId="2ADD7EF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0.97</w:t>
            </w:r>
          </w:p>
        </w:tc>
        <w:tc>
          <w:tcPr>
            <w:tcW w:w="1630" w:type="dxa"/>
            <w:tcBorders>
              <w:left w:val="single" w:sz="4" w:space="0" w:color="auto"/>
            </w:tcBorders>
            <w:noWrap/>
            <w:hideMark/>
          </w:tcPr>
          <w:p w14:paraId="0E5C0FF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-0.79</w:t>
            </w:r>
          </w:p>
        </w:tc>
        <w:tc>
          <w:tcPr>
            <w:tcW w:w="1064" w:type="dxa"/>
          </w:tcPr>
          <w:p w14:paraId="7CDD287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1139" w:type="dxa"/>
          </w:tcPr>
          <w:p w14:paraId="4B66E7E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noWrap/>
            <w:hideMark/>
          </w:tcPr>
          <w:p w14:paraId="45DB4E1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-0.31</w:t>
            </w:r>
          </w:p>
        </w:tc>
      </w:tr>
      <w:tr w:rsidR="001F4DDE" w:rsidRPr="004C37CB" w14:paraId="7BE02D4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D2275F" w14:textId="77777777" w:rsidR="001F4DDE" w:rsidRPr="004C37CB" w:rsidRDefault="001F4DDE" w:rsidP="001F4DDE">
            <w:pPr>
              <w:jc w:val="center"/>
              <w:rPr>
                <w:color w:val="000000"/>
                <w:sz w:val="16"/>
                <w:szCs w:val="16"/>
              </w:rPr>
            </w:pPr>
            <w:r w:rsidRPr="004C37CB">
              <w:rPr>
                <w:color w:val="000000"/>
                <w:sz w:val="16"/>
                <w:szCs w:val="16"/>
              </w:rPr>
              <w:t>Israel</w:t>
            </w:r>
          </w:p>
        </w:tc>
        <w:tc>
          <w:tcPr>
            <w:tcW w:w="0" w:type="auto"/>
            <w:tcBorders>
              <w:top w:val="nil"/>
              <w:bottom w:val="nil"/>
            </w:tcBorders>
            <w:noWrap/>
            <w:hideMark/>
          </w:tcPr>
          <w:p w14:paraId="083D416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c>
          <w:tcPr>
            <w:tcW w:w="0" w:type="auto"/>
            <w:tcBorders>
              <w:top w:val="nil"/>
              <w:bottom w:val="nil"/>
            </w:tcBorders>
          </w:tcPr>
          <w:p w14:paraId="3103CB3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0" w:type="auto"/>
            <w:tcBorders>
              <w:top w:val="nil"/>
              <w:bottom w:val="nil"/>
            </w:tcBorders>
          </w:tcPr>
          <w:p w14:paraId="7998B86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0" w:type="auto"/>
            <w:tcBorders>
              <w:top w:val="nil"/>
              <w:bottom w:val="nil"/>
              <w:right w:val="single" w:sz="4" w:space="0" w:color="auto"/>
            </w:tcBorders>
            <w:noWrap/>
            <w:hideMark/>
          </w:tcPr>
          <w:p w14:paraId="72E8228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0.29</w:t>
            </w:r>
          </w:p>
        </w:tc>
        <w:tc>
          <w:tcPr>
            <w:tcW w:w="0" w:type="auto"/>
            <w:tcBorders>
              <w:left w:val="single" w:sz="4" w:space="0" w:color="auto"/>
            </w:tcBorders>
            <w:noWrap/>
            <w:hideMark/>
          </w:tcPr>
          <w:p w14:paraId="4E82B69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1.28</w:t>
            </w:r>
          </w:p>
        </w:tc>
        <w:tc>
          <w:tcPr>
            <w:tcW w:w="0" w:type="auto"/>
          </w:tcPr>
          <w:p w14:paraId="07A4B02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0.93</w:t>
            </w:r>
          </w:p>
        </w:tc>
        <w:tc>
          <w:tcPr>
            <w:tcW w:w="0" w:type="auto"/>
          </w:tcPr>
          <w:p w14:paraId="540793F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0.94</w:t>
            </w:r>
          </w:p>
        </w:tc>
        <w:tc>
          <w:tcPr>
            <w:tcW w:w="1630" w:type="dxa"/>
            <w:tcBorders>
              <w:right w:val="single" w:sz="4" w:space="0" w:color="auto"/>
            </w:tcBorders>
            <w:noWrap/>
            <w:hideMark/>
          </w:tcPr>
          <w:p w14:paraId="41C3B6C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1.38</w:t>
            </w:r>
          </w:p>
        </w:tc>
        <w:tc>
          <w:tcPr>
            <w:tcW w:w="1630" w:type="dxa"/>
            <w:tcBorders>
              <w:left w:val="single" w:sz="4" w:space="0" w:color="auto"/>
            </w:tcBorders>
            <w:noWrap/>
            <w:hideMark/>
          </w:tcPr>
          <w:p w14:paraId="0C48DB6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0.05</w:t>
            </w:r>
          </w:p>
        </w:tc>
        <w:tc>
          <w:tcPr>
            <w:tcW w:w="1064" w:type="dxa"/>
          </w:tcPr>
          <w:p w14:paraId="6215945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139" w:type="dxa"/>
          </w:tcPr>
          <w:p w14:paraId="70E9E2D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0" w:type="auto"/>
            <w:noWrap/>
            <w:hideMark/>
          </w:tcPr>
          <w:p w14:paraId="57AF51C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r>
      <w:tr w:rsidR="001F4DDE" w:rsidRPr="004C37CB" w14:paraId="1257A64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351624" w14:textId="77777777" w:rsidR="001F4DDE" w:rsidRPr="004C37CB" w:rsidRDefault="001F4DDE" w:rsidP="001F4DDE">
            <w:pPr>
              <w:jc w:val="center"/>
              <w:rPr>
                <w:color w:val="000000"/>
                <w:sz w:val="16"/>
                <w:szCs w:val="16"/>
              </w:rPr>
            </w:pPr>
            <w:r w:rsidRPr="004C37CB">
              <w:rPr>
                <w:color w:val="000000"/>
                <w:sz w:val="16"/>
                <w:szCs w:val="16"/>
              </w:rPr>
              <w:t>Italy</w:t>
            </w:r>
          </w:p>
        </w:tc>
        <w:tc>
          <w:tcPr>
            <w:tcW w:w="0" w:type="auto"/>
            <w:tcBorders>
              <w:top w:val="nil"/>
              <w:bottom w:val="nil"/>
            </w:tcBorders>
            <w:noWrap/>
            <w:hideMark/>
          </w:tcPr>
          <w:p w14:paraId="299F42E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tcBorders>
              <w:top w:val="nil"/>
              <w:bottom w:val="nil"/>
            </w:tcBorders>
          </w:tcPr>
          <w:p w14:paraId="5DD6CAB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c>
          <w:tcPr>
            <w:tcW w:w="0" w:type="auto"/>
            <w:tcBorders>
              <w:top w:val="nil"/>
              <w:bottom w:val="nil"/>
            </w:tcBorders>
          </w:tcPr>
          <w:p w14:paraId="142AF7A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0" w:type="auto"/>
            <w:tcBorders>
              <w:top w:val="nil"/>
              <w:bottom w:val="nil"/>
              <w:right w:val="single" w:sz="4" w:space="0" w:color="auto"/>
            </w:tcBorders>
            <w:noWrap/>
            <w:hideMark/>
          </w:tcPr>
          <w:p w14:paraId="4F6B146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left w:val="single" w:sz="4" w:space="0" w:color="auto"/>
            </w:tcBorders>
            <w:noWrap/>
            <w:hideMark/>
          </w:tcPr>
          <w:p w14:paraId="59FAE51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1.44</w:t>
            </w:r>
          </w:p>
        </w:tc>
        <w:tc>
          <w:tcPr>
            <w:tcW w:w="0" w:type="auto"/>
          </w:tcPr>
          <w:p w14:paraId="0932D71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1.24</w:t>
            </w:r>
          </w:p>
        </w:tc>
        <w:tc>
          <w:tcPr>
            <w:tcW w:w="0" w:type="auto"/>
          </w:tcPr>
          <w:p w14:paraId="7E71F78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1.12</w:t>
            </w:r>
          </w:p>
        </w:tc>
        <w:tc>
          <w:tcPr>
            <w:tcW w:w="1630" w:type="dxa"/>
            <w:tcBorders>
              <w:right w:val="single" w:sz="4" w:space="0" w:color="auto"/>
            </w:tcBorders>
            <w:noWrap/>
            <w:hideMark/>
          </w:tcPr>
          <w:p w14:paraId="7532BB8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1.32</w:t>
            </w:r>
          </w:p>
        </w:tc>
        <w:tc>
          <w:tcPr>
            <w:tcW w:w="1630" w:type="dxa"/>
            <w:tcBorders>
              <w:left w:val="single" w:sz="4" w:space="0" w:color="auto"/>
            </w:tcBorders>
            <w:noWrap/>
            <w:hideMark/>
          </w:tcPr>
          <w:p w14:paraId="36512C0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-0.42</w:t>
            </w:r>
          </w:p>
        </w:tc>
        <w:tc>
          <w:tcPr>
            <w:tcW w:w="1064" w:type="dxa"/>
          </w:tcPr>
          <w:p w14:paraId="6313818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c>
          <w:tcPr>
            <w:tcW w:w="1139" w:type="dxa"/>
          </w:tcPr>
          <w:p w14:paraId="7E5D089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-0.23</w:t>
            </w:r>
          </w:p>
        </w:tc>
        <w:tc>
          <w:tcPr>
            <w:tcW w:w="0" w:type="auto"/>
            <w:noWrap/>
            <w:hideMark/>
          </w:tcPr>
          <w:p w14:paraId="521F359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-0.54</w:t>
            </w:r>
          </w:p>
        </w:tc>
      </w:tr>
      <w:tr w:rsidR="001F4DDE" w:rsidRPr="004C37CB" w14:paraId="70D062B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925253" w14:textId="77777777" w:rsidR="001F4DDE" w:rsidRPr="004C37CB" w:rsidRDefault="001F4DDE" w:rsidP="001F4DDE">
            <w:pPr>
              <w:jc w:val="center"/>
              <w:rPr>
                <w:color w:val="000000"/>
                <w:sz w:val="16"/>
                <w:szCs w:val="16"/>
              </w:rPr>
            </w:pPr>
            <w:r w:rsidRPr="004C37CB">
              <w:rPr>
                <w:color w:val="000000"/>
                <w:sz w:val="16"/>
                <w:szCs w:val="16"/>
              </w:rPr>
              <w:t>Japan</w:t>
            </w:r>
          </w:p>
        </w:tc>
        <w:tc>
          <w:tcPr>
            <w:tcW w:w="0" w:type="auto"/>
            <w:tcBorders>
              <w:top w:val="nil"/>
              <w:bottom w:val="nil"/>
            </w:tcBorders>
            <w:noWrap/>
            <w:hideMark/>
          </w:tcPr>
          <w:p w14:paraId="536D08E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-0.42</w:t>
            </w:r>
          </w:p>
        </w:tc>
        <w:tc>
          <w:tcPr>
            <w:tcW w:w="0" w:type="auto"/>
            <w:tcBorders>
              <w:top w:val="nil"/>
              <w:bottom w:val="nil"/>
            </w:tcBorders>
          </w:tcPr>
          <w:p w14:paraId="18FB5C1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0" w:type="auto"/>
            <w:tcBorders>
              <w:top w:val="nil"/>
              <w:bottom w:val="nil"/>
            </w:tcBorders>
          </w:tcPr>
          <w:p w14:paraId="7E088D7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0" w:type="auto"/>
            <w:tcBorders>
              <w:top w:val="nil"/>
              <w:bottom w:val="nil"/>
              <w:right w:val="single" w:sz="4" w:space="0" w:color="auto"/>
            </w:tcBorders>
            <w:noWrap/>
            <w:hideMark/>
          </w:tcPr>
          <w:p w14:paraId="2928B18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-0.55</w:t>
            </w:r>
          </w:p>
        </w:tc>
        <w:tc>
          <w:tcPr>
            <w:tcW w:w="0" w:type="auto"/>
            <w:tcBorders>
              <w:left w:val="single" w:sz="4" w:space="0" w:color="auto"/>
            </w:tcBorders>
            <w:noWrap/>
            <w:hideMark/>
          </w:tcPr>
          <w:p w14:paraId="1930507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0.77</w:t>
            </w:r>
          </w:p>
        </w:tc>
        <w:tc>
          <w:tcPr>
            <w:tcW w:w="0" w:type="auto"/>
          </w:tcPr>
          <w:p w14:paraId="6D8B50F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0.98</w:t>
            </w:r>
          </w:p>
        </w:tc>
        <w:tc>
          <w:tcPr>
            <w:tcW w:w="0" w:type="auto"/>
          </w:tcPr>
          <w:p w14:paraId="14AF453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0.84</w:t>
            </w:r>
          </w:p>
        </w:tc>
        <w:tc>
          <w:tcPr>
            <w:tcW w:w="1630" w:type="dxa"/>
            <w:tcBorders>
              <w:right w:val="single" w:sz="4" w:space="0" w:color="auto"/>
            </w:tcBorders>
            <w:noWrap/>
            <w:hideMark/>
          </w:tcPr>
          <w:p w14:paraId="22FE3AB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0.61</w:t>
            </w:r>
          </w:p>
        </w:tc>
        <w:tc>
          <w:tcPr>
            <w:tcW w:w="1630" w:type="dxa"/>
            <w:tcBorders>
              <w:left w:val="single" w:sz="4" w:space="0" w:color="auto"/>
            </w:tcBorders>
            <w:noWrap/>
            <w:hideMark/>
          </w:tcPr>
          <w:p w14:paraId="0E1EACF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-0.25</w:t>
            </w:r>
          </w:p>
        </w:tc>
        <w:tc>
          <w:tcPr>
            <w:tcW w:w="1064" w:type="dxa"/>
          </w:tcPr>
          <w:p w14:paraId="49DE1B3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c>
          <w:tcPr>
            <w:tcW w:w="1139" w:type="dxa"/>
          </w:tcPr>
          <w:p w14:paraId="68C7734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-0.36</w:t>
            </w:r>
          </w:p>
        </w:tc>
        <w:tc>
          <w:tcPr>
            <w:tcW w:w="0" w:type="auto"/>
            <w:noWrap/>
            <w:hideMark/>
          </w:tcPr>
          <w:p w14:paraId="469F857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-0.45</w:t>
            </w:r>
          </w:p>
        </w:tc>
      </w:tr>
      <w:tr w:rsidR="001F4DDE" w:rsidRPr="004C37CB" w14:paraId="2C3501F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6939E5" w14:textId="77777777" w:rsidR="001F4DDE" w:rsidRPr="004C37CB" w:rsidRDefault="001F4DDE" w:rsidP="001F4DDE">
            <w:pPr>
              <w:jc w:val="center"/>
              <w:rPr>
                <w:color w:val="000000"/>
                <w:sz w:val="16"/>
                <w:szCs w:val="16"/>
              </w:rPr>
            </w:pPr>
            <w:r w:rsidRPr="004C37CB">
              <w:rPr>
                <w:color w:val="000000"/>
                <w:sz w:val="16"/>
                <w:szCs w:val="16"/>
              </w:rPr>
              <w:t>Netherlands</w:t>
            </w:r>
          </w:p>
        </w:tc>
        <w:tc>
          <w:tcPr>
            <w:tcW w:w="0" w:type="auto"/>
            <w:tcBorders>
              <w:top w:val="nil"/>
              <w:bottom w:val="nil"/>
            </w:tcBorders>
            <w:noWrap/>
            <w:hideMark/>
          </w:tcPr>
          <w:p w14:paraId="30DEA71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c>
          <w:tcPr>
            <w:tcW w:w="0" w:type="auto"/>
            <w:tcBorders>
              <w:top w:val="nil"/>
              <w:bottom w:val="nil"/>
            </w:tcBorders>
          </w:tcPr>
          <w:p w14:paraId="68BCC6D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0" w:type="auto"/>
            <w:tcBorders>
              <w:top w:val="nil"/>
              <w:bottom w:val="nil"/>
            </w:tcBorders>
          </w:tcPr>
          <w:p w14:paraId="2D25FE4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top w:val="nil"/>
              <w:bottom w:val="nil"/>
              <w:right w:val="single" w:sz="4" w:space="0" w:color="auto"/>
            </w:tcBorders>
            <w:noWrap/>
            <w:hideMark/>
          </w:tcPr>
          <w:p w14:paraId="2597C1A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0" w:type="auto"/>
            <w:tcBorders>
              <w:left w:val="single" w:sz="4" w:space="0" w:color="auto"/>
            </w:tcBorders>
            <w:noWrap/>
            <w:hideMark/>
          </w:tcPr>
          <w:p w14:paraId="49ED0CC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1.22</w:t>
            </w:r>
          </w:p>
        </w:tc>
        <w:tc>
          <w:tcPr>
            <w:tcW w:w="0" w:type="auto"/>
          </w:tcPr>
          <w:p w14:paraId="26109B8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1.26</w:t>
            </w:r>
          </w:p>
        </w:tc>
        <w:tc>
          <w:tcPr>
            <w:tcW w:w="0" w:type="auto"/>
          </w:tcPr>
          <w:p w14:paraId="662AF3A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0.98</w:t>
            </w:r>
          </w:p>
        </w:tc>
        <w:tc>
          <w:tcPr>
            <w:tcW w:w="1630" w:type="dxa"/>
            <w:tcBorders>
              <w:right w:val="single" w:sz="4" w:space="0" w:color="auto"/>
            </w:tcBorders>
            <w:noWrap/>
            <w:hideMark/>
          </w:tcPr>
          <w:p w14:paraId="18D1A88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1.10</w:t>
            </w:r>
          </w:p>
        </w:tc>
        <w:tc>
          <w:tcPr>
            <w:tcW w:w="1630" w:type="dxa"/>
            <w:tcBorders>
              <w:left w:val="single" w:sz="4" w:space="0" w:color="auto"/>
            </w:tcBorders>
            <w:noWrap/>
            <w:hideMark/>
          </w:tcPr>
          <w:p w14:paraId="3E3A331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-0.23</w:t>
            </w:r>
          </w:p>
        </w:tc>
        <w:tc>
          <w:tcPr>
            <w:tcW w:w="1064" w:type="dxa"/>
          </w:tcPr>
          <w:p w14:paraId="59C76F4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1139" w:type="dxa"/>
          </w:tcPr>
          <w:p w14:paraId="5304897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noWrap/>
            <w:hideMark/>
          </w:tcPr>
          <w:p w14:paraId="7019E36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-0.29</w:t>
            </w:r>
          </w:p>
        </w:tc>
      </w:tr>
      <w:tr w:rsidR="001F4DDE" w:rsidRPr="004C37CB" w14:paraId="7B7FF3C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983E37" w14:textId="77777777" w:rsidR="001F4DDE" w:rsidRPr="004C37CB" w:rsidRDefault="001F4DDE" w:rsidP="001F4DDE">
            <w:pPr>
              <w:jc w:val="center"/>
              <w:rPr>
                <w:color w:val="000000"/>
                <w:sz w:val="16"/>
                <w:szCs w:val="16"/>
              </w:rPr>
            </w:pPr>
            <w:r w:rsidRPr="004C37CB">
              <w:rPr>
                <w:color w:val="000000"/>
                <w:sz w:val="16"/>
                <w:szCs w:val="16"/>
              </w:rPr>
              <w:t>New Zealand</w:t>
            </w:r>
          </w:p>
        </w:tc>
        <w:tc>
          <w:tcPr>
            <w:tcW w:w="0" w:type="auto"/>
            <w:tcBorders>
              <w:top w:val="nil"/>
              <w:bottom w:val="nil"/>
            </w:tcBorders>
            <w:noWrap/>
            <w:hideMark/>
          </w:tcPr>
          <w:p w14:paraId="5397784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c>
          <w:tcPr>
            <w:tcW w:w="0" w:type="auto"/>
            <w:tcBorders>
              <w:top w:val="nil"/>
              <w:bottom w:val="nil"/>
            </w:tcBorders>
          </w:tcPr>
          <w:p w14:paraId="74EE33C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0" w:type="auto"/>
            <w:tcBorders>
              <w:top w:val="nil"/>
              <w:bottom w:val="nil"/>
            </w:tcBorders>
          </w:tcPr>
          <w:p w14:paraId="7144458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tcBorders>
              <w:top w:val="nil"/>
              <w:bottom w:val="nil"/>
              <w:right w:val="single" w:sz="4" w:space="0" w:color="auto"/>
            </w:tcBorders>
            <w:noWrap/>
            <w:hideMark/>
          </w:tcPr>
          <w:p w14:paraId="632C6B1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0" w:type="auto"/>
            <w:tcBorders>
              <w:left w:val="single" w:sz="4" w:space="0" w:color="auto"/>
            </w:tcBorders>
            <w:noWrap/>
            <w:hideMark/>
          </w:tcPr>
          <w:p w14:paraId="3A16295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1.24</w:t>
            </w:r>
          </w:p>
        </w:tc>
        <w:tc>
          <w:tcPr>
            <w:tcW w:w="0" w:type="auto"/>
          </w:tcPr>
          <w:p w14:paraId="7F3D382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1.32</w:t>
            </w:r>
          </w:p>
        </w:tc>
        <w:tc>
          <w:tcPr>
            <w:tcW w:w="0" w:type="auto"/>
          </w:tcPr>
          <w:p w14:paraId="6AA06E4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0.96</w:t>
            </w:r>
          </w:p>
        </w:tc>
        <w:tc>
          <w:tcPr>
            <w:tcW w:w="1630" w:type="dxa"/>
            <w:tcBorders>
              <w:right w:val="single" w:sz="4" w:space="0" w:color="auto"/>
            </w:tcBorders>
            <w:noWrap/>
            <w:hideMark/>
          </w:tcPr>
          <w:p w14:paraId="27B2D37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0.92</w:t>
            </w:r>
          </w:p>
        </w:tc>
        <w:tc>
          <w:tcPr>
            <w:tcW w:w="1630" w:type="dxa"/>
            <w:tcBorders>
              <w:left w:val="single" w:sz="4" w:space="0" w:color="auto"/>
            </w:tcBorders>
            <w:noWrap/>
            <w:hideMark/>
          </w:tcPr>
          <w:p w14:paraId="1266340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1064" w:type="dxa"/>
          </w:tcPr>
          <w:p w14:paraId="75E696D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1139" w:type="dxa"/>
          </w:tcPr>
          <w:p w14:paraId="2A353C4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-0.30</w:t>
            </w:r>
          </w:p>
        </w:tc>
        <w:tc>
          <w:tcPr>
            <w:tcW w:w="0" w:type="auto"/>
            <w:noWrap/>
            <w:hideMark/>
          </w:tcPr>
          <w:p w14:paraId="5755393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-0.30</w:t>
            </w:r>
          </w:p>
        </w:tc>
      </w:tr>
      <w:tr w:rsidR="001F4DDE" w:rsidRPr="004C37CB" w14:paraId="75FB26F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B6FC9D" w14:textId="77777777" w:rsidR="001F4DDE" w:rsidRPr="004C37CB" w:rsidRDefault="001F4DDE" w:rsidP="001F4DDE">
            <w:pPr>
              <w:jc w:val="center"/>
              <w:rPr>
                <w:color w:val="000000"/>
                <w:sz w:val="16"/>
                <w:szCs w:val="16"/>
              </w:rPr>
            </w:pPr>
            <w:r w:rsidRPr="004C37CB">
              <w:rPr>
                <w:color w:val="000000"/>
                <w:sz w:val="16"/>
                <w:szCs w:val="16"/>
              </w:rPr>
              <w:t>Portugal</w:t>
            </w:r>
          </w:p>
        </w:tc>
        <w:tc>
          <w:tcPr>
            <w:tcW w:w="0" w:type="auto"/>
            <w:tcBorders>
              <w:top w:val="nil"/>
              <w:bottom w:val="nil"/>
            </w:tcBorders>
            <w:noWrap/>
            <w:hideMark/>
          </w:tcPr>
          <w:p w14:paraId="65061A9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0" w:type="auto"/>
            <w:tcBorders>
              <w:top w:val="nil"/>
              <w:bottom w:val="nil"/>
            </w:tcBorders>
          </w:tcPr>
          <w:p w14:paraId="3636903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c>
          <w:tcPr>
            <w:tcW w:w="0" w:type="auto"/>
            <w:tcBorders>
              <w:top w:val="nil"/>
              <w:bottom w:val="nil"/>
            </w:tcBorders>
          </w:tcPr>
          <w:p w14:paraId="664819E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0" w:type="auto"/>
            <w:tcBorders>
              <w:top w:val="nil"/>
              <w:bottom w:val="nil"/>
              <w:right w:val="single" w:sz="4" w:space="0" w:color="auto"/>
            </w:tcBorders>
            <w:noWrap/>
            <w:hideMark/>
          </w:tcPr>
          <w:p w14:paraId="7717618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0" w:type="auto"/>
            <w:tcBorders>
              <w:left w:val="single" w:sz="4" w:space="0" w:color="auto"/>
            </w:tcBorders>
            <w:noWrap/>
            <w:hideMark/>
          </w:tcPr>
          <w:p w14:paraId="570650D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1.72</w:t>
            </w:r>
          </w:p>
        </w:tc>
        <w:tc>
          <w:tcPr>
            <w:tcW w:w="0" w:type="auto"/>
          </w:tcPr>
          <w:p w14:paraId="285904D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1.45</w:t>
            </w:r>
          </w:p>
        </w:tc>
        <w:tc>
          <w:tcPr>
            <w:tcW w:w="0" w:type="auto"/>
          </w:tcPr>
          <w:p w14:paraId="7A1B0AF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1.56</w:t>
            </w:r>
          </w:p>
        </w:tc>
        <w:tc>
          <w:tcPr>
            <w:tcW w:w="1630" w:type="dxa"/>
            <w:tcBorders>
              <w:right w:val="single" w:sz="4" w:space="0" w:color="auto"/>
            </w:tcBorders>
            <w:noWrap/>
            <w:hideMark/>
          </w:tcPr>
          <w:p w14:paraId="7A815AC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1.45</w:t>
            </w:r>
          </w:p>
        </w:tc>
        <w:tc>
          <w:tcPr>
            <w:tcW w:w="1630" w:type="dxa"/>
            <w:tcBorders>
              <w:left w:val="single" w:sz="4" w:space="0" w:color="auto"/>
            </w:tcBorders>
            <w:noWrap/>
            <w:hideMark/>
          </w:tcPr>
          <w:p w14:paraId="4F859B6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-0.42</w:t>
            </w:r>
          </w:p>
        </w:tc>
        <w:tc>
          <w:tcPr>
            <w:tcW w:w="1064" w:type="dxa"/>
          </w:tcPr>
          <w:p w14:paraId="53A6AC8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c>
          <w:tcPr>
            <w:tcW w:w="1139" w:type="dxa"/>
          </w:tcPr>
          <w:p w14:paraId="3C35C48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-0.21</w:t>
            </w:r>
          </w:p>
        </w:tc>
        <w:tc>
          <w:tcPr>
            <w:tcW w:w="0" w:type="auto"/>
            <w:noWrap/>
            <w:hideMark/>
          </w:tcPr>
          <w:p w14:paraId="75C086A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r>
      <w:tr w:rsidR="001F4DDE" w:rsidRPr="004C37CB" w14:paraId="52A119C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137BDF" w14:textId="77777777" w:rsidR="001F4DDE" w:rsidRPr="004C37CB" w:rsidRDefault="001F4DDE" w:rsidP="001F4DDE">
            <w:pPr>
              <w:jc w:val="center"/>
              <w:rPr>
                <w:color w:val="000000"/>
                <w:sz w:val="16"/>
                <w:szCs w:val="16"/>
              </w:rPr>
            </w:pPr>
            <w:r w:rsidRPr="004C37CB">
              <w:rPr>
                <w:color w:val="000000"/>
                <w:sz w:val="16"/>
                <w:szCs w:val="16"/>
              </w:rPr>
              <w:t>Singapore</w:t>
            </w:r>
          </w:p>
        </w:tc>
        <w:tc>
          <w:tcPr>
            <w:tcW w:w="0" w:type="auto"/>
            <w:tcBorders>
              <w:top w:val="nil"/>
              <w:bottom w:val="nil"/>
            </w:tcBorders>
            <w:noWrap/>
            <w:hideMark/>
          </w:tcPr>
          <w:p w14:paraId="6983EA4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-0.32</w:t>
            </w:r>
          </w:p>
        </w:tc>
        <w:tc>
          <w:tcPr>
            <w:tcW w:w="0" w:type="auto"/>
            <w:tcBorders>
              <w:top w:val="nil"/>
              <w:bottom w:val="nil"/>
            </w:tcBorders>
          </w:tcPr>
          <w:p w14:paraId="04BED46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tcBorders>
              <w:top w:val="nil"/>
              <w:bottom w:val="nil"/>
            </w:tcBorders>
          </w:tcPr>
          <w:p w14:paraId="27E8030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top w:val="nil"/>
              <w:bottom w:val="nil"/>
              <w:right w:val="single" w:sz="4" w:space="0" w:color="auto"/>
            </w:tcBorders>
            <w:noWrap/>
            <w:hideMark/>
          </w:tcPr>
          <w:p w14:paraId="0AC934E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0" w:type="auto"/>
            <w:tcBorders>
              <w:left w:val="single" w:sz="4" w:space="0" w:color="auto"/>
            </w:tcBorders>
            <w:noWrap/>
            <w:hideMark/>
          </w:tcPr>
          <w:p w14:paraId="63FF6A7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1.47</w:t>
            </w:r>
          </w:p>
        </w:tc>
        <w:tc>
          <w:tcPr>
            <w:tcW w:w="0" w:type="auto"/>
          </w:tcPr>
          <w:p w14:paraId="58A359C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1.04</w:t>
            </w:r>
          </w:p>
        </w:tc>
        <w:tc>
          <w:tcPr>
            <w:tcW w:w="0" w:type="auto"/>
          </w:tcPr>
          <w:p w14:paraId="0DB8E4C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1.02</w:t>
            </w:r>
          </w:p>
        </w:tc>
        <w:tc>
          <w:tcPr>
            <w:tcW w:w="1630" w:type="dxa"/>
            <w:tcBorders>
              <w:right w:val="single" w:sz="4" w:space="0" w:color="auto"/>
            </w:tcBorders>
            <w:noWrap/>
            <w:hideMark/>
          </w:tcPr>
          <w:p w14:paraId="092CFE2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1.37</w:t>
            </w:r>
          </w:p>
        </w:tc>
        <w:tc>
          <w:tcPr>
            <w:tcW w:w="1630" w:type="dxa"/>
            <w:tcBorders>
              <w:left w:val="single" w:sz="4" w:space="0" w:color="auto"/>
            </w:tcBorders>
            <w:noWrap/>
            <w:hideMark/>
          </w:tcPr>
          <w:p w14:paraId="1E1E2A6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1064" w:type="dxa"/>
          </w:tcPr>
          <w:p w14:paraId="064D994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139" w:type="dxa"/>
          </w:tcPr>
          <w:p w14:paraId="69FDBC7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noWrap/>
            <w:hideMark/>
          </w:tcPr>
          <w:p w14:paraId="4633F74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r>
      <w:tr w:rsidR="001F4DDE" w:rsidRPr="004C37CB" w14:paraId="2446ED5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67DF96" w14:textId="77777777" w:rsidR="001F4DDE" w:rsidRPr="004C37CB" w:rsidRDefault="001F4DDE" w:rsidP="001F4DDE">
            <w:pPr>
              <w:jc w:val="center"/>
              <w:rPr>
                <w:color w:val="000000"/>
                <w:sz w:val="16"/>
                <w:szCs w:val="16"/>
              </w:rPr>
            </w:pPr>
            <w:r w:rsidRPr="004C37CB">
              <w:rPr>
                <w:color w:val="000000"/>
                <w:sz w:val="16"/>
                <w:szCs w:val="16"/>
              </w:rPr>
              <w:t>Spain</w:t>
            </w:r>
          </w:p>
        </w:tc>
        <w:tc>
          <w:tcPr>
            <w:tcW w:w="0" w:type="auto"/>
            <w:tcBorders>
              <w:top w:val="nil"/>
              <w:bottom w:val="nil"/>
            </w:tcBorders>
            <w:noWrap/>
            <w:hideMark/>
          </w:tcPr>
          <w:p w14:paraId="70F9389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0.33</w:t>
            </w:r>
          </w:p>
        </w:tc>
        <w:tc>
          <w:tcPr>
            <w:tcW w:w="0" w:type="auto"/>
            <w:tcBorders>
              <w:top w:val="nil"/>
              <w:bottom w:val="nil"/>
            </w:tcBorders>
          </w:tcPr>
          <w:p w14:paraId="23FD9E9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c>
          <w:tcPr>
            <w:tcW w:w="0" w:type="auto"/>
            <w:tcBorders>
              <w:top w:val="nil"/>
              <w:bottom w:val="nil"/>
            </w:tcBorders>
          </w:tcPr>
          <w:p w14:paraId="53B9487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0" w:type="auto"/>
            <w:tcBorders>
              <w:top w:val="nil"/>
              <w:bottom w:val="nil"/>
              <w:right w:val="single" w:sz="4" w:space="0" w:color="auto"/>
            </w:tcBorders>
            <w:noWrap/>
            <w:hideMark/>
          </w:tcPr>
          <w:p w14:paraId="061CE52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left w:val="single" w:sz="4" w:space="0" w:color="auto"/>
            </w:tcBorders>
            <w:noWrap/>
            <w:hideMark/>
          </w:tcPr>
          <w:p w14:paraId="1D8EE0C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1.80</w:t>
            </w:r>
          </w:p>
        </w:tc>
        <w:tc>
          <w:tcPr>
            <w:tcW w:w="0" w:type="auto"/>
          </w:tcPr>
          <w:p w14:paraId="0D53130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1.30</w:t>
            </w:r>
          </w:p>
        </w:tc>
        <w:tc>
          <w:tcPr>
            <w:tcW w:w="0" w:type="auto"/>
          </w:tcPr>
          <w:p w14:paraId="470EE03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1.15</w:t>
            </w:r>
          </w:p>
        </w:tc>
        <w:tc>
          <w:tcPr>
            <w:tcW w:w="1630" w:type="dxa"/>
            <w:tcBorders>
              <w:right w:val="single" w:sz="4" w:space="0" w:color="auto"/>
            </w:tcBorders>
            <w:noWrap/>
            <w:hideMark/>
          </w:tcPr>
          <w:p w14:paraId="20BC9FE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1.71</w:t>
            </w:r>
          </w:p>
        </w:tc>
        <w:tc>
          <w:tcPr>
            <w:tcW w:w="1630" w:type="dxa"/>
            <w:tcBorders>
              <w:left w:val="single" w:sz="4" w:space="0" w:color="auto"/>
            </w:tcBorders>
            <w:noWrap/>
            <w:hideMark/>
          </w:tcPr>
          <w:p w14:paraId="7F4F5FC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-0.23</w:t>
            </w:r>
          </w:p>
        </w:tc>
        <w:tc>
          <w:tcPr>
            <w:tcW w:w="1064" w:type="dxa"/>
          </w:tcPr>
          <w:p w14:paraId="2319F64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1139" w:type="dxa"/>
          </w:tcPr>
          <w:p w14:paraId="36093F2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-0.10</w:t>
            </w:r>
          </w:p>
        </w:tc>
        <w:tc>
          <w:tcPr>
            <w:tcW w:w="0" w:type="auto"/>
            <w:noWrap/>
            <w:hideMark/>
          </w:tcPr>
          <w:p w14:paraId="1BC9B58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-0.25</w:t>
            </w:r>
          </w:p>
        </w:tc>
      </w:tr>
      <w:tr w:rsidR="001F4DDE" w:rsidRPr="004C37CB" w14:paraId="3B3A8C3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0CEE63" w14:textId="77777777" w:rsidR="001F4DDE" w:rsidRPr="004C37CB" w:rsidRDefault="001F4DDE" w:rsidP="001F4DDE">
            <w:pPr>
              <w:jc w:val="center"/>
              <w:rPr>
                <w:color w:val="000000"/>
                <w:sz w:val="16"/>
                <w:szCs w:val="16"/>
              </w:rPr>
            </w:pPr>
            <w:r w:rsidRPr="004C37CB">
              <w:rPr>
                <w:color w:val="000000"/>
                <w:sz w:val="16"/>
                <w:szCs w:val="16"/>
              </w:rPr>
              <w:t>Sweden</w:t>
            </w:r>
          </w:p>
        </w:tc>
        <w:tc>
          <w:tcPr>
            <w:tcW w:w="0" w:type="auto"/>
            <w:tcBorders>
              <w:top w:val="nil"/>
              <w:bottom w:val="nil"/>
            </w:tcBorders>
            <w:noWrap/>
            <w:hideMark/>
          </w:tcPr>
          <w:p w14:paraId="1B22317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0.09</w:t>
            </w:r>
          </w:p>
        </w:tc>
        <w:tc>
          <w:tcPr>
            <w:tcW w:w="0" w:type="auto"/>
            <w:tcBorders>
              <w:top w:val="nil"/>
              <w:bottom w:val="nil"/>
            </w:tcBorders>
          </w:tcPr>
          <w:p w14:paraId="09D18D5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c>
          <w:tcPr>
            <w:tcW w:w="0" w:type="auto"/>
            <w:tcBorders>
              <w:top w:val="nil"/>
              <w:bottom w:val="nil"/>
            </w:tcBorders>
          </w:tcPr>
          <w:p w14:paraId="4727D88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0.10</w:t>
            </w:r>
          </w:p>
        </w:tc>
        <w:tc>
          <w:tcPr>
            <w:tcW w:w="0" w:type="auto"/>
            <w:tcBorders>
              <w:top w:val="nil"/>
              <w:bottom w:val="nil"/>
              <w:right w:val="single" w:sz="4" w:space="0" w:color="auto"/>
            </w:tcBorders>
            <w:noWrap/>
            <w:hideMark/>
          </w:tcPr>
          <w:p w14:paraId="5EABC84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tcBorders>
              <w:left w:val="single" w:sz="4" w:space="0" w:color="auto"/>
            </w:tcBorders>
            <w:noWrap/>
            <w:hideMark/>
          </w:tcPr>
          <w:p w14:paraId="7F2E4B7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1.38</w:t>
            </w:r>
          </w:p>
        </w:tc>
        <w:tc>
          <w:tcPr>
            <w:tcW w:w="0" w:type="auto"/>
          </w:tcPr>
          <w:p w14:paraId="2E11021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1.09</w:t>
            </w:r>
          </w:p>
        </w:tc>
        <w:tc>
          <w:tcPr>
            <w:tcW w:w="0" w:type="auto"/>
          </w:tcPr>
          <w:p w14:paraId="5D8B319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1.02</w:t>
            </w:r>
          </w:p>
        </w:tc>
        <w:tc>
          <w:tcPr>
            <w:tcW w:w="1630" w:type="dxa"/>
            <w:tcBorders>
              <w:right w:val="single" w:sz="4" w:space="0" w:color="auto"/>
            </w:tcBorders>
            <w:noWrap/>
            <w:hideMark/>
          </w:tcPr>
          <w:p w14:paraId="3FFAF90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1.24</w:t>
            </w:r>
          </w:p>
        </w:tc>
        <w:tc>
          <w:tcPr>
            <w:tcW w:w="1630" w:type="dxa"/>
            <w:tcBorders>
              <w:left w:val="single" w:sz="4" w:space="0" w:color="auto"/>
            </w:tcBorders>
            <w:noWrap/>
            <w:hideMark/>
          </w:tcPr>
          <w:p w14:paraId="1A31373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1064" w:type="dxa"/>
          </w:tcPr>
          <w:p w14:paraId="6D2054D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1139" w:type="dxa"/>
          </w:tcPr>
          <w:p w14:paraId="0C63420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noWrap/>
            <w:hideMark/>
          </w:tcPr>
          <w:p w14:paraId="56E8C78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r>
      <w:tr w:rsidR="001F4DDE" w:rsidRPr="004C37CB" w14:paraId="52ED2B8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21C01E" w14:textId="77777777" w:rsidR="001F4DDE" w:rsidRPr="004C37CB" w:rsidRDefault="001F4DDE" w:rsidP="001F4DDE">
            <w:pPr>
              <w:jc w:val="center"/>
              <w:rPr>
                <w:color w:val="000000"/>
                <w:sz w:val="16"/>
                <w:szCs w:val="16"/>
              </w:rPr>
            </w:pPr>
            <w:r w:rsidRPr="004C37CB">
              <w:rPr>
                <w:color w:val="000000"/>
                <w:sz w:val="16"/>
                <w:szCs w:val="16"/>
              </w:rPr>
              <w:t>Switzerland</w:t>
            </w:r>
          </w:p>
        </w:tc>
        <w:tc>
          <w:tcPr>
            <w:tcW w:w="0" w:type="auto"/>
            <w:tcBorders>
              <w:top w:val="nil"/>
              <w:bottom w:val="nil"/>
            </w:tcBorders>
            <w:noWrap/>
            <w:hideMark/>
          </w:tcPr>
          <w:p w14:paraId="39D42A3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top w:val="nil"/>
              <w:bottom w:val="nil"/>
            </w:tcBorders>
          </w:tcPr>
          <w:p w14:paraId="1B639E3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0" w:type="auto"/>
            <w:tcBorders>
              <w:top w:val="nil"/>
              <w:bottom w:val="nil"/>
            </w:tcBorders>
          </w:tcPr>
          <w:p w14:paraId="57B8E2C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c>
          <w:tcPr>
            <w:tcW w:w="0" w:type="auto"/>
            <w:tcBorders>
              <w:top w:val="nil"/>
              <w:bottom w:val="nil"/>
              <w:right w:val="single" w:sz="4" w:space="0" w:color="auto"/>
            </w:tcBorders>
            <w:noWrap/>
            <w:hideMark/>
          </w:tcPr>
          <w:p w14:paraId="6AE15E8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tcBorders>
              <w:left w:val="single" w:sz="4" w:space="0" w:color="auto"/>
            </w:tcBorders>
            <w:noWrap/>
            <w:hideMark/>
          </w:tcPr>
          <w:p w14:paraId="62F490F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1.30</w:t>
            </w:r>
          </w:p>
        </w:tc>
        <w:tc>
          <w:tcPr>
            <w:tcW w:w="0" w:type="auto"/>
          </w:tcPr>
          <w:p w14:paraId="5B6A8D2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1.21</w:t>
            </w:r>
          </w:p>
        </w:tc>
        <w:tc>
          <w:tcPr>
            <w:tcW w:w="0" w:type="auto"/>
          </w:tcPr>
          <w:p w14:paraId="21B6E6B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0.82</w:t>
            </w:r>
          </w:p>
        </w:tc>
        <w:tc>
          <w:tcPr>
            <w:tcW w:w="1630" w:type="dxa"/>
            <w:tcBorders>
              <w:right w:val="single" w:sz="4" w:space="0" w:color="auto"/>
            </w:tcBorders>
            <w:noWrap/>
            <w:hideMark/>
          </w:tcPr>
          <w:p w14:paraId="00BCEAF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1.18</w:t>
            </w:r>
          </w:p>
        </w:tc>
        <w:tc>
          <w:tcPr>
            <w:tcW w:w="1630" w:type="dxa"/>
            <w:tcBorders>
              <w:left w:val="single" w:sz="4" w:space="0" w:color="auto"/>
            </w:tcBorders>
            <w:noWrap/>
            <w:hideMark/>
          </w:tcPr>
          <w:p w14:paraId="6A8FF22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1064" w:type="dxa"/>
          </w:tcPr>
          <w:p w14:paraId="2F4ABBB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1139" w:type="dxa"/>
          </w:tcPr>
          <w:p w14:paraId="6110E54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noWrap/>
            <w:hideMark/>
          </w:tcPr>
          <w:p w14:paraId="6037ACC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r>
      <w:tr w:rsidR="001F4DDE" w:rsidRPr="004C37CB" w14:paraId="7B7A60C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6FABF24B" w14:textId="77777777" w:rsidR="001F4DDE" w:rsidRPr="004C37CB" w:rsidRDefault="001F4DDE" w:rsidP="001F4DDE">
            <w:pPr>
              <w:jc w:val="center"/>
              <w:rPr>
                <w:color w:val="000000"/>
                <w:sz w:val="16"/>
                <w:szCs w:val="16"/>
              </w:rPr>
            </w:pPr>
            <w:r w:rsidRPr="004C37CB">
              <w:rPr>
                <w:color w:val="000000"/>
                <w:sz w:val="16"/>
                <w:szCs w:val="16"/>
              </w:rPr>
              <w:t>UK</w:t>
            </w:r>
          </w:p>
        </w:tc>
        <w:tc>
          <w:tcPr>
            <w:tcW w:w="0" w:type="auto"/>
            <w:tcBorders>
              <w:top w:val="nil"/>
              <w:bottom w:val="single" w:sz="4" w:space="0" w:color="auto"/>
            </w:tcBorders>
            <w:noWrap/>
            <w:hideMark/>
          </w:tcPr>
          <w:p w14:paraId="327B2B0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tcBorders>
              <w:top w:val="nil"/>
              <w:bottom w:val="single" w:sz="4" w:space="0" w:color="auto"/>
            </w:tcBorders>
          </w:tcPr>
          <w:p w14:paraId="3A2F325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tcBorders>
              <w:top w:val="nil"/>
              <w:bottom w:val="single" w:sz="4" w:space="0" w:color="auto"/>
            </w:tcBorders>
          </w:tcPr>
          <w:p w14:paraId="3FAA27C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0" w:type="auto"/>
            <w:tcBorders>
              <w:top w:val="nil"/>
              <w:bottom w:val="single" w:sz="4" w:space="0" w:color="auto"/>
              <w:right w:val="single" w:sz="4" w:space="0" w:color="auto"/>
            </w:tcBorders>
            <w:noWrap/>
            <w:hideMark/>
          </w:tcPr>
          <w:p w14:paraId="7DC54C7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0.29</w:t>
            </w:r>
          </w:p>
        </w:tc>
        <w:tc>
          <w:tcPr>
            <w:tcW w:w="0" w:type="auto"/>
            <w:tcBorders>
              <w:left w:val="single" w:sz="4" w:space="0" w:color="auto"/>
              <w:bottom w:val="single" w:sz="4" w:space="0" w:color="auto"/>
            </w:tcBorders>
            <w:noWrap/>
            <w:hideMark/>
          </w:tcPr>
          <w:p w14:paraId="15137A8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1.31</w:t>
            </w:r>
          </w:p>
        </w:tc>
        <w:tc>
          <w:tcPr>
            <w:tcW w:w="0" w:type="auto"/>
            <w:tcBorders>
              <w:bottom w:val="single" w:sz="4" w:space="0" w:color="auto"/>
            </w:tcBorders>
          </w:tcPr>
          <w:p w14:paraId="274F515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1.33</w:t>
            </w:r>
          </w:p>
        </w:tc>
        <w:tc>
          <w:tcPr>
            <w:tcW w:w="0" w:type="auto"/>
            <w:tcBorders>
              <w:bottom w:val="single" w:sz="4" w:space="0" w:color="auto"/>
            </w:tcBorders>
          </w:tcPr>
          <w:p w14:paraId="28F09CC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1.11</w:t>
            </w:r>
          </w:p>
        </w:tc>
        <w:tc>
          <w:tcPr>
            <w:tcW w:w="1630" w:type="dxa"/>
            <w:tcBorders>
              <w:bottom w:val="single" w:sz="4" w:space="0" w:color="auto"/>
              <w:right w:val="single" w:sz="4" w:space="0" w:color="auto"/>
            </w:tcBorders>
            <w:noWrap/>
            <w:hideMark/>
          </w:tcPr>
          <w:p w14:paraId="31BC134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1.21</w:t>
            </w:r>
          </w:p>
        </w:tc>
        <w:tc>
          <w:tcPr>
            <w:tcW w:w="1630" w:type="dxa"/>
            <w:tcBorders>
              <w:left w:val="single" w:sz="4" w:space="0" w:color="auto"/>
              <w:bottom w:val="single" w:sz="4" w:space="0" w:color="auto"/>
            </w:tcBorders>
            <w:noWrap/>
            <w:hideMark/>
          </w:tcPr>
          <w:p w14:paraId="173D5EF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1064" w:type="dxa"/>
            <w:tcBorders>
              <w:bottom w:val="single" w:sz="4" w:space="0" w:color="auto"/>
            </w:tcBorders>
          </w:tcPr>
          <w:p w14:paraId="28711C7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c>
          <w:tcPr>
            <w:tcW w:w="1139" w:type="dxa"/>
            <w:tcBorders>
              <w:bottom w:val="single" w:sz="4" w:space="0" w:color="auto"/>
            </w:tcBorders>
          </w:tcPr>
          <w:p w14:paraId="165D1EC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c>
          <w:tcPr>
            <w:tcW w:w="0" w:type="auto"/>
            <w:tcBorders>
              <w:bottom w:val="single" w:sz="4" w:space="0" w:color="auto"/>
            </w:tcBorders>
            <w:noWrap/>
            <w:hideMark/>
          </w:tcPr>
          <w:p w14:paraId="0D72783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-0.24</w:t>
            </w:r>
          </w:p>
        </w:tc>
      </w:tr>
      <w:tr w:rsidR="001F4DDE" w:rsidRPr="004C37CB" w14:paraId="3D48448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noWrap/>
            <w:hideMark/>
          </w:tcPr>
          <w:p w14:paraId="20DF4567" w14:textId="77777777" w:rsidR="001F4DDE" w:rsidRPr="004C37CB" w:rsidRDefault="001F4DDE" w:rsidP="001F4DDE">
            <w:pPr>
              <w:jc w:val="center"/>
              <w:rPr>
                <w:color w:val="000000"/>
                <w:sz w:val="16"/>
                <w:szCs w:val="16"/>
              </w:rPr>
            </w:pPr>
            <w:r w:rsidRPr="004C37CB">
              <w:rPr>
                <w:color w:val="000000"/>
                <w:sz w:val="16"/>
                <w:szCs w:val="16"/>
              </w:rPr>
              <w:t>Average</w:t>
            </w:r>
          </w:p>
        </w:tc>
        <w:tc>
          <w:tcPr>
            <w:tcW w:w="0" w:type="auto"/>
            <w:tcBorders>
              <w:top w:val="single" w:sz="4" w:space="0" w:color="auto"/>
              <w:bottom w:val="single" w:sz="4" w:space="0" w:color="auto"/>
            </w:tcBorders>
            <w:noWrap/>
            <w:hideMark/>
          </w:tcPr>
          <w:p w14:paraId="3076402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4C37CB">
              <w:rPr>
                <w:bCs/>
                <w:color w:val="000000"/>
                <w:sz w:val="16"/>
                <w:szCs w:val="16"/>
              </w:rPr>
              <w:t>0.07</w:t>
            </w:r>
          </w:p>
        </w:tc>
        <w:tc>
          <w:tcPr>
            <w:tcW w:w="0" w:type="auto"/>
            <w:tcBorders>
              <w:top w:val="single" w:sz="4" w:space="0" w:color="auto"/>
              <w:bottom w:val="single" w:sz="4" w:space="0" w:color="auto"/>
            </w:tcBorders>
          </w:tcPr>
          <w:p w14:paraId="438914A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4C37CB">
              <w:rPr>
                <w:bCs/>
                <w:color w:val="000000"/>
                <w:sz w:val="16"/>
                <w:szCs w:val="16"/>
              </w:rPr>
              <w:t>0.03</w:t>
            </w:r>
          </w:p>
        </w:tc>
        <w:tc>
          <w:tcPr>
            <w:tcW w:w="0" w:type="auto"/>
            <w:tcBorders>
              <w:top w:val="single" w:sz="4" w:space="0" w:color="auto"/>
              <w:bottom w:val="single" w:sz="4" w:space="0" w:color="auto"/>
            </w:tcBorders>
          </w:tcPr>
          <w:p w14:paraId="7CEA32B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4C37CB">
              <w:rPr>
                <w:bCs/>
                <w:color w:val="000000"/>
                <w:sz w:val="16"/>
                <w:szCs w:val="16"/>
              </w:rPr>
              <w:t>0.07</w:t>
            </w:r>
          </w:p>
        </w:tc>
        <w:tc>
          <w:tcPr>
            <w:tcW w:w="0" w:type="auto"/>
            <w:tcBorders>
              <w:top w:val="single" w:sz="4" w:space="0" w:color="auto"/>
              <w:bottom w:val="single" w:sz="4" w:space="0" w:color="auto"/>
              <w:right w:val="single" w:sz="4" w:space="0" w:color="auto"/>
            </w:tcBorders>
            <w:noWrap/>
            <w:hideMark/>
          </w:tcPr>
          <w:p w14:paraId="3FA9885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4C37CB">
              <w:rPr>
                <w:bCs/>
                <w:color w:val="000000"/>
                <w:sz w:val="16"/>
                <w:szCs w:val="16"/>
              </w:rPr>
              <w:t>0.01</w:t>
            </w:r>
          </w:p>
        </w:tc>
        <w:tc>
          <w:tcPr>
            <w:tcW w:w="0" w:type="auto"/>
            <w:tcBorders>
              <w:top w:val="single" w:sz="4" w:space="0" w:color="auto"/>
              <w:left w:val="single" w:sz="4" w:space="0" w:color="auto"/>
              <w:bottom w:val="single" w:sz="4" w:space="0" w:color="auto"/>
            </w:tcBorders>
            <w:noWrap/>
            <w:vAlign w:val="center"/>
            <w:hideMark/>
          </w:tcPr>
          <w:p w14:paraId="65DFC82B"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D3C65">
              <w:rPr>
                <w:bCs/>
                <w:color w:val="000000"/>
                <w:sz w:val="16"/>
                <w:szCs w:val="16"/>
              </w:rPr>
              <w:t>1.39</w:t>
            </w:r>
          </w:p>
        </w:tc>
        <w:tc>
          <w:tcPr>
            <w:tcW w:w="0" w:type="auto"/>
            <w:tcBorders>
              <w:top w:val="single" w:sz="4" w:space="0" w:color="auto"/>
              <w:bottom w:val="single" w:sz="4" w:space="0" w:color="auto"/>
            </w:tcBorders>
            <w:vAlign w:val="center"/>
          </w:tcPr>
          <w:p w14:paraId="550F08AA"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D3C65">
              <w:rPr>
                <w:bCs/>
                <w:color w:val="000000"/>
                <w:sz w:val="16"/>
                <w:szCs w:val="16"/>
              </w:rPr>
              <w:t>1.22</w:t>
            </w:r>
          </w:p>
        </w:tc>
        <w:tc>
          <w:tcPr>
            <w:tcW w:w="0" w:type="auto"/>
            <w:tcBorders>
              <w:top w:val="single" w:sz="4" w:space="0" w:color="auto"/>
              <w:bottom w:val="single" w:sz="4" w:space="0" w:color="auto"/>
            </w:tcBorders>
            <w:vAlign w:val="center"/>
          </w:tcPr>
          <w:p w14:paraId="3CCC42F1"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D3C65">
              <w:rPr>
                <w:bCs/>
                <w:color w:val="000000"/>
                <w:sz w:val="16"/>
                <w:szCs w:val="16"/>
              </w:rPr>
              <w:t>1.15</w:t>
            </w:r>
          </w:p>
        </w:tc>
        <w:tc>
          <w:tcPr>
            <w:tcW w:w="1630" w:type="dxa"/>
            <w:tcBorders>
              <w:top w:val="single" w:sz="4" w:space="0" w:color="auto"/>
              <w:bottom w:val="single" w:sz="4" w:space="0" w:color="auto"/>
              <w:right w:val="single" w:sz="4" w:space="0" w:color="auto"/>
            </w:tcBorders>
            <w:noWrap/>
            <w:vAlign w:val="center"/>
            <w:hideMark/>
          </w:tcPr>
          <w:p w14:paraId="0330E195"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D3C65">
              <w:rPr>
                <w:bCs/>
                <w:color w:val="000000"/>
                <w:sz w:val="16"/>
                <w:szCs w:val="16"/>
              </w:rPr>
              <w:t>1.28</w:t>
            </w:r>
          </w:p>
        </w:tc>
        <w:tc>
          <w:tcPr>
            <w:tcW w:w="1630" w:type="dxa"/>
            <w:tcBorders>
              <w:top w:val="single" w:sz="4" w:space="0" w:color="auto"/>
              <w:left w:val="single" w:sz="4" w:space="0" w:color="auto"/>
              <w:bottom w:val="single" w:sz="4" w:space="0" w:color="auto"/>
            </w:tcBorders>
            <w:noWrap/>
            <w:hideMark/>
          </w:tcPr>
          <w:p w14:paraId="054AD64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1064" w:type="dxa"/>
            <w:tcBorders>
              <w:top w:val="single" w:sz="4" w:space="0" w:color="auto"/>
              <w:bottom w:val="single" w:sz="4" w:space="0" w:color="auto"/>
            </w:tcBorders>
          </w:tcPr>
          <w:p w14:paraId="230BA17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-0.09</w:t>
            </w:r>
          </w:p>
        </w:tc>
        <w:tc>
          <w:tcPr>
            <w:tcW w:w="1139" w:type="dxa"/>
            <w:tcBorders>
              <w:top w:val="single" w:sz="4" w:space="0" w:color="auto"/>
              <w:bottom w:val="single" w:sz="4" w:space="0" w:color="auto"/>
            </w:tcBorders>
          </w:tcPr>
          <w:p w14:paraId="103E0EC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0" w:type="auto"/>
            <w:tcBorders>
              <w:top w:val="single" w:sz="4" w:space="0" w:color="auto"/>
              <w:bottom w:val="single" w:sz="4" w:space="0" w:color="auto"/>
            </w:tcBorders>
            <w:noWrap/>
            <w:hideMark/>
          </w:tcPr>
          <w:p w14:paraId="37C936C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r>
      <w:tr w:rsidR="001F4DDE" w:rsidRPr="004C37CB" w14:paraId="7AAB914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tcPr>
          <w:p w14:paraId="1878EBEC" w14:textId="77777777" w:rsidR="001F4DDE" w:rsidRPr="004C37CB" w:rsidRDefault="001F4DDE" w:rsidP="001F4DDE">
            <w:pPr>
              <w:jc w:val="center"/>
              <w:rPr>
                <w:color w:val="000000"/>
                <w:sz w:val="16"/>
                <w:szCs w:val="16"/>
              </w:rPr>
            </w:pPr>
            <w:r>
              <w:rPr>
                <w:color w:val="000000"/>
                <w:sz w:val="16"/>
                <w:szCs w:val="16"/>
              </w:rPr>
              <w:t>Emerging Markets</w:t>
            </w:r>
          </w:p>
        </w:tc>
        <w:tc>
          <w:tcPr>
            <w:tcW w:w="0" w:type="auto"/>
            <w:tcBorders>
              <w:top w:val="single" w:sz="4" w:space="0" w:color="auto"/>
              <w:bottom w:val="nil"/>
            </w:tcBorders>
            <w:noWrap/>
          </w:tcPr>
          <w:p w14:paraId="71FF752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bottom w:val="nil"/>
            </w:tcBorders>
          </w:tcPr>
          <w:p w14:paraId="703E50C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bottom w:val="nil"/>
            </w:tcBorders>
          </w:tcPr>
          <w:p w14:paraId="21ACD20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bottom w:val="nil"/>
              <w:right w:val="single" w:sz="4" w:space="0" w:color="auto"/>
            </w:tcBorders>
            <w:noWrap/>
          </w:tcPr>
          <w:p w14:paraId="7E034A1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left w:val="single" w:sz="4" w:space="0" w:color="auto"/>
            </w:tcBorders>
            <w:noWrap/>
          </w:tcPr>
          <w:p w14:paraId="5F3F0B0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tcBorders>
          </w:tcPr>
          <w:p w14:paraId="109628D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tcBorders>
          </w:tcPr>
          <w:p w14:paraId="6BAA77A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630" w:type="dxa"/>
            <w:tcBorders>
              <w:top w:val="single" w:sz="4" w:space="0" w:color="auto"/>
              <w:right w:val="single" w:sz="4" w:space="0" w:color="auto"/>
            </w:tcBorders>
            <w:noWrap/>
          </w:tcPr>
          <w:p w14:paraId="05BD4BE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630" w:type="dxa"/>
            <w:tcBorders>
              <w:top w:val="single" w:sz="4" w:space="0" w:color="auto"/>
              <w:left w:val="single" w:sz="4" w:space="0" w:color="auto"/>
            </w:tcBorders>
            <w:noWrap/>
          </w:tcPr>
          <w:p w14:paraId="4A16086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064" w:type="dxa"/>
            <w:tcBorders>
              <w:top w:val="single" w:sz="4" w:space="0" w:color="auto"/>
            </w:tcBorders>
          </w:tcPr>
          <w:p w14:paraId="4A4E352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139" w:type="dxa"/>
            <w:tcBorders>
              <w:top w:val="single" w:sz="4" w:space="0" w:color="auto"/>
            </w:tcBorders>
          </w:tcPr>
          <w:p w14:paraId="355B220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tcBorders>
            <w:noWrap/>
          </w:tcPr>
          <w:p w14:paraId="0434DA6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F4DDE" w:rsidRPr="004C37CB" w14:paraId="44E8EF4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F17EA1" w14:textId="77777777" w:rsidR="001F4DDE" w:rsidRPr="004C37CB" w:rsidRDefault="001F4DDE" w:rsidP="001F4DDE">
            <w:pPr>
              <w:jc w:val="center"/>
              <w:rPr>
                <w:color w:val="000000"/>
                <w:sz w:val="16"/>
                <w:szCs w:val="16"/>
              </w:rPr>
            </w:pPr>
            <w:r w:rsidRPr="004C37CB">
              <w:rPr>
                <w:color w:val="000000"/>
                <w:sz w:val="16"/>
                <w:szCs w:val="16"/>
              </w:rPr>
              <w:t>Brazil</w:t>
            </w:r>
          </w:p>
        </w:tc>
        <w:tc>
          <w:tcPr>
            <w:tcW w:w="0" w:type="auto"/>
            <w:tcBorders>
              <w:top w:val="nil"/>
              <w:bottom w:val="nil"/>
            </w:tcBorders>
            <w:noWrap/>
            <w:hideMark/>
          </w:tcPr>
          <w:p w14:paraId="2593A98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0" w:type="auto"/>
            <w:tcBorders>
              <w:top w:val="nil"/>
              <w:bottom w:val="nil"/>
            </w:tcBorders>
          </w:tcPr>
          <w:p w14:paraId="2CDC4F8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0" w:type="auto"/>
            <w:tcBorders>
              <w:top w:val="nil"/>
              <w:bottom w:val="nil"/>
            </w:tcBorders>
          </w:tcPr>
          <w:p w14:paraId="1AE2D41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0.20</w:t>
            </w:r>
          </w:p>
        </w:tc>
        <w:tc>
          <w:tcPr>
            <w:tcW w:w="0" w:type="auto"/>
            <w:tcBorders>
              <w:top w:val="nil"/>
              <w:bottom w:val="nil"/>
              <w:right w:val="single" w:sz="4" w:space="0" w:color="auto"/>
            </w:tcBorders>
            <w:noWrap/>
            <w:hideMark/>
          </w:tcPr>
          <w:p w14:paraId="0AEE5F9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0.25</w:t>
            </w:r>
          </w:p>
        </w:tc>
        <w:tc>
          <w:tcPr>
            <w:tcW w:w="0" w:type="auto"/>
            <w:tcBorders>
              <w:left w:val="single" w:sz="4" w:space="0" w:color="auto"/>
            </w:tcBorders>
            <w:noWrap/>
            <w:hideMark/>
          </w:tcPr>
          <w:p w14:paraId="75D65F1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1.58</w:t>
            </w:r>
          </w:p>
        </w:tc>
        <w:tc>
          <w:tcPr>
            <w:tcW w:w="0" w:type="auto"/>
          </w:tcPr>
          <w:p w14:paraId="3C0B3F3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1.36</w:t>
            </w:r>
          </w:p>
        </w:tc>
        <w:tc>
          <w:tcPr>
            <w:tcW w:w="0" w:type="auto"/>
          </w:tcPr>
          <w:p w14:paraId="1684E1A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1.36</w:t>
            </w:r>
          </w:p>
        </w:tc>
        <w:tc>
          <w:tcPr>
            <w:tcW w:w="1630" w:type="dxa"/>
            <w:tcBorders>
              <w:right w:val="single" w:sz="4" w:space="0" w:color="auto"/>
            </w:tcBorders>
            <w:noWrap/>
            <w:hideMark/>
          </w:tcPr>
          <w:p w14:paraId="02D1476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1.39</w:t>
            </w:r>
          </w:p>
        </w:tc>
        <w:tc>
          <w:tcPr>
            <w:tcW w:w="1630" w:type="dxa"/>
            <w:tcBorders>
              <w:left w:val="single" w:sz="4" w:space="0" w:color="auto"/>
            </w:tcBorders>
            <w:noWrap/>
            <w:hideMark/>
          </w:tcPr>
          <w:p w14:paraId="31AD8A7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c>
          <w:tcPr>
            <w:tcW w:w="1064" w:type="dxa"/>
          </w:tcPr>
          <w:p w14:paraId="69A6ED9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1139" w:type="dxa"/>
          </w:tcPr>
          <w:p w14:paraId="43F4FD2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-0.28</w:t>
            </w:r>
          </w:p>
        </w:tc>
        <w:tc>
          <w:tcPr>
            <w:tcW w:w="0" w:type="auto"/>
            <w:noWrap/>
            <w:hideMark/>
          </w:tcPr>
          <w:p w14:paraId="28A1092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r>
      <w:tr w:rsidR="001F4DDE" w:rsidRPr="004C37CB" w14:paraId="7666099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30C6B8" w14:textId="77777777" w:rsidR="001F4DDE" w:rsidRPr="004C37CB" w:rsidRDefault="001F4DDE" w:rsidP="001F4DDE">
            <w:pPr>
              <w:jc w:val="center"/>
              <w:rPr>
                <w:color w:val="000000"/>
                <w:sz w:val="16"/>
                <w:szCs w:val="16"/>
              </w:rPr>
            </w:pPr>
            <w:r w:rsidRPr="004C37CB">
              <w:rPr>
                <w:color w:val="000000"/>
                <w:sz w:val="16"/>
                <w:szCs w:val="16"/>
              </w:rPr>
              <w:t>Chile</w:t>
            </w:r>
          </w:p>
        </w:tc>
        <w:tc>
          <w:tcPr>
            <w:tcW w:w="0" w:type="auto"/>
            <w:tcBorders>
              <w:top w:val="nil"/>
              <w:bottom w:val="nil"/>
            </w:tcBorders>
            <w:noWrap/>
            <w:hideMark/>
          </w:tcPr>
          <w:p w14:paraId="65445CB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-0.28</w:t>
            </w:r>
          </w:p>
        </w:tc>
        <w:tc>
          <w:tcPr>
            <w:tcW w:w="0" w:type="auto"/>
            <w:tcBorders>
              <w:top w:val="nil"/>
              <w:bottom w:val="nil"/>
            </w:tcBorders>
          </w:tcPr>
          <w:p w14:paraId="0AA559C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-0.41</w:t>
            </w:r>
          </w:p>
        </w:tc>
        <w:tc>
          <w:tcPr>
            <w:tcW w:w="0" w:type="auto"/>
            <w:tcBorders>
              <w:top w:val="nil"/>
              <w:bottom w:val="nil"/>
            </w:tcBorders>
          </w:tcPr>
          <w:p w14:paraId="04711E5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0" w:type="auto"/>
            <w:tcBorders>
              <w:top w:val="nil"/>
              <w:bottom w:val="nil"/>
              <w:right w:val="single" w:sz="4" w:space="0" w:color="auto"/>
            </w:tcBorders>
            <w:noWrap/>
            <w:hideMark/>
          </w:tcPr>
          <w:p w14:paraId="02A52E7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-0.28</w:t>
            </w:r>
          </w:p>
        </w:tc>
        <w:tc>
          <w:tcPr>
            <w:tcW w:w="0" w:type="auto"/>
            <w:tcBorders>
              <w:left w:val="single" w:sz="4" w:space="0" w:color="auto"/>
            </w:tcBorders>
            <w:noWrap/>
            <w:hideMark/>
          </w:tcPr>
          <w:p w14:paraId="15F5778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1.66</w:t>
            </w:r>
          </w:p>
        </w:tc>
        <w:tc>
          <w:tcPr>
            <w:tcW w:w="0" w:type="auto"/>
          </w:tcPr>
          <w:p w14:paraId="04F77B7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0.91</w:t>
            </w:r>
          </w:p>
        </w:tc>
        <w:tc>
          <w:tcPr>
            <w:tcW w:w="0" w:type="auto"/>
          </w:tcPr>
          <w:p w14:paraId="25496E8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0.96</w:t>
            </w:r>
          </w:p>
        </w:tc>
        <w:tc>
          <w:tcPr>
            <w:tcW w:w="1630" w:type="dxa"/>
            <w:tcBorders>
              <w:right w:val="single" w:sz="4" w:space="0" w:color="auto"/>
            </w:tcBorders>
            <w:noWrap/>
            <w:hideMark/>
          </w:tcPr>
          <w:p w14:paraId="0D2153F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1.56</w:t>
            </w:r>
          </w:p>
        </w:tc>
        <w:tc>
          <w:tcPr>
            <w:tcW w:w="1630" w:type="dxa"/>
            <w:tcBorders>
              <w:left w:val="single" w:sz="4" w:space="0" w:color="auto"/>
            </w:tcBorders>
            <w:noWrap/>
            <w:hideMark/>
          </w:tcPr>
          <w:p w14:paraId="529FAD7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0.43</w:t>
            </w:r>
          </w:p>
        </w:tc>
        <w:tc>
          <w:tcPr>
            <w:tcW w:w="1064" w:type="dxa"/>
          </w:tcPr>
          <w:p w14:paraId="52CE433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1139" w:type="dxa"/>
          </w:tcPr>
          <w:p w14:paraId="4DF5431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noWrap/>
            <w:hideMark/>
          </w:tcPr>
          <w:p w14:paraId="551A8B7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0.46</w:t>
            </w:r>
          </w:p>
        </w:tc>
      </w:tr>
      <w:tr w:rsidR="001F4DDE" w:rsidRPr="004C37CB" w14:paraId="7F74817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8B7F49" w14:textId="77777777" w:rsidR="001F4DDE" w:rsidRPr="004C37CB" w:rsidRDefault="001F4DDE" w:rsidP="001F4DDE">
            <w:pPr>
              <w:jc w:val="center"/>
              <w:rPr>
                <w:color w:val="000000"/>
                <w:sz w:val="16"/>
                <w:szCs w:val="16"/>
              </w:rPr>
            </w:pPr>
            <w:r w:rsidRPr="004C37CB">
              <w:rPr>
                <w:color w:val="000000"/>
                <w:sz w:val="16"/>
                <w:szCs w:val="16"/>
              </w:rPr>
              <w:t>China</w:t>
            </w:r>
          </w:p>
        </w:tc>
        <w:tc>
          <w:tcPr>
            <w:tcW w:w="0" w:type="auto"/>
            <w:tcBorders>
              <w:top w:val="nil"/>
              <w:bottom w:val="nil"/>
            </w:tcBorders>
            <w:noWrap/>
            <w:hideMark/>
          </w:tcPr>
          <w:p w14:paraId="599EF6A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-0.45</w:t>
            </w:r>
          </w:p>
        </w:tc>
        <w:tc>
          <w:tcPr>
            <w:tcW w:w="0" w:type="auto"/>
            <w:tcBorders>
              <w:top w:val="nil"/>
              <w:bottom w:val="nil"/>
            </w:tcBorders>
          </w:tcPr>
          <w:p w14:paraId="4269240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top w:val="nil"/>
              <w:bottom w:val="nil"/>
            </w:tcBorders>
          </w:tcPr>
          <w:p w14:paraId="5699208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tcBorders>
              <w:top w:val="nil"/>
              <w:bottom w:val="nil"/>
              <w:right w:val="single" w:sz="4" w:space="0" w:color="auto"/>
            </w:tcBorders>
            <w:noWrap/>
            <w:hideMark/>
          </w:tcPr>
          <w:p w14:paraId="4B82978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-0.44</w:t>
            </w:r>
          </w:p>
        </w:tc>
        <w:tc>
          <w:tcPr>
            <w:tcW w:w="0" w:type="auto"/>
            <w:tcBorders>
              <w:left w:val="single" w:sz="4" w:space="0" w:color="auto"/>
            </w:tcBorders>
            <w:noWrap/>
            <w:hideMark/>
          </w:tcPr>
          <w:p w14:paraId="6BFC6C8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1.53</w:t>
            </w:r>
          </w:p>
        </w:tc>
        <w:tc>
          <w:tcPr>
            <w:tcW w:w="0" w:type="auto"/>
          </w:tcPr>
          <w:p w14:paraId="4DDDAB9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0.87</w:t>
            </w:r>
          </w:p>
        </w:tc>
        <w:tc>
          <w:tcPr>
            <w:tcW w:w="0" w:type="auto"/>
          </w:tcPr>
          <w:p w14:paraId="4C0C098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0.79</w:t>
            </w:r>
          </w:p>
        </w:tc>
        <w:tc>
          <w:tcPr>
            <w:tcW w:w="1630" w:type="dxa"/>
            <w:tcBorders>
              <w:right w:val="single" w:sz="4" w:space="0" w:color="auto"/>
            </w:tcBorders>
            <w:noWrap/>
            <w:hideMark/>
          </w:tcPr>
          <w:p w14:paraId="04D68C2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1.02</w:t>
            </w:r>
          </w:p>
        </w:tc>
        <w:tc>
          <w:tcPr>
            <w:tcW w:w="1630" w:type="dxa"/>
            <w:tcBorders>
              <w:left w:val="single" w:sz="4" w:space="0" w:color="auto"/>
            </w:tcBorders>
            <w:noWrap/>
            <w:hideMark/>
          </w:tcPr>
          <w:p w14:paraId="35CBCDF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1064" w:type="dxa"/>
          </w:tcPr>
          <w:p w14:paraId="66AA85F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c>
          <w:tcPr>
            <w:tcW w:w="1139" w:type="dxa"/>
          </w:tcPr>
          <w:p w14:paraId="36E1C51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-0.25</w:t>
            </w:r>
          </w:p>
        </w:tc>
        <w:tc>
          <w:tcPr>
            <w:tcW w:w="0" w:type="auto"/>
            <w:noWrap/>
            <w:hideMark/>
          </w:tcPr>
          <w:p w14:paraId="0E521EC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-0.24</w:t>
            </w:r>
          </w:p>
        </w:tc>
      </w:tr>
      <w:tr w:rsidR="001F4DDE" w:rsidRPr="004C37CB" w14:paraId="606F5F0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9716F5" w14:textId="77777777" w:rsidR="001F4DDE" w:rsidRPr="004C37CB" w:rsidRDefault="001F4DDE" w:rsidP="001F4DDE">
            <w:pPr>
              <w:jc w:val="center"/>
              <w:rPr>
                <w:color w:val="000000"/>
                <w:sz w:val="16"/>
                <w:szCs w:val="16"/>
              </w:rPr>
            </w:pPr>
            <w:r w:rsidRPr="004C37CB">
              <w:rPr>
                <w:color w:val="000000"/>
                <w:sz w:val="16"/>
                <w:szCs w:val="16"/>
              </w:rPr>
              <w:t>Colombia</w:t>
            </w:r>
          </w:p>
        </w:tc>
        <w:tc>
          <w:tcPr>
            <w:tcW w:w="0" w:type="auto"/>
            <w:tcBorders>
              <w:top w:val="nil"/>
              <w:bottom w:val="nil"/>
            </w:tcBorders>
            <w:noWrap/>
            <w:hideMark/>
          </w:tcPr>
          <w:p w14:paraId="46588A5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0" w:type="auto"/>
            <w:tcBorders>
              <w:top w:val="nil"/>
              <w:bottom w:val="nil"/>
            </w:tcBorders>
          </w:tcPr>
          <w:p w14:paraId="4DC04DE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tcBorders>
              <w:top w:val="nil"/>
              <w:bottom w:val="nil"/>
            </w:tcBorders>
          </w:tcPr>
          <w:p w14:paraId="65795B0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0.23</w:t>
            </w:r>
          </w:p>
        </w:tc>
        <w:tc>
          <w:tcPr>
            <w:tcW w:w="0" w:type="auto"/>
            <w:tcBorders>
              <w:top w:val="nil"/>
              <w:bottom w:val="nil"/>
              <w:right w:val="single" w:sz="4" w:space="0" w:color="auto"/>
            </w:tcBorders>
            <w:noWrap/>
            <w:hideMark/>
          </w:tcPr>
          <w:p w14:paraId="7BA5F9A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-0.41</w:t>
            </w:r>
          </w:p>
        </w:tc>
        <w:tc>
          <w:tcPr>
            <w:tcW w:w="0" w:type="auto"/>
            <w:tcBorders>
              <w:left w:val="single" w:sz="4" w:space="0" w:color="auto"/>
            </w:tcBorders>
            <w:noWrap/>
            <w:hideMark/>
          </w:tcPr>
          <w:p w14:paraId="29675AE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1.69</w:t>
            </w:r>
          </w:p>
        </w:tc>
        <w:tc>
          <w:tcPr>
            <w:tcW w:w="0" w:type="auto"/>
          </w:tcPr>
          <w:p w14:paraId="7D1724A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1.35</w:t>
            </w:r>
          </w:p>
        </w:tc>
        <w:tc>
          <w:tcPr>
            <w:tcW w:w="0" w:type="auto"/>
          </w:tcPr>
          <w:p w14:paraId="7BE651F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1.37</w:t>
            </w:r>
          </w:p>
        </w:tc>
        <w:tc>
          <w:tcPr>
            <w:tcW w:w="1630" w:type="dxa"/>
            <w:tcBorders>
              <w:right w:val="single" w:sz="4" w:space="0" w:color="auto"/>
            </w:tcBorders>
            <w:noWrap/>
            <w:hideMark/>
          </w:tcPr>
          <w:p w14:paraId="4DE26FC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1.77</w:t>
            </w:r>
          </w:p>
        </w:tc>
        <w:tc>
          <w:tcPr>
            <w:tcW w:w="1630" w:type="dxa"/>
            <w:tcBorders>
              <w:left w:val="single" w:sz="4" w:space="0" w:color="auto"/>
            </w:tcBorders>
            <w:noWrap/>
            <w:hideMark/>
          </w:tcPr>
          <w:p w14:paraId="02E70E6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0.68</w:t>
            </w:r>
          </w:p>
        </w:tc>
        <w:tc>
          <w:tcPr>
            <w:tcW w:w="1064" w:type="dxa"/>
          </w:tcPr>
          <w:p w14:paraId="7520F2A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139" w:type="dxa"/>
          </w:tcPr>
          <w:p w14:paraId="0C095A4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c>
          <w:tcPr>
            <w:tcW w:w="0" w:type="auto"/>
            <w:noWrap/>
            <w:hideMark/>
          </w:tcPr>
          <w:p w14:paraId="5DD8C7A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0.42</w:t>
            </w:r>
          </w:p>
        </w:tc>
      </w:tr>
      <w:tr w:rsidR="001F4DDE" w:rsidRPr="004C37CB" w14:paraId="14A8FEA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9D6CD5" w14:textId="77777777" w:rsidR="001F4DDE" w:rsidRPr="004C37CB" w:rsidRDefault="001F4DDE" w:rsidP="001F4DDE">
            <w:pPr>
              <w:jc w:val="center"/>
              <w:rPr>
                <w:color w:val="000000"/>
                <w:sz w:val="16"/>
                <w:szCs w:val="16"/>
              </w:rPr>
            </w:pPr>
            <w:r w:rsidRPr="004C37CB">
              <w:rPr>
                <w:color w:val="000000"/>
                <w:sz w:val="16"/>
                <w:szCs w:val="16"/>
              </w:rPr>
              <w:t>India</w:t>
            </w:r>
          </w:p>
        </w:tc>
        <w:tc>
          <w:tcPr>
            <w:tcW w:w="0" w:type="auto"/>
            <w:tcBorders>
              <w:top w:val="nil"/>
              <w:bottom w:val="nil"/>
            </w:tcBorders>
            <w:noWrap/>
            <w:hideMark/>
          </w:tcPr>
          <w:p w14:paraId="5164E05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c>
          <w:tcPr>
            <w:tcW w:w="0" w:type="auto"/>
            <w:tcBorders>
              <w:top w:val="nil"/>
              <w:bottom w:val="nil"/>
            </w:tcBorders>
          </w:tcPr>
          <w:p w14:paraId="25FEABC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0.05</w:t>
            </w:r>
          </w:p>
        </w:tc>
        <w:tc>
          <w:tcPr>
            <w:tcW w:w="0" w:type="auto"/>
            <w:tcBorders>
              <w:top w:val="nil"/>
              <w:bottom w:val="nil"/>
            </w:tcBorders>
          </w:tcPr>
          <w:p w14:paraId="361143D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0.70</w:t>
            </w:r>
          </w:p>
        </w:tc>
        <w:tc>
          <w:tcPr>
            <w:tcW w:w="0" w:type="auto"/>
            <w:tcBorders>
              <w:top w:val="nil"/>
              <w:bottom w:val="nil"/>
              <w:right w:val="single" w:sz="4" w:space="0" w:color="auto"/>
            </w:tcBorders>
            <w:noWrap/>
            <w:hideMark/>
          </w:tcPr>
          <w:p w14:paraId="4F6478A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0.39</w:t>
            </w:r>
          </w:p>
        </w:tc>
        <w:tc>
          <w:tcPr>
            <w:tcW w:w="0" w:type="auto"/>
            <w:tcBorders>
              <w:left w:val="single" w:sz="4" w:space="0" w:color="auto"/>
            </w:tcBorders>
            <w:noWrap/>
            <w:hideMark/>
          </w:tcPr>
          <w:p w14:paraId="5C76826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1.74</w:t>
            </w:r>
          </w:p>
        </w:tc>
        <w:tc>
          <w:tcPr>
            <w:tcW w:w="0" w:type="auto"/>
          </w:tcPr>
          <w:p w14:paraId="497679E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1.37</w:t>
            </w:r>
          </w:p>
        </w:tc>
        <w:tc>
          <w:tcPr>
            <w:tcW w:w="0" w:type="auto"/>
          </w:tcPr>
          <w:p w14:paraId="613022E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1.31</w:t>
            </w:r>
          </w:p>
        </w:tc>
        <w:tc>
          <w:tcPr>
            <w:tcW w:w="1630" w:type="dxa"/>
            <w:tcBorders>
              <w:right w:val="single" w:sz="4" w:space="0" w:color="auto"/>
            </w:tcBorders>
            <w:noWrap/>
            <w:hideMark/>
          </w:tcPr>
          <w:p w14:paraId="0EB805C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1.28</w:t>
            </w:r>
          </w:p>
        </w:tc>
        <w:tc>
          <w:tcPr>
            <w:tcW w:w="1630" w:type="dxa"/>
            <w:tcBorders>
              <w:left w:val="single" w:sz="4" w:space="0" w:color="auto"/>
            </w:tcBorders>
            <w:noWrap/>
            <w:hideMark/>
          </w:tcPr>
          <w:p w14:paraId="44C1B76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-0.20</w:t>
            </w:r>
          </w:p>
        </w:tc>
        <w:tc>
          <w:tcPr>
            <w:tcW w:w="1064" w:type="dxa"/>
          </w:tcPr>
          <w:p w14:paraId="56A5885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1139" w:type="dxa"/>
          </w:tcPr>
          <w:p w14:paraId="276B511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noWrap/>
            <w:hideMark/>
          </w:tcPr>
          <w:p w14:paraId="5B13762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r>
      <w:tr w:rsidR="001F4DDE" w:rsidRPr="004C37CB" w14:paraId="1DC5CBB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3F0F63" w14:textId="77777777" w:rsidR="001F4DDE" w:rsidRPr="004C37CB" w:rsidRDefault="001F4DDE" w:rsidP="001F4DDE">
            <w:pPr>
              <w:jc w:val="center"/>
              <w:rPr>
                <w:color w:val="000000"/>
                <w:sz w:val="16"/>
                <w:szCs w:val="16"/>
              </w:rPr>
            </w:pPr>
            <w:r w:rsidRPr="004C37CB">
              <w:rPr>
                <w:color w:val="000000"/>
                <w:sz w:val="16"/>
                <w:szCs w:val="16"/>
              </w:rPr>
              <w:t>Indonesia</w:t>
            </w:r>
          </w:p>
        </w:tc>
        <w:tc>
          <w:tcPr>
            <w:tcW w:w="0" w:type="auto"/>
            <w:tcBorders>
              <w:top w:val="nil"/>
              <w:bottom w:val="nil"/>
            </w:tcBorders>
            <w:noWrap/>
            <w:hideMark/>
          </w:tcPr>
          <w:p w14:paraId="383E08F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-0.39</w:t>
            </w:r>
          </w:p>
        </w:tc>
        <w:tc>
          <w:tcPr>
            <w:tcW w:w="0" w:type="auto"/>
            <w:tcBorders>
              <w:top w:val="nil"/>
              <w:bottom w:val="nil"/>
            </w:tcBorders>
          </w:tcPr>
          <w:p w14:paraId="3EEA572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tcBorders>
              <w:top w:val="nil"/>
              <w:bottom w:val="nil"/>
            </w:tcBorders>
          </w:tcPr>
          <w:p w14:paraId="3F1D425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0.21</w:t>
            </w:r>
          </w:p>
        </w:tc>
        <w:tc>
          <w:tcPr>
            <w:tcW w:w="0" w:type="auto"/>
            <w:tcBorders>
              <w:top w:val="nil"/>
              <w:bottom w:val="nil"/>
              <w:right w:val="single" w:sz="4" w:space="0" w:color="auto"/>
            </w:tcBorders>
            <w:noWrap/>
            <w:hideMark/>
          </w:tcPr>
          <w:p w14:paraId="6086C3A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-0.19</w:t>
            </w:r>
          </w:p>
        </w:tc>
        <w:tc>
          <w:tcPr>
            <w:tcW w:w="0" w:type="auto"/>
            <w:tcBorders>
              <w:left w:val="single" w:sz="4" w:space="0" w:color="auto"/>
            </w:tcBorders>
            <w:noWrap/>
            <w:hideMark/>
          </w:tcPr>
          <w:p w14:paraId="2D0D5C9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1.49</w:t>
            </w:r>
          </w:p>
        </w:tc>
        <w:tc>
          <w:tcPr>
            <w:tcW w:w="0" w:type="auto"/>
          </w:tcPr>
          <w:p w14:paraId="74A54AF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1.20</w:t>
            </w:r>
          </w:p>
        </w:tc>
        <w:tc>
          <w:tcPr>
            <w:tcW w:w="0" w:type="auto"/>
          </w:tcPr>
          <w:p w14:paraId="043AD91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1.27</w:t>
            </w:r>
          </w:p>
        </w:tc>
        <w:tc>
          <w:tcPr>
            <w:tcW w:w="1630" w:type="dxa"/>
            <w:tcBorders>
              <w:right w:val="single" w:sz="4" w:space="0" w:color="auto"/>
            </w:tcBorders>
            <w:noWrap/>
            <w:hideMark/>
          </w:tcPr>
          <w:p w14:paraId="60A68FD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1.14</w:t>
            </w:r>
          </w:p>
        </w:tc>
        <w:tc>
          <w:tcPr>
            <w:tcW w:w="1630" w:type="dxa"/>
            <w:tcBorders>
              <w:left w:val="single" w:sz="4" w:space="0" w:color="auto"/>
            </w:tcBorders>
            <w:noWrap/>
            <w:hideMark/>
          </w:tcPr>
          <w:p w14:paraId="70E8C7B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0.29</w:t>
            </w:r>
          </w:p>
        </w:tc>
        <w:tc>
          <w:tcPr>
            <w:tcW w:w="1064" w:type="dxa"/>
          </w:tcPr>
          <w:p w14:paraId="2D43133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c>
          <w:tcPr>
            <w:tcW w:w="1139" w:type="dxa"/>
          </w:tcPr>
          <w:p w14:paraId="0146284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-0.10</w:t>
            </w:r>
          </w:p>
        </w:tc>
        <w:tc>
          <w:tcPr>
            <w:tcW w:w="0" w:type="auto"/>
            <w:noWrap/>
            <w:hideMark/>
          </w:tcPr>
          <w:p w14:paraId="7B844E8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r>
      <w:tr w:rsidR="001F4DDE" w:rsidRPr="004C37CB" w14:paraId="7D36522D"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24164C" w14:textId="77777777" w:rsidR="001F4DDE" w:rsidRPr="004C37CB" w:rsidRDefault="001F4DDE" w:rsidP="001F4DDE">
            <w:pPr>
              <w:jc w:val="center"/>
              <w:rPr>
                <w:color w:val="000000"/>
                <w:sz w:val="16"/>
                <w:szCs w:val="16"/>
              </w:rPr>
            </w:pPr>
            <w:r w:rsidRPr="004C37CB">
              <w:rPr>
                <w:color w:val="000000"/>
                <w:sz w:val="16"/>
                <w:szCs w:val="16"/>
              </w:rPr>
              <w:t>Korea</w:t>
            </w:r>
          </w:p>
        </w:tc>
        <w:tc>
          <w:tcPr>
            <w:tcW w:w="0" w:type="auto"/>
            <w:tcBorders>
              <w:top w:val="nil"/>
              <w:bottom w:val="nil"/>
            </w:tcBorders>
            <w:noWrap/>
            <w:hideMark/>
          </w:tcPr>
          <w:p w14:paraId="2B78490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-0.05</w:t>
            </w:r>
          </w:p>
        </w:tc>
        <w:tc>
          <w:tcPr>
            <w:tcW w:w="0" w:type="auto"/>
            <w:tcBorders>
              <w:top w:val="nil"/>
              <w:bottom w:val="nil"/>
            </w:tcBorders>
          </w:tcPr>
          <w:p w14:paraId="4095C50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0" w:type="auto"/>
            <w:tcBorders>
              <w:top w:val="nil"/>
              <w:bottom w:val="nil"/>
            </w:tcBorders>
          </w:tcPr>
          <w:p w14:paraId="4CB4FF6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0" w:type="auto"/>
            <w:tcBorders>
              <w:top w:val="nil"/>
              <w:bottom w:val="nil"/>
              <w:right w:val="single" w:sz="4" w:space="0" w:color="auto"/>
            </w:tcBorders>
            <w:noWrap/>
            <w:hideMark/>
          </w:tcPr>
          <w:p w14:paraId="56B5F18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-0.09</w:t>
            </w:r>
          </w:p>
        </w:tc>
        <w:tc>
          <w:tcPr>
            <w:tcW w:w="0" w:type="auto"/>
            <w:tcBorders>
              <w:left w:val="single" w:sz="4" w:space="0" w:color="auto"/>
            </w:tcBorders>
            <w:noWrap/>
            <w:hideMark/>
          </w:tcPr>
          <w:p w14:paraId="1D00626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1.02</w:t>
            </w:r>
          </w:p>
        </w:tc>
        <w:tc>
          <w:tcPr>
            <w:tcW w:w="0" w:type="auto"/>
          </w:tcPr>
          <w:p w14:paraId="32CAC08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0.97</w:t>
            </w:r>
          </w:p>
        </w:tc>
        <w:tc>
          <w:tcPr>
            <w:tcW w:w="0" w:type="auto"/>
          </w:tcPr>
          <w:p w14:paraId="2749226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0.87</w:t>
            </w:r>
          </w:p>
        </w:tc>
        <w:tc>
          <w:tcPr>
            <w:tcW w:w="1630" w:type="dxa"/>
            <w:tcBorders>
              <w:right w:val="single" w:sz="4" w:space="0" w:color="auto"/>
            </w:tcBorders>
            <w:noWrap/>
            <w:hideMark/>
          </w:tcPr>
          <w:p w14:paraId="3BBACDE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1.05</w:t>
            </w:r>
          </w:p>
        </w:tc>
        <w:tc>
          <w:tcPr>
            <w:tcW w:w="1630" w:type="dxa"/>
            <w:tcBorders>
              <w:left w:val="single" w:sz="4" w:space="0" w:color="auto"/>
            </w:tcBorders>
            <w:noWrap/>
            <w:hideMark/>
          </w:tcPr>
          <w:p w14:paraId="087AA92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1064" w:type="dxa"/>
          </w:tcPr>
          <w:p w14:paraId="64B835E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139" w:type="dxa"/>
          </w:tcPr>
          <w:p w14:paraId="09F7C41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0" w:type="auto"/>
            <w:noWrap/>
            <w:hideMark/>
          </w:tcPr>
          <w:p w14:paraId="012B826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-0.20</w:t>
            </w:r>
          </w:p>
        </w:tc>
      </w:tr>
      <w:tr w:rsidR="001F4DDE" w:rsidRPr="004C37CB" w14:paraId="4D1443C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FB815C" w14:textId="77777777" w:rsidR="001F4DDE" w:rsidRPr="004C37CB" w:rsidRDefault="001F4DDE" w:rsidP="001F4DDE">
            <w:pPr>
              <w:jc w:val="center"/>
              <w:rPr>
                <w:color w:val="000000"/>
                <w:sz w:val="16"/>
                <w:szCs w:val="16"/>
              </w:rPr>
            </w:pPr>
            <w:r w:rsidRPr="004C37CB">
              <w:rPr>
                <w:color w:val="000000"/>
                <w:sz w:val="16"/>
                <w:szCs w:val="16"/>
              </w:rPr>
              <w:t>Malaysia</w:t>
            </w:r>
          </w:p>
        </w:tc>
        <w:tc>
          <w:tcPr>
            <w:tcW w:w="0" w:type="auto"/>
            <w:tcBorders>
              <w:top w:val="nil"/>
              <w:bottom w:val="nil"/>
            </w:tcBorders>
            <w:noWrap/>
            <w:hideMark/>
          </w:tcPr>
          <w:p w14:paraId="769E72E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-0.27</w:t>
            </w:r>
          </w:p>
        </w:tc>
        <w:tc>
          <w:tcPr>
            <w:tcW w:w="0" w:type="auto"/>
            <w:tcBorders>
              <w:top w:val="nil"/>
              <w:bottom w:val="nil"/>
            </w:tcBorders>
          </w:tcPr>
          <w:p w14:paraId="37ABB30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tcBorders>
              <w:top w:val="nil"/>
              <w:bottom w:val="nil"/>
            </w:tcBorders>
          </w:tcPr>
          <w:p w14:paraId="510017F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0" w:type="auto"/>
            <w:tcBorders>
              <w:top w:val="nil"/>
              <w:bottom w:val="nil"/>
              <w:right w:val="single" w:sz="4" w:space="0" w:color="auto"/>
            </w:tcBorders>
            <w:noWrap/>
            <w:hideMark/>
          </w:tcPr>
          <w:p w14:paraId="0BA350D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-0.23</w:t>
            </w:r>
          </w:p>
        </w:tc>
        <w:tc>
          <w:tcPr>
            <w:tcW w:w="0" w:type="auto"/>
            <w:tcBorders>
              <w:left w:val="single" w:sz="4" w:space="0" w:color="auto"/>
            </w:tcBorders>
            <w:noWrap/>
            <w:hideMark/>
          </w:tcPr>
          <w:p w14:paraId="13603AB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1.48</w:t>
            </w:r>
          </w:p>
        </w:tc>
        <w:tc>
          <w:tcPr>
            <w:tcW w:w="0" w:type="auto"/>
          </w:tcPr>
          <w:p w14:paraId="6DB961A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0.99</w:t>
            </w:r>
          </w:p>
        </w:tc>
        <w:tc>
          <w:tcPr>
            <w:tcW w:w="0" w:type="auto"/>
          </w:tcPr>
          <w:p w14:paraId="7BE5634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1.48</w:t>
            </w:r>
          </w:p>
        </w:tc>
        <w:tc>
          <w:tcPr>
            <w:tcW w:w="1630" w:type="dxa"/>
            <w:tcBorders>
              <w:right w:val="single" w:sz="4" w:space="0" w:color="auto"/>
            </w:tcBorders>
            <w:noWrap/>
            <w:hideMark/>
          </w:tcPr>
          <w:p w14:paraId="2A1F23A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1.17</w:t>
            </w:r>
          </w:p>
        </w:tc>
        <w:tc>
          <w:tcPr>
            <w:tcW w:w="1630" w:type="dxa"/>
            <w:tcBorders>
              <w:left w:val="single" w:sz="4" w:space="0" w:color="auto"/>
            </w:tcBorders>
            <w:noWrap/>
            <w:hideMark/>
          </w:tcPr>
          <w:p w14:paraId="07A80E7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0.39</w:t>
            </w:r>
          </w:p>
        </w:tc>
        <w:tc>
          <w:tcPr>
            <w:tcW w:w="1064" w:type="dxa"/>
          </w:tcPr>
          <w:p w14:paraId="5540DA8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1139" w:type="dxa"/>
          </w:tcPr>
          <w:p w14:paraId="340C565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0" w:type="auto"/>
            <w:noWrap/>
            <w:hideMark/>
          </w:tcPr>
          <w:p w14:paraId="5858432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0.33</w:t>
            </w:r>
          </w:p>
        </w:tc>
      </w:tr>
      <w:tr w:rsidR="001F4DDE" w:rsidRPr="004C37CB" w14:paraId="2FD8AF1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79B7C9" w14:textId="77777777" w:rsidR="001F4DDE" w:rsidRPr="004C37CB" w:rsidRDefault="001F4DDE" w:rsidP="001F4DDE">
            <w:pPr>
              <w:jc w:val="center"/>
              <w:rPr>
                <w:color w:val="000000"/>
                <w:sz w:val="16"/>
                <w:szCs w:val="16"/>
              </w:rPr>
            </w:pPr>
            <w:r w:rsidRPr="004C37CB">
              <w:rPr>
                <w:color w:val="000000"/>
                <w:sz w:val="16"/>
                <w:szCs w:val="16"/>
              </w:rPr>
              <w:t>Mexico</w:t>
            </w:r>
          </w:p>
        </w:tc>
        <w:tc>
          <w:tcPr>
            <w:tcW w:w="0" w:type="auto"/>
            <w:tcBorders>
              <w:top w:val="nil"/>
              <w:bottom w:val="nil"/>
            </w:tcBorders>
            <w:noWrap/>
            <w:hideMark/>
          </w:tcPr>
          <w:p w14:paraId="618C693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0.27</w:t>
            </w:r>
          </w:p>
        </w:tc>
        <w:tc>
          <w:tcPr>
            <w:tcW w:w="0" w:type="auto"/>
            <w:tcBorders>
              <w:top w:val="nil"/>
              <w:bottom w:val="nil"/>
            </w:tcBorders>
          </w:tcPr>
          <w:p w14:paraId="62AD62F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0.24</w:t>
            </w:r>
          </w:p>
        </w:tc>
        <w:tc>
          <w:tcPr>
            <w:tcW w:w="0" w:type="auto"/>
            <w:tcBorders>
              <w:top w:val="nil"/>
              <w:bottom w:val="nil"/>
            </w:tcBorders>
          </w:tcPr>
          <w:p w14:paraId="30BA342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0.32</w:t>
            </w:r>
          </w:p>
        </w:tc>
        <w:tc>
          <w:tcPr>
            <w:tcW w:w="0" w:type="auto"/>
            <w:tcBorders>
              <w:top w:val="nil"/>
              <w:bottom w:val="nil"/>
              <w:right w:val="single" w:sz="4" w:space="0" w:color="auto"/>
            </w:tcBorders>
            <w:noWrap/>
            <w:hideMark/>
          </w:tcPr>
          <w:p w14:paraId="726EE21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0" w:type="auto"/>
            <w:tcBorders>
              <w:left w:val="single" w:sz="4" w:space="0" w:color="auto"/>
            </w:tcBorders>
            <w:noWrap/>
            <w:hideMark/>
          </w:tcPr>
          <w:p w14:paraId="22E4F2E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1.45</w:t>
            </w:r>
          </w:p>
        </w:tc>
        <w:tc>
          <w:tcPr>
            <w:tcW w:w="0" w:type="auto"/>
          </w:tcPr>
          <w:p w14:paraId="4447AB0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1.08</w:t>
            </w:r>
          </w:p>
        </w:tc>
        <w:tc>
          <w:tcPr>
            <w:tcW w:w="0" w:type="auto"/>
          </w:tcPr>
          <w:p w14:paraId="0C7962A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1.05</w:t>
            </w:r>
          </w:p>
        </w:tc>
        <w:tc>
          <w:tcPr>
            <w:tcW w:w="1630" w:type="dxa"/>
            <w:tcBorders>
              <w:right w:val="single" w:sz="4" w:space="0" w:color="auto"/>
            </w:tcBorders>
            <w:noWrap/>
            <w:hideMark/>
          </w:tcPr>
          <w:p w14:paraId="27CB114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1.40</w:t>
            </w:r>
          </w:p>
        </w:tc>
        <w:tc>
          <w:tcPr>
            <w:tcW w:w="1630" w:type="dxa"/>
            <w:tcBorders>
              <w:left w:val="single" w:sz="4" w:space="0" w:color="auto"/>
            </w:tcBorders>
            <w:noWrap/>
            <w:hideMark/>
          </w:tcPr>
          <w:p w14:paraId="34621AB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1064" w:type="dxa"/>
          </w:tcPr>
          <w:p w14:paraId="32A6F2F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1139" w:type="dxa"/>
          </w:tcPr>
          <w:p w14:paraId="49C3881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c>
          <w:tcPr>
            <w:tcW w:w="0" w:type="auto"/>
            <w:noWrap/>
            <w:hideMark/>
          </w:tcPr>
          <w:p w14:paraId="6D494B3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r>
      <w:tr w:rsidR="001F4DDE" w:rsidRPr="004C37CB" w14:paraId="6D53E1A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C2D5DC" w14:textId="77777777" w:rsidR="001F4DDE" w:rsidRPr="004C37CB" w:rsidRDefault="001F4DDE" w:rsidP="001F4DDE">
            <w:pPr>
              <w:jc w:val="center"/>
              <w:rPr>
                <w:color w:val="000000"/>
                <w:sz w:val="16"/>
                <w:szCs w:val="16"/>
              </w:rPr>
            </w:pPr>
            <w:r w:rsidRPr="004C37CB">
              <w:rPr>
                <w:color w:val="000000"/>
                <w:sz w:val="16"/>
                <w:szCs w:val="16"/>
              </w:rPr>
              <w:t>Philippines</w:t>
            </w:r>
          </w:p>
        </w:tc>
        <w:tc>
          <w:tcPr>
            <w:tcW w:w="0" w:type="auto"/>
            <w:tcBorders>
              <w:top w:val="nil"/>
              <w:bottom w:val="nil"/>
            </w:tcBorders>
            <w:noWrap/>
            <w:hideMark/>
          </w:tcPr>
          <w:p w14:paraId="1B93291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-0.80</w:t>
            </w:r>
          </w:p>
        </w:tc>
        <w:tc>
          <w:tcPr>
            <w:tcW w:w="0" w:type="auto"/>
            <w:tcBorders>
              <w:top w:val="nil"/>
              <w:bottom w:val="nil"/>
            </w:tcBorders>
          </w:tcPr>
          <w:p w14:paraId="779C653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0" w:type="auto"/>
            <w:tcBorders>
              <w:top w:val="nil"/>
              <w:bottom w:val="nil"/>
            </w:tcBorders>
          </w:tcPr>
          <w:p w14:paraId="45E3031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tcBorders>
              <w:top w:val="nil"/>
              <w:bottom w:val="nil"/>
              <w:right w:val="single" w:sz="4" w:space="0" w:color="auto"/>
            </w:tcBorders>
            <w:noWrap/>
            <w:hideMark/>
          </w:tcPr>
          <w:p w14:paraId="30FA274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-0.46</w:t>
            </w:r>
          </w:p>
        </w:tc>
        <w:tc>
          <w:tcPr>
            <w:tcW w:w="0" w:type="auto"/>
            <w:tcBorders>
              <w:left w:val="single" w:sz="4" w:space="0" w:color="auto"/>
            </w:tcBorders>
            <w:noWrap/>
            <w:hideMark/>
          </w:tcPr>
          <w:p w14:paraId="07C0AE4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1.35</w:t>
            </w:r>
          </w:p>
        </w:tc>
        <w:tc>
          <w:tcPr>
            <w:tcW w:w="0" w:type="auto"/>
          </w:tcPr>
          <w:p w14:paraId="05EB709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0.72</w:t>
            </w:r>
          </w:p>
        </w:tc>
        <w:tc>
          <w:tcPr>
            <w:tcW w:w="0" w:type="auto"/>
          </w:tcPr>
          <w:p w14:paraId="344B995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0.95</w:t>
            </w:r>
          </w:p>
        </w:tc>
        <w:tc>
          <w:tcPr>
            <w:tcW w:w="1630" w:type="dxa"/>
            <w:tcBorders>
              <w:right w:val="single" w:sz="4" w:space="0" w:color="auto"/>
            </w:tcBorders>
            <w:noWrap/>
            <w:hideMark/>
          </w:tcPr>
          <w:p w14:paraId="5347615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1.75</w:t>
            </w:r>
          </w:p>
        </w:tc>
        <w:tc>
          <w:tcPr>
            <w:tcW w:w="1630" w:type="dxa"/>
            <w:tcBorders>
              <w:left w:val="single" w:sz="4" w:space="0" w:color="auto"/>
            </w:tcBorders>
            <w:noWrap/>
            <w:hideMark/>
          </w:tcPr>
          <w:p w14:paraId="746D6D2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0.08</w:t>
            </w:r>
          </w:p>
        </w:tc>
        <w:tc>
          <w:tcPr>
            <w:tcW w:w="1064" w:type="dxa"/>
          </w:tcPr>
          <w:p w14:paraId="2500DC9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1139" w:type="dxa"/>
          </w:tcPr>
          <w:p w14:paraId="2D1A5C1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c>
          <w:tcPr>
            <w:tcW w:w="0" w:type="auto"/>
            <w:noWrap/>
            <w:hideMark/>
          </w:tcPr>
          <w:p w14:paraId="674C187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r>
      <w:tr w:rsidR="001F4DDE" w:rsidRPr="004C37CB" w14:paraId="31010D4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049BA2" w14:textId="77777777" w:rsidR="001F4DDE" w:rsidRPr="004C37CB" w:rsidRDefault="001F4DDE" w:rsidP="001F4DDE">
            <w:pPr>
              <w:jc w:val="center"/>
              <w:rPr>
                <w:color w:val="000000"/>
                <w:sz w:val="16"/>
                <w:szCs w:val="16"/>
              </w:rPr>
            </w:pPr>
            <w:r w:rsidRPr="004C37CB">
              <w:rPr>
                <w:color w:val="000000"/>
                <w:sz w:val="16"/>
                <w:szCs w:val="16"/>
              </w:rPr>
              <w:t>Russia</w:t>
            </w:r>
          </w:p>
        </w:tc>
        <w:tc>
          <w:tcPr>
            <w:tcW w:w="0" w:type="auto"/>
            <w:tcBorders>
              <w:top w:val="nil"/>
              <w:bottom w:val="nil"/>
            </w:tcBorders>
            <w:noWrap/>
            <w:hideMark/>
          </w:tcPr>
          <w:p w14:paraId="39D3794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0" w:type="auto"/>
            <w:tcBorders>
              <w:top w:val="nil"/>
              <w:bottom w:val="nil"/>
            </w:tcBorders>
          </w:tcPr>
          <w:p w14:paraId="00E09A6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0" w:type="auto"/>
            <w:tcBorders>
              <w:top w:val="nil"/>
              <w:bottom w:val="nil"/>
            </w:tcBorders>
          </w:tcPr>
          <w:p w14:paraId="4390DDD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0.30</w:t>
            </w:r>
          </w:p>
        </w:tc>
        <w:tc>
          <w:tcPr>
            <w:tcW w:w="0" w:type="auto"/>
            <w:tcBorders>
              <w:top w:val="nil"/>
              <w:bottom w:val="nil"/>
              <w:right w:val="single" w:sz="4" w:space="0" w:color="auto"/>
            </w:tcBorders>
            <w:noWrap/>
            <w:hideMark/>
          </w:tcPr>
          <w:p w14:paraId="279BCC0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0.09</w:t>
            </w:r>
          </w:p>
        </w:tc>
        <w:tc>
          <w:tcPr>
            <w:tcW w:w="0" w:type="auto"/>
            <w:tcBorders>
              <w:left w:val="single" w:sz="4" w:space="0" w:color="auto"/>
            </w:tcBorders>
            <w:noWrap/>
            <w:hideMark/>
          </w:tcPr>
          <w:p w14:paraId="1EEE6FE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1.34</w:t>
            </w:r>
          </w:p>
        </w:tc>
        <w:tc>
          <w:tcPr>
            <w:tcW w:w="0" w:type="auto"/>
          </w:tcPr>
          <w:p w14:paraId="3C47981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1.49</w:t>
            </w:r>
          </w:p>
        </w:tc>
        <w:tc>
          <w:tcPr>
            <w:tcW w:w="0" w:type="auto"/>
          </w:tcPr>
          <w:p w14:paraId="21A31D9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1.37</w:t>
            </w:r>
          </w:p>
        </w:tc>
        <w:tc>
          <w:tcPr>
            <w:tcW w:w="1630" w:type="dxa"/>
            <w:tcBorders>
              <w:right w:val="single" w:sz="4" w:space="0" w:color="auto"/>
            </w:tcBorders>
            <w:noWrap/>
            <w:hideMark/>
          </w:tcPr>
          <w:p w14:paraId="09B25B1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1.41</w:t>
            </w:r>
          </w:p>
        </w:tc>
        <w:tc>
          <w:tcPr>
            <w:tcW w:w="1630" w:type="dxa"/>
            <w:tcBorders>
              <w:left w:val="single" w:sz="4" w:space="0" w:color="auto"/>
            </w:tcBorders>
            <w:noWrap/>
            <w:hideMark/>
          </w:tcPr>
          <w:p w14:paraId="1A5DF85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4C37CB">
              <w:rPr>
                <w:color w:val="000000"/>
                <w:sz w:val="16"/>
                <w:szCs w:val="16"/>
              </w:rPr>
              <w:t>-0.31</w:t>
            </w:r>
          </w:p>
        </w:tc>
        <w:tc>
          <w:tcPr>
            <w:tcW w:w="1064" w:type="dxa"/>
          </w:tcPr>
          <w:p w14:paraId="220C2FA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c>
          <w:tcPr>
            <w:tcW w:w="1139" w:type="dxa"/>
          </w:tcPr>
          <w:p w14:paraId="488C75D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0" w:type="auto"/>
            <w:noWrap/>
            <w:hideMark/>
          </w:tcPr>
          <w:p w14:paraId="4F920CC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-0.26</w:t>
            </w:r>
          </w:p>
        </w:tc>
      </w:tr>
      <w:tr w:rsidR="001F4DDE" w:rsidRPr="004C37CB" w14:paraId="3539D16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68291A" w14:textId="77777777" w:rsidR="001F4DDE" w:rsidRPr="004C37CB" w:rsidRDefault="001F4DDE" w:rsidP="001F4DDE">
            <w:pPr>
              <w:jc w:val="center"/>
              <w:rPr>
                <w:color w:val="000000"/>
                <w:sz w:val="16"/>
                <w:szCs w:val="16"/>
              </w:rPr>
            </w:pPr>
            <w:r w:rsidRPr="004C37CB">
              <w:rPr>
                <w:color w:val="000000"/>
                <w:sz w:val="16"/>
                <w:szCs w:val="16"/>
              </w:rPr>
              <w:t>South Africa</w:t>
            </w:r>
          </w:p>
        </w:tc>
        <w:tc>
          <w:tcPr>
            <w:tcW w:w="0" w:type="auto"/>
            <w:tcBorders>
              <w:top w:val="nil"/>
              <w:bottom w:val="nil"/>
            </w:tcBorders>
            <w:noWrap/>
            <w:hideMark/>
          </w:tcPr>
          <w:p w14:paraId="06FD940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c>
          <w:tcPr>
            <w:tcW w:w="0" w:type="auto"/>
            <w:tcBorders>
              <w:top w:val="nil"/>
              <w:bottom w:val="nil"/>
            </w:tcBorders>
          </w:tcPr>
          <w:p w14:paraId="4924924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0" w:type="auto"/>
            <w:tcBorders>
              <w:top w:val="nil"/>
              <w:bottom w:val="nil"/>
            </w:tcBorders>
          </w:tcPr>
          <w:p w14:paraId="1B0BACEB"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0" w:type="auto"/>
            <w:tcBorders>
              <w:top w:val="nil"/>
              <w:bottom w:val="nil"/>
              <w:right w:val="single" w:sz="4" w:space="0" w:color="auto"/>
            </w:tcBorders>
            <w:noWrap/>
            <w:hideMark/>
          </w:tcPr>
          <w:p w14:paraId="29F57D0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0" w:type="auto"/>
            <w:tcBorders>
              <w:left w:val="single" w:sz="4" w:space="0" w:color="auto"/>
            </w:tcBorders>
            <w:noWrap/>
            <w:hideMark/>
          </w:tcPr>
          <w:p w14:paraId="49CA3E3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1.17</w:t>
            </w:r>
          </w:p>
        </w:tc>
        <w:tc>
          <w:tcPr>
            <w:tcW w:w="0" w:type="auto"/>
          </w:tcPr>
          <w:p w14:paraId="6EC1F1E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1.23</w:t>
            </w:r>
          </w:p>
        </w:tc>
        <w:tc>
          <w:tcPr>
            <w:tcW w:w="0" w:type="auto"/>
          </w:tcPr>
          <w:p w14:paraId="216981D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1.08</w:t>
            </w:r>
          </w:p>
        </w:tc>
        <w:tc>
          <w:tcPr>
            <w:tcW w:w="1630" w:type="dxa"/>
            <w:tcBorders>
              <w:right w:val="single" w:sz="4" w:space="0" w:color="auto"/>
            </w:tcBorders>
            <w:noWrap/>
            <w:hideMark/>
          </w:tcPr>
          <w:p w14:paraId="67A79A1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0.91</w:t>
            </w:r>
          </w:p>
        </w:tc>
        <w:tc>
          <w:tcPr>
            <w:tcW w:w="1630" w:type="dxa"/>
            <w:tcBorders>
              <w:left w:val="single" w:sz="4" w:space="0" w:color="auto"/>
            </w:tcBorders>
            <w:noWrap/>
            <w:hideMark/>
          </w:tcPr>
          <w:p w14:paraId="23CEE43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1064" w:type="dxa"/>
          </w:tcPr>
          <w:p w14:paraId="5315912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1139" w:type="dxa"/>
          </w:tcPr>
          <w:p w14:paraId="7D6E857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0" w:type="auto"/>
            <w:noWrap/>
            <w:hideMark/>
          </w:tcPr>
          <w:p w14:paraId="14023F0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0.22</w:t>
            </w:r>
          </w:p>
        </w:tc>
      </w:tr>
      <w:tr w:rsidR="001F4DDE" w:rsidRPr="004C37CB" w14:paraId="1994693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243E88" w14:textId="77777777" w:rsidR="001F4DDE" w:rsidRPr="004C37CB" w:rsidRDefault="001F4DDE" w:rsidP="001F4DDE">
            <w:pPr>
              <w:jc w:val="center"/>
              <w:rPr>
                <w:color w:val="000000"/>
                <w:sz w:val="16"/>
                <w:szCs w:val="16"/>
              </w:rPr>
            </w:pPr>
            <w:r w:rsidRPr="004C37CB">
              <w:rPr>
                <w:color w:val="000000"/>
                <w:sz w:val="16"/>
                <w:szCs w:val="16"/>
              </w:rPr>
              <w:t>Taiwan</w:t>
            </w:r>
          </w:p>
        </w:tc>
        <w:tc>
          <w:tcPr>
            <w:tcW w:w="0" w:type="auto"/>
            <w:tcBorders>
              <w:top w:val="nil"/>
              <w:bottom w:val="nil"/>
            </w:tcBorders>
            <w:noWrap/>
            <w:hideMark/>
          </w:tcPr>
          <w:p w14:paraId="377FAB8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-0.10</w:t>
            </w:r>
          </w:p>
        </w:tc>
        <w:tc>
          <w:tcPr>
            <w:tcW w:w="0" w:type="auto"/>
            <w:tcBorders>
              <w:top w:val="nil"/>
              <w:bottom w:val="nil"/>
            </w:tcBorders>
          </w:tcPr>
          <w:p w14:paraId="37E3C51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0" w:type="auto"/>
            <w:tcBorders>
              <w:top w:val="nil"/>
              <w:bottom w:val="nil"/>
            </w:tcBorders>
          </w:tcPr>
          <w:p w14:paraId="380BD60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c>
          <w:tcPr>
            <w:tcW w:w="0" w:type="auto"/>
            <w:tcBorders>
              <w:top w:val="nil"/>
              <w:bottom w:val="nil"/>
              <w:right w:val="single" w:sz="4" w:space="0" w:color="auto"/>
            </w:tcBorders>
            <w:noWrap/>
            <w:hideMark/>
          </w:tcPr>
          <w:p w14:paraId="391F5F0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-0.24</w:t>
            </w:r>
          </w:p>
        </w:tc>
        <w:tc>
          <w:tcPr>
            <w:tcW w:w="0" w:type="auto"/>
            <w:tcBorders>
              <w:left w:val="single" w:sz="4" w:space="0" w:color="auto"/>
            </w:tcBorders>
            <w:noWrap/>
            <w:hideMark/>
          </w:tcPr>
          <w:p w14:paraId="038D732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0.70</w:t>
            </w:r>
          </w:p>
        </w:tc>
        <w:tc>
          <w:tcPr>
            <w:tcW w:w="0" w:type="auto"/>
          </w:tcPr>
          <w:p w14:paraId="6486557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1.35</w:t>
            </w:r>
          </w:p>
        </w:tc>
        <w:tc>
          <w:tcPr>
            <w:tcW w:w="0" w:type="auto"/>
          </w:tcPr>
          <w:p w14:paraId="10896A9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1.34</w:t>
            </w:r>
          </w:p>
        </w:tc>
        <w:tc>
          <w:tcPr>
            <w:tcW w:w="1630" w:type="dxa"/>
            <w:tcBorders>
              <w:right w:val="single" w:sz="4" w:space="0" w:color="auto"/>
            </w:tcBorders>
            <w:noWrap/>
            <w:hideMark/>
          </w:tcPr>
          <w:p w14:paraId="02CB94E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0.66</w:t>
            </w:r>
          </w:p>
        </w:tc>
        <w:tc>
          <w:tcPr>
            <w:tcW w:w="1630" w:type="dxa"/>
            <w:tcBorders>
              <w:left w:val="single" w:sz="4" w:space="0" w:color="auto"/>
            </w:tcBorders>
            <w:noWrap/>
            <w:hideMark/>
          </w:tcPr>
          <w:p w14:paraId="571B23A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1064" w:type="dxa"/>
          </w:tcPr>
          <w:p w14:paraId="4734769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139" w:type="dxa"/>
          </w:tcPr>
          <w:p w14:paraId="42B59DE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-0.05</w:t>
            </w:r>
          </w:p>
        </w:tc>
        <w:tc>
          <w:tcPr>
            <w:tcW w:w="0" w:type="auto"/>
            <w:noWrap/>
            <w:hideMark/>
          </w:tcPr>
          <w:p w14:paraId="4C7758B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r>
      <w:tr w:rsidR="001F4DDE" w:rsidRPr="004C37CB" w14:paraId="6FDA3F5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94FD94" w14:textId="77777777" w:rsidR="001F4DDE" w:rsidRPr="004C37CB" w:rsidRDefault="001F4DDE" w:rsidP="001F4DDE">
            <w:pPr>
              <w:jc w:val="center"/>
              <w:rPr>
                <w:color w:val="000000"/>
                <w:sz w:val="16"/>
                <w:szCs w:val="16"/>
              </w:rPr>
            </w:pPr>
            <w:r w:rsidRPr="004C37CB">
              <w:rPr>
                <w:color w:val="000000"/>
                <w:sz w:val="16"/>
                <w:szCs w:val="16"/>
              </w:rPr>
              <w:t>Thailand</w:t>
            </w:r>
          </w:p>
        </w:tc>
        <w:tc>
          <w:tcPr>
            <w:tcW w:w="0" w:type="auto"/>
            <w:tcBorders>
              <w:top w:val="nil"/>
              <w:bottom w:val="nil"/>
            </w:tcBorders>
            <w:noWrap/>
            <w:hideMark/>
          </w:tcPr>
          <w:p w14:paraId="07D1031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-0.51</w:t>
            </w:r>
          </w:p>
        </w:tc>
        <w:tc>
          <w:tcPr>
            <w:tcW w:w="0" w:type="auto"/>
            <w:tcBorders>
              <w:top w:val="nil"/>
              <w:bottom w:val="nil"/>
            </w:tcBorders>
          </w:tcPr>
          <w:p w14:paraId="78713C2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0.04</w:t>
            </w:r>
          </w:p>
        </w:tc>
        <w:tc>
          <w:tcPr>
            <w:tcW w:w="0" w:type="auto"/>
            <w:tcBorders>
              <w:top w:val="nil"/>
              <w:bottom w:val="nil"/>
            </w:tcBorders>
          </w:tcPr>
          <w:p w14:paraId="2B1ED04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-0.15</w:t>
            </w:r>
          </w:p>
        </w:tc>
        <w:tc>
          <w:tcPr>
            <w:tcW w:w="0" w:type="auto"/>
            <w:tcBorders>
              <w:top w:val="nil"/>
              <w:bottom w:val="nil"/>
              <w:right w:val="single" w:sz="4" w:space="0" w:color="auto"/>
            </w:tcBorders>
            <w:noWrap/>
            <w:hideMark/>
          </w:tcPr>
          <w:p w14:paraId="582A3CA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-0.71</w:t>
            </w:r>
          </w:p>
        </w:tc>
        <w:tc>
          <w:tcPr>
            <w:tcW w:w="0" w:type="auto"/>
            <w:tcBorders>
              <w:left w:val="single" w:sz="4" w:space="0" w:color="auto"/>
            </w:tcBorders>
            <w:noWrap/>
            <w:hideMark/>
          </w:tcPr>
          <w:p w14:paraId="6765468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1.17</w:t>
            </w:r>
          </w:p>
        </w:tc>
        <w:tc>
          <w:tcPr>
            <w:tcW w:w="0" w:type="auto"/>
          </w:tcPr>
          <w:p w14:paraId="334F98E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1.30</w:t>
            </w:r>
          </w:p>
        </w:tc>
        <w:tc>
          <w:tcPr>
            <w:tcW w:w="0" w:type="auto"/>
          </w:tcPr>
          <w:p w14:paraId="0FAA03C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1.23</w:t>
            </w:r>
          </w:p>
        </w:tc>
        <w:tc>
          <w:tcPr>
            <w:tcW w:w="1630" w:type="dxa"/>
            <w:tcBorders>
              <w:right w:val="single" w:sz="4" w:space="0" w:color="auto"/>
            </w:tcBorders>
            <w:noWrap/>
            <w:hideMark/>
          </w:tcPr>
          <w:p w14:paraId="085EC62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0.84</w:t>
            </w:r>
          </w:p>
        </w:tc>
        <w:tc>
          <w:tcPr>
            <w:tcW w:w="1630" w:type="dxa"/>
            <w:tcBorders>
              <w:left w:val="single" w:sz="4" w:space="0" w:color="auto"/>
            </w:tcBorders>
            <w:noWrap/>
            <w:hideMark/>
          </w:tcPr>
          <w:p w14:paraId="36E575A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0.31</w:t>
            </w:r>
          </w:p>
        </w:tc>
        <w:tc>
          <w:tcPr>
            <w:tcW w:w="1064" w:type="dxa"/>
          </w:tcPr>
          <w:p w14:paraId="1BDE6DB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-0.02</w:t>
            </w:r>
          </w:p>
        </w:tc>
        <w:tc>
          <w:tcPr>
            <w:tcW w:w="1139" w:type="dxa"/>
          </w:tcPr>
          <w:p w14:paraId="3F22EEB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0" w:type="auto"/>
            <w:noWrap/>
            <w:hideMark/>
          </w:tcPr>
          <w:p w14:paraId="3A2D1DB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-0.16</w:t>
            </w:r>
          </w:p>
        </w:tc>
      </w:tr>
      <w:tr w:rsidR="001F4DDE" w:rsidRPr="004C37CB" w14:paraId="01FB71B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hideMark/>
          </w:tcPr>
          <w:p w14:paraId="22BCAD1F" w14:textId="77777777" w:rsidR="001F4DDE" w:rsidRPr="004C37CB" w:rsidRDefault="001F4DDE" w:rsidP="001F4DDE">
            <w:pPr>
              <w:jc w:val="center"/>
              <w:rPr>
                <w:color w:val="000000"/>
                <w:sz w:val="16"/>
                <w:szCs w:val="16"/>
              </w:rPr>
            </w:pPr>
            <w:r w:rsidRPr="004C37CB">
              <w:rPr>
                <w:color w:val="000000"/>
                <w:sz w:val="16"/>
                <w:szCs w:val="16"/>
              </w:rPr>
              <w:t>Turkey</w:t>
            </w:r>
          </w:p>
        </w:tc>
        <w:tc>
          <w:tcPr>
            <w:tcW w:w="0" w:type="auto"/>
            <w:tcBorders>
              <w:top w:val="nil"/>
              <w:bottom w:val="single" w:sz="4" w:space="0" w:color="auto"/>
            </w:tcBorders>
            <w:noWrap/>
            <w:hideMark/>
          </w:tcPr>
          <w:p w14:paraId="3B4A40E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-0.01</w:t>
            </w:r>
          </w:p>
        </w:tc>
        <w:tc>
          <w:tcPr>
            <w:tcW w:w="0" w:type="auto"/>
            <w:tcBorders>
              <w:top w:val="nil"/>
              <w:bottom w:val="single" w:sz="4" w:space="0" w:color="auto"/>
            </w:tcBorders>
          </w:tcPr>
          <w:p w14:paraId="2AA7973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0" w:type="auto"/>
            <w:tcBorders>
              <w:top w:val="nil"/>
              <w:bottom w:val="single" w:sz="4" w:space="0" w:color="auto"/>
            </w:tcBorders>
          </w:tcPr>
          <w:p w14:paraId="7A60B12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0.11</w:t>
            </w:r>
          </w:p>
        </w:tc>
        <w:tc>
          <w:tcPr>
            <w:tcW w:w="0" w:type="auto"/>
            <w:tcBorders>
              <w:top w:val="nil"/>
              <w:bottom w:val="single" w:sz="4" w:space="0" w:color="auto"/>
              <w:right w:val="single" w:sz="4" w:space="0" w:color="auto"/>
            </w:tcBorders>
            <w:noWrap/>
            <w:hideMark/>
          </w:tcPr>
          <w:p w14:paraId="6A7A254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0" w:type="auto"/>
            <w:tcBorders>
              <w:left w:val="single" w:sz="4" w:space="0" w:color="auto"/>
              <w:bottom w:val="single" w:sz="4" w:space="0" w:color="auto"/>
            </w:tcBorders>
            <w:noWrap/>
            <w:hideMark/>
          </w:tcPr>
          <w:p w14:paraId="6AF3E5A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1.07</w:t>
            </w:r>
          </w:p>
        </w:tc>
        <w:tc>
          <w:tcPr>
            <w:tcW w:w="0" w:type="auto"/>
            <w:tcBorders>
              <w:bottom w:val="single" w:sz="4" w:space="0" w:color="auto"/>
            </w:tcBorders>
          </w:tcPr>
          <w:p w14:paraId="29BF57D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1.34</w:t>
            </w:r>
          </w:p>
        </w:tc>
        <w:tc>
          <w:tcPr>
            <w:tcW w:w="0" w:type="auto"/>
            <w:tcBorders>
              <w:bottom w:val="single" w:sz="4" w:space="0" w:color="auto"/>
            </w:tcBorders>
          </w:tcPr>
          <w:p w14:paraId="2C98E6D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1.18</w:t>
            </w:r>
          </w:p>
        </w:tc>
        <w:tc>
          <w:tcPr>
            <w:tcW w:w="1630" w:type="dxa"/>
            <w:tcBorders>
              <w:bottom w:val="single" w:sz="4" w:space="0" w:color="auto"/>
              <w:right w:val="single" w:sz="4" w:space="0" w:color="auto"/>
            </w:tcBorders>
            <w:noWrap/>
            <w:hideMark/>
          </w:tcPr>
          <w:p w14:paraId="00DC678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1.23</w:t>
            </w:r>
          </w:p>
        </w:tc>
        <w:tc>
          <w:tcPr>
            <w:tcW w:w="1630" w:type="dxa"/>
            <w:tcBorders>
              <w:left w:val="single" w:sz="4" w:space="0" w:color="auto"/>
              <w:bottom w:val="single" w:sz="4" w:space="0" w:color="auto"/>
            </w:tcBorders>
            <w:noWrap/>
            <w:hideMark/>
          </w:tcPr>
          <w:p w14:paraId="227C59F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-0.13</w:t>
            </w:r>
          </w:p>
        </w:tc>
        <w:tc>
          <w:tcPr>
            <w:tcW w:w="1064" w:type="dxa"/>
            <w:tcBorders>
              <w:bottom w:val="single" w:sz="4" w:space="0" w:color="auto"/>
            </w:tcBorders>
          </w:tcPr>
          <w:p w14:paraId="1794543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-0.18</w:t>
            </w:r>
          </w:p>
        </w:tc>
        <w:tc>
          <w:tcPr>
            <w:tcW w:w="1139" w:type="dxa"/>
            <w:tcBorders>
              <w:bottom w:val="single" w:sz="4" w:space="0" w:color="auto"/>
            </w:tcBorders>
          </w:tcPr>
          <w:p w14:paraId="306F8E2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0" w:type="auto"/>
            <w:tcBorders>
              <w:bottom w:val="single" w:sz="4" w:space="0" w:color="auto"/>
            </w:tcBorders>
            <w:noWrap/>
            <w:hideMark/>
          </w:tcPr>
          <w:p w14:paraId="42AD009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r>
      <w:tr w:rsidR="001F4DDE" w:rsidRPr="004C37CB" w14:paraId="230B034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noWrap/>
            <w:hideMark/>
          </w:tcPr>
          <w:p w14:paraId="264629BC" w14:textId="77777777" w:rsidR="001F4DDE" w:rsidRPr="004C37CB" w:rsidRDefault="001F4DDE" w:rsidP="001F4DDE">
            <w:pPr>
              <w:jc w:val="center"/>
              <w:rPr>
                <w:color w:val="000000"/>
                <w:sz w:val="16"/>
                <w:szCs w:val="16"/>
              </w:rPr>
            </w:pPr>
            <w:r w:rsidRPr="004C37CB">
              <w:rPr>
                <w:color w:val="000000"/>
                <w:sz w:val="16"/>
                <w:szCs w:val="16"/>
              </w:rPr>
              <w:t>Average</w:t>
            </w:r>
          </w:p>
        </w:tc>
        <w:tc>
          <w:tcPr>
            <w:tcW w:w="0" w:type="auto"/>
            <w:tcBorders>
              <w:top w:val="single" w:sz="4" w:space="0" w:color="auto"/>
              <w:bottom w:val="single" w:sz="4" w:space="0" w:color="auto"/>
            </w:tcBorders>
            <w:noWrap/>
            <w:hideMark/>
          </w:tcPr>
          <w:p w14:paraId="6CBBEA3D"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-0.20</w:t>
            </w:r>
          </w:p>
        </w:tc>
        <w:tc>
          <w:tcPr>
            <w:tcW w:w="0" w:type="auto"/>
            <w:tcBorders>
              <w:top w:val="single" w:sz="4" w:space="0" w:color="auto"/>
              <w:bottom w:val="single" w:sz="4" w:space="0" w:color="auto"/>
            </w:tcBorders>
          </w:tcPr>
          <w:p w14:paraId="001607F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0.07</w:t>
            </w:r>
          </w:p>
        </w:tc>
        <w:tc>
          <w:tcPr>
            <w:tcW w:w="0" w:type="auto"/>
            <w:tcBorders>
              <w:top w:val="single" w:sz="4" w:space="0" w:color="auto"/>
              <w:bottom w:val="single" w:sz="4" w:space="0" w:color="auto"/>
            </w:tcBorders>
          </w:tcPr>
          <w:p w14:paraId="683B840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0.09</w:t>
            </w:r>
          </w:p>
        </w:tc>
        <w:tc>
          <w:tcPr>
            <w:tcW w:w="0" w:type="auto"/>
            <w:tcBorders>
              <w:top w:val="single" w:sz="4" w:space="0" w:color="auto"/>
              <w:bottom w:val="single" w:sz="4" w:space="0" w:color="auto"/>
              <w:right w:val="single" w:sz="4" w:space="0" w:color="auto"/>
            </w:tcBorders>
            <w:noWrap/>
            <w:hideMark/>
          </w:tcPr>
          <w:p w14:paraId="4E454528"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-0.14</w:t>
            </w:r>
          </w:p>
        </w:tc>
        <w:tc>
          <w:tcPr>
            <w:tcW w:w="0" w:type="auto"/>
            <w:tcBorders>
              <w:top w:val="single" w:sz="4" w:space="0" w:color="auto"/>
              <w:left w:val="single" w:sz="4" w:space="0" w:color="auto"/>
              <w:bottom w:val="single" w:sz="4" w:space="0" w:color="auto"/>
            </w:tcBorders>
            <w:noWrap/>
            <w:vAlign w:val="bottom"/>
            <w:hideMark/>
          </w:tcPr>
          <w:p w14:paraId="527AE89F"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D3C65">
              <w:rPr>
                <w:color w:val="000000"/>
                <w:sz w:val="16"/>
                <w:szCs w:val="16"/>
              </w:rPr>
              <w:t>1.36</w:t>
            </w:r>
          </w:p>
        </w:tc>
        <w:tc>
          <w:tcPr>
            <w:tcW w:w="0" w:type="auto"/>
            <w:tcBorders>
              <w:top w:val="single" w:sz="4" w:space="0" w:color="auto"/>
              <w:bottom w:val="single" w:sz="4" w:space="0" w:color="auto"/>
            </w:tcBorders>
            <w:vAlign w:val="bottom"/>
          </w:tcPr>
          <w:p w14:paraId="503AF47A"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D3C65">
              <w:rPr>
                <w:color w:val="000000"/>
                <w:sz w:val="16"/>
                <w:szCs w:val="16"/>
              </w:rPr>
              <w:t>1.19</w:t>
            </w:r>
          </w:p>
        </w:tc>
        <w:tc>
          <w:tcPr>
            <w:tcW w:w="0" w:type="auto"/>
            <w:tcBorders>
              <w:top w:val="single" w:sz="4" w:space="0" w:color="auto"/>
              <w:bottom w:val="single" w:sz="4" w:space="0" w:color="auto"/>
            </w:tcBorders>
            <w:vAlign w:val="bottom"/>
          </w:tcPr>
          <w:p w14:paraId="00C1C890"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D3C65">
              <w:rPr>
                <w:color w:val="000000"/>
                <w:sz w:val="16"/>
                <w:szCs w:val="16"/>
              </w:rPr>
              <w:t>1.18</w:t>
            </w:r>
          </w:p>
        </w:tc>
        <w:tc>
          <w:tcPr>
            <w:tcW w:w="1630" w:type="dxa"/>
            <w:tcBorders>
              <w:top w:val="single" w:sz="4" w:space="0" w:color="auto"/>
              <w:bottom w:val="single" w:sz="4" w:space="0" w:color="auto"/>
              <w:right w:val="single" w:sz="4" w:space="0" w:color="auto"/>
            </w:tcBorders>
            <w:noWrap/>
            <w:vAlign w:val="bottom"/>
            <w:hideMark/>
          </w:tcPr>
          <w:p w14:paraId="2537E06E" w14:textId="77777777" w:rsidR="001F4DDE" w:rsidRPr="00FD3C65"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D3C65">
              <w:rPr>
                <w:color w:val="000000"/>
                <w:sz w:val="16"/>
                <w:szCs w:val="16"/>
              </w:rPr>
              <w:t>1.24</w:t>
            </w:r>
          </w:p>
        </w:tc>
        <w:tc>
          <w:tcPr>
            <w:tcW w:w="1630" w:type="dxa"/>
            <w:tcBorders>
              <w:top w:val="single" w:sz="4" w:space="0" w:color="auto"/>
              <w:left w:val="single" w:sz="4" w:space="0" w:color="auto"/>
              <w:bottom w:val="single" w:sz="4" w:space="0" w:color="auto"/>
            </w:tcBorders>
            <w:noWrap/>
            <w:hideMark/>
          </w:tcPr>
          <w:p w14:paraId="6BA9A49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0.12</w:t>
            </w:r>
          </w:p>
        </w:tc>
        <w:tc>
          <w:tcPr>
            <w:tcW w:w="1064" w:type="dxa"/>
            <w:tcBorders>
              <w:top w:val="single" w:sz="4" w:space="0" w:color="auto"/>
              <w:bottom w:val="single" w:sz="4" w:space="0" w:color="auto"/>
            </w:tcBorders>
          </w:tcPr>
          <w:p w14:paraId="661B346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-0.03</w:t>
            </w:r>
          </w:p>
        </w:tc>
        <w:tc>
          <w:tcPr>
            <w:tcW w:w="1139" w:type="dxa"/>
            <w:tcBorders>
              <w:top w:val="single" w:sz="4" w:space="0" w:color="auto"/>
              <w:bottom w:val="single" w:sz="4" w:space="0" w:color="auto"/>
            </w:tcBorders>
          </w:tcPr>
          <w:p w14:paraId="3CB5BD2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-0.09</w:t>
            </w:r>
          </w:p>
        </w:tc>
        <w:tc>
          <w:tcPr>
            <w:tcW w:w="0" w:type="auto"/>
            <w:tcBorders>
              <w:top w:val="single" w:sz="4" w:space="0" w:color="auto"/>
              <w:bottom w:val="single" w:sz="4" w:space="0" w:color="auto"/>
            </w:tcBorders>
            <w:noWrap/>
            <w:hideMark/>
          </w:tcPr>
          <w:p w14:paraId="2326D01F"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0.00</w:t>
            </w:r>
          </w:p>
        </w:tc>
      </w:tr>
      <w:tr w:rsidR="001F4DDE" w:rsidRPr="004C37CB" w14:paraId="6CB7A27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tcPr>
          <w:p w14:paraId="7888FE8C" w14:textId="77777777" w:rsidR="001F4DDE" w:rsidRPr="004C37CB" w:rsidRDefault="001F4DDE" w:rsidP="001F4DDE">
            <w:pPr>
              <w:jc w:val="center"/>
              <w:rPr>
                <w:color w:val="000000"/>
                <w:sz w:val="16"/>
                <w:szCs w:val="16"/>
              </w:rPr>
            </w:pPr>
            <w:r w:rsidRPr="004C37CB">
              <w:rPr>
                <w:color w:val="000000"/>
                <w:sz w:val="16"/>
                <w:szCs w:val="16"/>
              </w:rPr>
              <w:t>S&amp;P500</w:t>
            </w:r>
          </w:p>
        </w:tc>
        <w:tc>
          <w:tcPr>
            <w:tcW w:w="0" w:type="auto"/>
            <w:tcBorders>
              <w:top w:val="single" w:sz="4" w:space="0" w:color="auto"/>
              <w:bottom w:val="nil"/>
            </w:tcBorders>
            <w:noWrap/>
          </w:tcPr>
          <w:p w14:paraId="3A9A3F9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0.23</w:t>
            </w:r>
          </w:p>
        </w:tc>
        <w:tc>
          <w:tcPr>
            <w:tcW w:w="0" w:type="auto"/>
            <w:tcBorders>
              <w:top w:val="single" w:sz="4" w:space="0" w:color="auto"/>
              <w:bottom w:val="nil"/>
            </w:tcBorders>
          </w:tcPr>
          <w:p w14:paraId="4A85572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bottom w:val="nil"/>
            </w:tcBorders>
          </w:tcPr>
          <w:p w14:paraId="786D0C7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bottom w:val="nil"/>
              <w:right w:val="single" w:sz="4" w:space="0" w:color="auto"/>
            </w:tcBorders>
            <w:noWrap/>
          </w:tcPr>
          <w:p w14:paraId="0A8526C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left w:val="single" w:sz="4" w:space="0" w:color="auto"/>
            </w:tcBorders>
            <w:noWrap/>
          </w:tcPr>
          <w:p w14:paraId="312C59A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0.87</w:t>
            </w:r>
          </w:p>
        </w:tc>
        <w:tc>
          <w:tcPr>
            <w:tcW w:w="0" w:type="auto"/>
            <w:tcBorders>
              <w:top w:val="single" w:sz="4" w:space="0" w:color="auto"/>
            </w:tcBorders>
          </w:tcPr>
          <w:p w14:paraId="0D786DE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tcBorders>
          </w:tcPr>
          <w:p w14:paraId="601E0C8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630" w:type="dxa"/>
            <w:tcBorders>
              <w:top w:val="single" w:sz="4" w:space="0" w:color="auto"/>
              <w:right w:val="single" w:sz="4" w:space="0" w:color="auto"/>
            </w:tcBorders>
            <w:noWrap/>
          </w:tcPr>
          <w:p w14:paraId="7BD3019C"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630" w:type="dxa"/>
            <w:tcBorders>
              <w:top w:val="single" w:sz="4" w:space="0" w:color="auto"/>
              <w:left w:val="single" w:sz="4" w:space="0" w:color="auto"/>
            </w:tcBorders>
            <w:noWrap/>
          </w:tcPr>
          <w:p w14:paraId="68F1BFD2"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-0.17</w:t>
            </w:r>
          </w:p>
        </w:tc>
        <w:tc>
          <w:tcPr>
            <w:tcW w:w="1064" w:type="dxa"/>
            <w:tcBorders>
              <w:top w:val="single" w:sz="4" w:space="0" w:color="auto"/>
            </w:tcBorders>
          </w:tcPr>
          <w:p w14:paraId="1D58C8C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139" w:type="dxa"/>
            <w:tcBorders>
              <w:top w:val="single" w:sz="4" w:space="0" w:color="auto"/>
            </w:tcBorders>
          </w:tcPr>
          <w:p w14:paraId="721AA2C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single" w:sz="4" w:space="0" w:color="auto"/>
            </w:tcBorders>
            <w:noWrap/>
          </w:tcPr>
          <w:p w14:paraId="02E38024"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F4DDE" w:rsidRPr="004C37CB" w14:paraId="0800C9A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0" w:type="auto"/>
            <w:noWrap/>
          </w:tcPr>
          <w:p w14:paraId="5BDFC030" w14:textId="77777777" w:rsidR="001F4DDE" w:rsidRPr="004C37CB" w:rsidRDefault="001F4DDE" w:rsidP="001F4DDE">
            <w:pPr>
              <w:jc w:val="center"/>
              <w:rPr>
                <w:color w:val="000000"/>
                <w:sz w:val="16"/>
                <w:szCs w:val="16"/>
              </w:rPr>
            </w:pPr>
            <w:r w:rsidRPr="004C37CB">
              <w:rPr>
                <w:color w:val="000000"/>
                <w:sz w:val="16"/>
                <w:szCs w:val="16"/>
              </w:rPr>
              <w:t>Russell 1000</w:t>
            </w:r>
          </w:p>
        </w:tc>
        <w:tc>
          <w:tcPr>
            <w:tcW w:w="0" w:type="auto"/>
            <w:tcBorders>
              <w:top w:val="nil"/>
              <w:bottom w:val="single" w:sz="12" w:space="0" w:color="000000"/>
            </w:tcBorders>
            <w:noWrap/>
          </w:tcPr>
          <w:p w14:paraId="31DCDB0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0.30</w:t>
            </w:r>
          </w:p>
        </w:tc>
        <w:tc>
          <w:tcPr>
            <w:tcW w:w="0" w:type="auto"/>
            <w:tcBorders>
              <w:top w:val="nil"/>
              <w:bottom w:val="single" w:sz="12" w:space="0" w:color="000000"/>
            </w:tcBorders>
          </w:tcPr>
          <w:p w14:paraId="00CAD950"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nil"/>
              <w:bottom w:val="single" w:sz="12" w:space="0" w:color="000000"/>
            </w:tcBorders>
          </w:tcPr>
          <w:p w14:paraId="00FF6FA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nil"/>
              <w:bottom w:val="single" w:sz="12" w:space="0" w:color="000000"/>
              <w:right w:val="single" w:sz="4" w:space="0" w:color="auto"/>
            </w:tcBorders>
            <w:noWrap/>
          </w:tcPr>
          <w:p w14:paraId="626B7691"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left w:val="single" w:sz="4" w:space="0" w:color="auto"/>
              <w:bottom w:val="single" w:sz="12" w:space="0" w:color="000000"/>
            </w:tcBorders>
            <w:noWrap/>
          </w:tcPr>
          <w:p w14:paraId="4FB08BA6"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1.06</w:t>
            </w:r>
          </w:p>
        </w:tc>
        <w:tc>
          <w:tcPr>
            <w:tcW w:w="0" w:type="auto"/>
            <w:tcBorders>
              <w:bottom w:val="single" w:sz="12" w:space="0" w:color="000000"/>
            </w:tcBorders>
          </w:tcPr>
          <w:p w14:paraId="42EA5145"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bottom w:val="single" w:sz="12" w:space="0" w:color="000000"/>
            </w:tcBorders>
          </w:tcPr>
          <w:p w14:paraId="323CA879"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630" w:type="dxa"/>
            <w:tcBorders>
              <w:bottom w:val="single" w:sz="12" w:space="0" w:color="000000"/>
              <w:right w:val="single" w:sz="4" w:space="0" w:color="auto"/>
            </w:tcBorders>
            <w:noWrap/>
          </w:tcPr>
          <w:p w14:paraId="5C17ECB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630" w:type="dxa"/>
            <w:tcBorders>
              <w:left w:val="single" w:sz="4" w:space="0" w:color="auto"/>
            </w:tcBorders>
            <w:noWrap/>
          </w:tcPr>
          <w:p w14:paraId="1CE1229E"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4C37CB">
              <w:rPr>
                <w:color w:val="000000"/>
                <w:sz w:val="16"/>
                <w:szCs w:val="16"/>
              </w:rPr>
              <w:t>-0.06</w:t>
            </w:r>
          </w:p>
        </w:tc>
        <w:tc>
          <w:tcPr>
            <w:tcW w:w="1064" w:type="dxa"/>
          </w:tcPr>
          <w:p w14:paraId="03F9BDBA"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139" w:type="dxa"/>
          </w:tcPr>
          <w:p w14:paraId="1EF03023"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noWrap/>
          </w:tcPr>
          <w:p w14:paraId="7F735E97" w14:textId="77777777" w:rsidR="001F4DDE" w:rsidRPr="004C37CB"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r>
    </w:tbl>
    <w:p w14:paraId="2145F7BF" w14:textId="77777777" w:rsidR="001F4DDE" w:rsidRPr="000E6048" w:rsidRDefault="001F4DDE" w:rsidP="001F4DDE">
      <w:pPr>
        <w:spacing w:line="240" w:lineRule="auto"/>
        <w:ind w:right="794"/>
        <w:rPr>
          <w:rFonts w:ascii="Times New Roman" w:hAnsi="Times New Roman"/>
          <w:sz w:val="18"/>
          <w:szCs w:val="18"/>
        </w:rPr>
      </w:pPr>
      <w:r w:rsidRPr="000E6048">
        <w:rPr>
          <w:rFonts w:ascii="Times New Roman" w:hAnsi="Times New Roman"/>
          <w:sz w:val="18"/>
          <w:szCs w:val="18"/>
        </w:rPr>
        <w:t xml:space="preserve">Notes: This table shows the </w:t>
      </w:r>
      <w:r>
        <w:rPr>
          <w:rFonts w:ascii="Times New Roman" w:hAnsi="Times New Roman"/>
          <w:sz w:val="18"/>
          <w:szCs w:val="18"/>
        </w:rPr>
        <w:t>annualised return per unit of risk</w:t>
      </w:r>
      <w:r w:rsidRPr="000E6048">
        <w:rPr>
          <w:rFonts w:ascii="Times New Roman" w:hAnsi="Times New Roman"/>
          <w:sz w:val="18"/>
          <w:szCs w:val="18"/>
        </w:rPr>
        <w:t xml:space="preserve"> for the MSCI index of each country and </w:t>
      </w:r>
      <w:r>
        <w:rPr>
          <w:rFonts w:ascii="Times New Roman" w:hAnsi="Times New Roman"/>
          <w:sz w:val="18"/>
          <w:szCs w:val="18"/>
        </w:rPr>
        <w:t xml:space="preserve">for the replicating portfolios D1, D2 and D3 </w:t>
      </w:r>
      <w:r w:rsidRPr="000E6048">
        <w:rPr>
          <w:rFonts w:ascii="Times New Roman" w:hAnsi="Times New Roman"/>
          <w:sz w:val="18"/>
          <w:szCs w:val="18"/>
        </w:rPr>
        <w:t xml:space="preserve">for each sub-period. </w:t>
      </w:r>
    </w:p>
    <w:p w14:paraId="143E2492" w14:textId="77777777" w:rsidR="001F4DDE" w:rsidRPr="000E6048" w:rsidRDefault="001F4DDE" w:rsidP="001F4DDE">
      <w:pPr>
        <w:spacing w:line="240" w:lineRule="auto"/>
        <w:ind w:right="794"/>
        <w:rPr>
          <w:rFonts w:ascii="Times New Roman" w:hAnsi="Times New Roman"/>
          <w:sz w:val="18"/>
          <w:szCs w:val="18"/>
        </w:rPr>
      </w:pPr>
    </w:p>
    <w:p w14:paraId="2F0DA1C6" w14:textId="77777777" w:rsidR="001F4DDE" w:rsidRDefault="001F4DDE" w:rsidP="005817F4">
      <w:pPr>
        <w:pStyle w:val="Caption"/>
        <w:sectPr w:rsidR="001F4DDE" w:rsidSect="008E6C2C">
          <w:pgSz w:w="15840" w:h="12240" w:orient="landscape" w:code="1"/>
          <w:pgMar w:top="1440" w:right="1440" w:bottom="1440" w:left="1440" w:header="709" w:footer="709" w:gutter="0"/>
          <w:cols w:space="708"/>
          <w:docGrid w:linePitch="360"/>
        </w:sectPr>
      </w:pPr>
      <w:bookmarkStart w:id="26" w:name="_Ref377499590"/>
    </w:p>
    <w:p w14:paraId="3903ED44" w14:textId="77777777" w:rsidR="001F4DDE" w:rsidRDefault="008E6C2C" w:rsidP="005817F4">
      <w:pPr>
        <w:pStyle w:val="Caption"/>
        <w:rPr>
          <w:b/>
        </w:rPr>
      </w:pPr>
      <w:bookmarkStart w:id="27" w:name="_Ref384643562"/>
      <w:bookmarkStart w:id="28" w:name="_Toc383428912"/>
      <w:bookmarkEnd w:id="26"/>
      <w:r>
        <w:lastRenderedPageBreak/>
        <w:t xml:space="preserve">Table </w:t>
      </w:r>
      <w:r w:rsidR="00CD4B7C">
        <w:fldChar w:fldCharType="begin"/>
      </w:r>
      <w:r w:rsidR="00CD4B7C">
        <w:instrText xml:space="preserve"> SEQ Table \* ARABIC </w:instrText>
      </w:r>
      <w:r w:rsidR="00CD4B7C">
        <w:fldChar w:fldCharType="separate"/>
      </w:r>
      <w:r w:rsidR="00A0607E">
        <w:rPr>
          <w:noProof/>
        </w:rPr>
        <w:t>10</w:t>
      </w:r>
      <w:r w:rsidR="00CD4B7C">
        <w:rPr>
          <w:noProof/>
        </w:rPr>
        <w:fldChar w:fldCharType="end"/>
      </w:r>
      <w:bookmarkEnd w:id="27"/>
      <w:r w:rsidRPr="00991889">
        <w:t xml:space="preserve"> </w:t>
      </w:r>
      <w:r w:rsidR="001F4DDE" w:rsidRPr="00991889">
        <w:t>MVS Results for Sub-periods</w:t>
      </w:r>
      <w:bookmarkEnd w:id="28"/>
    </w:p>
    <w:tbl>
      <w:tblPr>
        <w:tblStyle w:val="TableClassic1"/>
        <w:tblW w:w="14248" w:type="dxa"/>
        <w:tblLook w:val="04A0" w:firstRow="1" w:lastRow="0" w:firstColumn="1" w:lastColumn="0" w:noHBand="0" w:noVBand="1"/>
      </w:tblPr>
      <w:tblGrid>
        <w:gridCol w:w="1630"/>
        <w:gridCol w:w="1016"/>
        <w:gridCol w:w="616"/>
        <w:gridCol w:w="766"/>
        <w:gridCol w:w="616"/>
        <w:gridCol w:w="766"/>
        <w:gridCol w:w="616"/>
        <w:gridCol w:w="766"/>
        <w:gridCol w:w="636"/>
        <w:gridCol w:w="766"/>
        <w:gridCol w:w="616"/>
        <w:gridCol w:w="766"/>
        <w:gridCol w:w="616"/>
        <w:gridCol w:w="766"/>
        <w:gridCol w:w="616"/>
        <w:gridCol w:w="766"/>
        <w:gridCol w:w="616"/>
        <w:gridCol w:w="705"/>
        <w:gridCol w:w="676"/>
      </w:tblGrid>
      <w:tr w:rsidR="001F4DDE" w:rsidRPr="00C85BEF" w14:paraId="545C2F3C" w14:textId="77777777" w:rsidTr="001F4D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66B2165A" w14:textId="77777777" w:rsidR="001F4DDE" w:rsidRPr="00C85BEF" w:rsidRDefault="001F4DDE" w:rsidP="001F4DDE">
            <w:pPr>
              <w:jc w:val="center"/>
              <w:rPr>
                <w:color w:val="000000"/>
                <w:sz w:val="16"/>
                <w:szCs w:val="16"/>
              </w:rPr>
            </w:pPr>
          </w:p>
        </w:tc>
        <w:tc>
          <w:tcPr>
            <w:tcW w:w="4396" w:type="dxa"/>
            <w:gridSpan w:val="6"/>
            <w:tcBorders>
              <w:bottom w:val="nil"/>
              <w:right w:val="single" w:sz="18" w:space="0" w:color="000000"/>
            </w:tcBorders>
            <w:noWrap/>
            <w:vAlign w:val="center"/>
            <w:hideMark/>
          </w:tcPr>
          <w:p w14:paraId="591073EE" w14:textId="77777777" w:rsidR="001F4DDE" w:rsidRPr="00C85BEF" w:rsidRDefault="00DC70AA" w:rsidP="001F4DDE">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1996-2002</w:t>
            </w:r>
          </w:p>
        </w:tc>
        <w:tc>
          <w:tcPr>
            <w:tcW w:w="4166" w:type="dxa"/>
            <w:gridSpan w:val="6"/>
            <w:tcBorders>
              <w:top w:val="single" w:sz="12" w:space="0" w:color="000000"/>
              <w:left w:val="single" w:sz="18" w:space="0" w:color="000000"/>
              <w:right w:val="single" w:sz="18" w:space="0" w:color="000000"/>
            </w:tcBorders>
            <w:noWrap/>
            <w:vAlign w:val="center"/>
            <w:hideMark/>
          </w:tcPr>
          <w:p w14:paraId="673C4740" w14:textId="77777777" w:rsidR="001F4DDE" w:rsidRPr="00C85BEF" w:rsidRDefault="001F4DDE" w:rsidP="001F4DDE">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2003-2007</w:t>
            </w:r>
          </w:p>
        </w:tc>
        <w:tc>
          <w:tcPr>
            <w:tcW w:w="4056" w:type="dxa"/>
            <w:gridSpan w:val="6"/>
            <w:tcBorders>
              <w:left w:val="single" w:sz="18" w:space="0" w:color="000000"/>
            </w:tcBorders>
            <w:noWrap/>
            <w:vAlign w:val="center"/>
            <w:hideMark/>
          </w:tcPr>
          <w:p w14:paraId="0E8661A2" w14:textId="77777777" w:rsidR="001F4DDE" w:rsidRPr="00C85BEF" w:rsidRDefault="00DC70AA" w:rsidP="001F4DDE">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2008-2011</w:t>
            </w:r>
          </w:p>
        </w:tc>
      </w:tr>
      <w:tr w:rsidR="001F4DDE" w:rsidRPr="00C85BEF" w14:paraId="5B027D2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6F8CF127" w14:textId="77777777" w:rsidR="001F4DDE" w:rsidRPr="00C85BEF" w:rsidRDefault="001F4DDE" w:rsidP="001F4DDE">
            <w:pPr>
              <w:jc w:val="center"/>
              <w:rPr>
                <w:bCs/>
                <w:color w:val="000000"/>
                <w:sz w:val="16"/>
                <w:szCs w:val="16"/>
              </w:rPr>
            </w:pPr>
            <w:r w:rsidRPr="00C85BEF">
              <w:rPr>
                <w:bCs/>
                <w:color w:val="000000"/>
                <w:sz w:val="16"/>
                <w:szCs w:val="16"/>
              </w:rPr>
              <w:t>Developed Markets</w:t>
            </w:r>
          </w:p>
        </w:tc>
        <w:tc>
          <w:tcPr>
            <w:tcW w:w="1632" w:type="dxa"/>
            <w:gridSpan w:val="2"/>
            <w:tcBorders>
              <w:top w:val="nil"/>
              <w:bottom w:val="nil"/>
              <w:right w:val="single" w:sz="4" w:space="0" w:color="auto"/>
            </w:tcBorders>
            <w:noWrap/>
            <w:vAlign w:val="center"/>
            <w:hideMark/>
          </w:tcPr>
          <w:p w14:paraId="0D0C55A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D1</w:t>
            </w:r>
          </w:p>
        </w:tc>
        <w:tc>
          <w:tcPr>
            <w:tcW w:w="1382" w:type="dxa"/>
            <w:gridSpan w:val="2"/>
            <w:tcBorders>
              <w:top w:val="nil"/>
              <w:left w:val="single" w:sz="4" w:space="0" w:color="auto"/>
              <w:bottom w:val="nil"/>
              <w:right w:val="single" w:sz="4" w:space="0" w:color="auto"/>
            </w:tcBorders>
            <w:noWrap/>
            <w:vAlign w:val="center"/>
            <w:hideMark/>
          </w:tcPr>
          <w:p w14:paraId="2D3E1A6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D2</w:t>
            </w:r>
          </w:p>
        </w:tc>
        <w:tc>
          <w:tcPr>
            <w:tcW w:w="1382" w:type="dxa"/>
            <w:gridSpan w:val="2"/>
            <w:tcBorders>
              <w:top w:val="nil"/>
              <w:left w:val="single" w:sz="4" w:space="0" w:color="auto"/>
              <w:bottom w:val="nil"/>
              <w:right w:val="single" w:sz="18" w:space="0" w:color="000000"/>
            </w:tcBorders>
            <w:noWrap/>
            <w:vAlign w:val="center"/>
            <w:hideMark/>
          </w:tcPr>
          <w:p w14:paraId="42884A4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D3</w:t>
            </w:r>
          </w:p>
        </w:tc>
        <w:tc>
          <w:tcPr>
            <w:tcW w:w="1402" w:type="dxa"/>
            <w:gridSpan w:val="2"/>
            <w:tcBorders>
              <w:left w:val="single" w:sz="18" w:space="0" w:color="000000"/>
              <w:right w:val="single" w:sz="4" w:space="0" w:color="auto"/>
            </w:tcBorders>
            <w:noWrap/>
            <w:vAlign w:val="center"/>
            <w:hideMark/>
          </w:tcPr>
          <w:p w14:paraId="01970DC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D1</w:t>
            </w:r>
          </w:p>
        </w:tc>
        <w:tc>
          <w:tcPr>
            <w:tcW w:w="1382" w:type="dxa"/>
            <w:gridSpan w:val="2"/>
            <w:tcBorders>
              <w:top w:val="nil"/>
              <w:left w:val="single" w:sz="4" w:space="0" w:color="auto"/>
              <w:bottom w:val="nil"/>
              <w:right w:val="single" w:sz="4" w:space="0" w:color="auto"/>
            </w:tcBorders>
            <w:noWrap/>
            <w:vAlign w:val="center"/>
            <w:hideMark/>
          </w:tcPr>
          <w:p w14:paraId="1AF7EEF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D2</w:t>
            </w:r>
          </w:p>
        </w:tc>
        <w:tc>
          <w:tcPr>
            <w:tcW w:w="1382" w:type="dxa"/>
            <w:gridSpan w:val="2"/>
            <w:tcBorders>
              <w:left w:val="single" w:sz="4" w:space="0" w:color="auto"/>
              <w:right w:val="single" w:sz="18" w:space="0" w:color="000000"/>
            </w:tcBorders>
            <w:noWrap/>
            <w:vAlign w:val="center"/>
            <w:hideMark/>
          </w:tcPr>
          <w:p w14:paraId="349786F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D3</w:t>
            </w:r>
          </w:p>
        </w:tc>
        <w:tc>
          <w:tcPr>
            <w:tcW w:w="1382" w:type="dxa"/>
            <w:gridSpan w:val="2"/>
            <w:tcBorders>
              <w:top w:val="nil"/>
              <w:left w:val="single" w:sz="18" w:space="0" w:color="000000"/>
              <w:bottom w:val="nil"/>
              <w:right w:val="single" w:sz="4" w:space="0" w:color="auto"/>
            </w:tcBorders>
            <w:noWrap/>
            <w:vAlign w:val="center"/>
            <w:hideMark/>
          </w:tcPr>
          <w:p w14:paraId="3421CC7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D1</w:t>
            </w:r>
          </w:p>
        </w:tc>
        <w:tc>
          <w:tcPr>
            <w:tcW w:w="1382" w:type="dxa"/>
            <w:gridSpan w:val="2"/>
            <w:tcBorders>
              <w:top w:val="nil"/>
              <w:left w:val="single" w:sz="4" w:space="0" w:color="auto"/>
              <w:bottom w:val="nil"/>
              <w:right w:val="single" w:sz="4" w:space="0" w:color="auto"/>
            </w:tcBorders>
            <w:noWrap/>
            <w:vAlign w:val="center"/>
            <w:hideMark/>
          </w:tcPr>
          <w:p w14:paraId="0FAEF1A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D2</w:t>
            </w:r>
          </w:p>
        </w:tc>
        <w:tc>
          <w:tcPr>
            <w:tcW w:w="1292" w:type="dxa"/>
            <w:gridSpan w:val="2"/>
            <w:tcBorders>
              <w:left w:val="single" w:sz="4" w:space="0" w:color="auto"/>
            </w:tcBorders>
            <w:noWrap/>
            <w:vAlign w:val="center"/>
            <w:hideMark/>
          </w:tcPr>
          <w:p w14:paraId="457956C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D3</w:t>
            </w:r>
          </w:p>
        </w:tc>
      </w:tr>
      <w:tr w:rsidR="001F4DDE" w:rsidRPr="00C85BEF" w14:paraId="34EBEBC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tcPr>
          <w:p w14:paraId="0987F82B" w14:textId="77777777" w:rsidR="001F4DDE" w:rsidRPr="00C85BEF" w:rsidRDefault="001F4DDE" w:rsidP="001F4DDE">
            <w:pPr>
              <w:jc w:val="center"/>
              <w:rPr>
                <w:bCs/>
                <w:color w:val="000000"/>
                <w:sz w:val="16"/>
                <w:szCs w:val="16"/>
              </w:rPr>
            </w:pPr>
          </w:p>
        </w:tc>
        <w:tc>
          <w:tcPr>
            <w:tcW w:w="1016" w:type="dxa"/>
            <w:tcBorders>
              <w:top w:val="nil"/>
              <w:bottom w:val="nil"/>
            </w:tcBorders>
            <w:noWrap/>
            <w:vAlign w:val="center"/>
          </w:tcPr>
          <w:p w14:paraId="4048498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16" w:type="dxa"/>
            <w:tcBorders>
              <w:top w:val="nil"/>
              <w:bottom w:val="nil"/>
              <w:right w:val="single" w:sz="4" w:space="0" w:color="auto"/>
            </w:tcBorders>
            <w:noWrap/>
            <w:vAlign w:val="center"/>
          </w:tcPr>
          <w:p w14:paraId="3039E449"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766" w:type="dxa"/>
            <w:tcBorders>
              <w:top w:val="nil"/>
              <w:left w:val="single" w:sz="4" w:space="0" w:color="auto"/>
              <w:bottom w:val="nil"/>
            </w:tcBorders>
            <w:noWrap/>
            <w:vAlign w:val="center"/>
          </w:tcPr>
          <w:p w14:paraId="37F7A45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16" w:type="dxa"/>
            <w:tcBorders>
              <w:top w:val="nil"/>
              <w:bottom w:val="nil"/>
              <w:right w:val="single" w:sz="4" w:space="0" w:color="auto"/>
            </w:tcBorders>
            <w:noWrap/>
            <w:vAlign w:val="center"/>
          </w:tcPr>
          <w:p w14:paraId="3268F6C0"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766" w:type="dxa"/>
            <w:tcBorders>
              <w:top w:val="nil"/>
              <w:left w:val="single" w:sz="4" w:space="0" w:color="auto"/>
              <w:bottom w:val="nil"/>
            </w:tcBorders>
            <w:noWrap/>
            <w:vAlign w:val="center"/>
          </w:tcPr>
          <w:p w14:paraId="7FCEE65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16" w:type="dxa"/>
            <w:tcBorders>
              <w:top w:val="nil"/>
              <w:bottom w:val="nil"/>
              <w:right w:val="single" w:sz="18" w:space="0" w:color="000000"/>
            </w:tcBorders>
            <w:noWrap/>
            <w:vAlign w:val="center"/>
          </w:tcPr>
          <w:p w14:paraId="3F68439E"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766" w:type="dxa"/>
            <w:tcBorders>
              <w:left w:val="single" w:sz="18" w:space="0" w:color="000000"/>
            </w:tcBorders>
            <w:noWrap/>
            <w:vAlign w:val="center"/>
          </w:tcPr>
          <w:p w14:paraId="1DF6E95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36" w:type="dxa"/>
            <w:tcBorders>
              <w:right w:val="single" w:sz="4" w:space="0" w:color="auto"/>
            </w:tcBorders>
            <w:noWrap/>
            <w:vAlign w:val="center"/>
          </w:tcPr>
          <w:p w14:paraId="246208B2"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766" w:type="dxa"/>
            <w:tcBorders>
              <w:top w:val="nil"/>
              <w:left w:val="single" w:sz="4" w:space="0" w:color="auto"/>
              <w:bottom w:val="nil"/>
            </w:tcBorders>
            <w:noWrap/>
            <w:vAlign w:val="center"/>
          </w:tcPr>
          <w:p w14:paraId="5FF44B9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16" w:type="dxa"/>
            <w:tcBorders>
              <w:top w:val="nil"/>
              <w:bottom w:val="nil"/>
              <w:right w:val="single" w:sz="4" w:space="0" w:color="auto"/>
            </w:tcBorders>
            <w:noWrap/>
            <w:vAlign w:val="center"/>
          </w:tcPr>
          <w:p w14:paraId="3A0498CD"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766" w:type="dxa"/>
            <w:tcBorders>
              <w:left w:val="single" w:sz="4" w:space="0" w:color="auto"/>
            </w:tcBorders>
            <w:noWrap/>
            <w:vAlign w:val="center"/>
          </w:tcPr>
          <w:p w14:paraId="5D66CC1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16" w:type="dxa"/>
            <w:tcBorders>
              <w:right w:val="single" w:sz="18" w:space="0" w:color="000000"/>
            </w:tcBorders>
            <w:noWrap/>
            <w:vAlign w:val="center"/>
          </w:tcPr>
          <w:p w14:paraId="4BB12DA1"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766" w:type="dxa"/>
            <w:tcBorders>
              <w:top w:val="nil"/>
              <w:left w:val="single" w:sz="18" w:space="0" w:color="000000"/>
              <w:bottom w:val="nil"/>
            </w:tcBorders>
            <w:noWrap/>
            <w:vAlign w:val="center"/>
          </w:tcPr>
          <w:p w14:paraId="6730630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16" w:type="dxa"/>
            <w:tcBorders>
              <w:top w:val="nil"/>
              <w:bottom w:val="nil"/>
              <w:right w:val="single" w:sz="4" w:space="0" w:color="auto"/>
            </w:tcBorders>
            <w:noWrap/>
            <w:vAlign w:val="center"/>
          </w:tcPr>
          <w:p w14:paraId="46553407"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766" w:type="dxa"/>
            <w:tcBorders>
              <w:top w:val="nil"/>
              <w:left w:val="single" w:sz="4" w:space="0" w:color="auto"/>
              <w:bottom w:val="nil"/>
            </w:tcBorders>
            <w:noWrap/>
            <w:vAlign w:val="center"/>
          </w:tcPr>
          <w:p w14:paraId="4DB9DAD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16" w:type="dxa"/>
            <w:tcBorders>
              <w:top w:val="nil"/>
              <w:bottom w:val="nil"/>
              <w:right w:val="single" w:sz="4" w:space="0" w:color="auto"/>
            </w:tcBorders>
            <w:noWrap/>
            <w:vAlign w:val="center"/>
          </w:tcPr>
          <w:p w14:paraId="6E0E46D2"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c>
          <w:tcPr>
            <w:tcW w:w="616" w:type="dxa"/>
            <w:tcBorders>
              <w:left w:val="single" w:sz="4" w:space="0" w:color="auto"/>
            </w:tcBorders>
            <w:noWrap/>
            <w:vAlign w:val="center"/>
          </w:tcPr>
          <w:p w14:paraId="34BFCDC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F-statistic</w:t>
            </w:r>
          </w:p>
        </w:tc>
        <w:tc>
          <w:tcPr>
            <w:tcW w:w="676" w:type="dxa"/>
            <w:noWrap/>
            <w:vAlign w:val="center"/>
          </w:tcPr>
          <w:p w14:paraId="3D45AC33" w14:textId="77777777" w:rsidR="001F4DDE" w:rsidRPr="00C85BEF"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sidR="001F4DDE" w:rsidRPr="00C85BEF">
              <w:rPr>
                <w:color w:val="000000"/>
                <w:sz w:val="16"/>
                <w:szCs w:val="16"/>
              </w:rPr>
              <w:t>-value</w:t>
            </w:r>
          </w:p>
        </w:tc>
      </w:tr>
      <w:tr w:rsidR="001F4DDE" w:rsidRPr="00C85BEF" w14:paraId="0AC9DC9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59C0330A" w14:textId="77777777" w:rsidR="001F4DDE" w:rsidRPr="00C85BEF" w:rsidRDefault="001F4DDE" w:rsidP="001F4DDE">
            <w:pPr>
              <w:jc w:val="center"/>
              <w:rPr>
                <w:bCs/>
                <w:color w:val="000000"/>
                <w:sz w:val="16"/>
                <w:szCs w:val="16"/>
              </w:rPr>
            </w:pPr>
            <w:r w:rsidRPr="00C85BEF">
              <w:rPr>
                <w:bCs/>
                <w:color w:val="000000"/>
                <w:sz w:val="16"/>
                <w:szCs w:val="16"/>
              </w:rPr>
              <w:t>Argentina</w:t>
            </w:r>
          </w:p>
        </w:tc>
        <w:tc>
          <w:tcPr>
            <w:tcW w:w="1016" w:type="dxa"/>
            <w:tcBorders>
              <w:top w:val="nil"/>
              <w:bottom w:val="nil"/>
            </w:tcBorders>
            <w:noWrap/>
            <w:vAlign w:val="center"/>
            <w:hideMark/>
          </w:tcPr>
          <w:p w14:paraId="3D72DE0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0.25</w:t>
            </w:r>
          </w:p>
        </w:tc>
        <w:tc>
          <w:tcPr>
            <w:tcW w:w="616" w:type="dxa"/>
            <w:tcBorders>
              <w:top w:val="nil"/>
              <w:bottom w:val="nil"/>
              <w:right w:val="single" w:sz="4" w:space="0" w:color="auto"/>
            </w:tcBorders>
            <w:noWrap/>
            <w:vAlign w:val="center"/>
            <w:hideMark/>
          </w:tcPr>
          <w:p w14:paraId="7ABB77E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0.78</w:t>
            </w:r>
          </w:p>
        </w:tc>
        <w:tc>
          <w:tcPr>
            <w:tcW w:w="766" w:type="dxa"/>
            <w:tcBorders>
              <w:top w:val="nil"/>
              <w:left w:val="single" w:sz="4" w:space="0" w:color="auto"/>
              <w:bottom w:val="nil"/>
            </w:tcBorders>
            <w:noWrap/>
            <w:vAlign w:val="center"/>
            <w:hideMark/>
          </w:tcPr>
          <w:p w14:paraId="04F37A7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0.28</w:t>
            </w:r>
          </w:p>
        </w:tc>
        <w:tc>
          <w:tcPr>
            <w:tcW w:w="616" w:type="dxa"/>
            <w:tcBorders>
              <w:top w:val="nil"/>
              <w:bottom w:val="nil"/>
              <w:right w:val="single" w:sz="4" w:space="0" w:color="auto"/>
            </w:tcBorders>
            <w:noWrap/>
            <w:vAlign w:val="center"/>
            <w:hideMark/>
          </w:tcPr>
          <w:p w14:paraId="0BAECF4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0.75</w:t>
            </w:r>
          </w:p>
        </w:tc>
        <w:tc>
          <w:tcPr>
            <w:tcW w:w="766" w:type="dxa"/>
            <w:tcBorders>
              <w:top w:val="nil"/>
              <w:left w:val="single" w:sz="4" w:space="0" w:color="auto"/>
              <w:bottom w:val="nil"/>
            </w:tcBorders>
            <w:noWrap/>
            <w:vAlign w:val="center"/>
            <w:hideMark/>
          </w:tcPr>
          <w:p w14:paraId="4C527D4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0.05</w:t>
            </w:r>
          </w:p>
        </w:tc>
        <w:tc>
          <w:tcPr>
            <w:tcW w:w="616" w:type="dxa"/>
            <w:tcBorders>
              <w:top w:val="nil"/>
              <w:bottom w:val="nil"/>
              <w:right w:val="single" w:sz="18" w:space="0" w:color="000000"/>
            </w:tcBorders>
            <w:noWrap/>
            <w:vAlign w:val="center"/>
            <w:hideMark/>
          </w:tcPr>
          <w:p w14:paraId="139E011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left w:val="single" w:sz="18" w:space="0" w:color="000000"/>
            </w:tcBorders>
            <w:noWrap/>
            <w:vAlign w:val="center"/>
            <w:hideMark/>
          </w:tcPr>
          <w:p w14:paraId="2F9D7EF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1.50</w:t>
            </w:r>
          </w:p>
        </w:tc>
        <w:tc>
          <w:tcPr>
            <w:tcW w:w="636" w:type="dxa"/>
            <w:tcBorders>
              <w:right w:val="single" w:sz="4" w:space="0" w:color="auto"/>
            </w:tcBorders>
            <w:noWrap/>
            <w:vAlign w:val="center"/>
            <w:hideMark/>
          </w:tcPr>
          <w:p w14:paraId="481CA3D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0.28</w:t>
            </w:r>
          </w:p>
        </w:tc>
        <w:tc>
          <w:tcPr>
            <w:tcW w:w="766" w:type="dxa"/>
            <w:tcBorders>
              <w:top w:val="nil"/>
              <w:left w:val="single" w:sz="4" w:space="0" w:color="auto"/>
              <w:bottom w:val="nil"/>
            </w:tcBorders>
            <w:noWrap/>
            <w:vAlign w:val="center"/>
            <w:hideMark/>
          </w:tcPr>
          <w:p w14:paraId="0DC7693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1.57</w:t>
            </w:r>
          </w:p>
        </w:tc>
        <w:tc>
          <w:tcPr>
            <w:tcW w:w="616" w:type="dxa"/>
            <w:tcBorders>
              <w:top w:val="nil"/>
              <w:bottom w:val="nil"/>
              <w:right w:val="single" w:sz="4" w:space="0" w:color="auto"/>
            </w:tcBorders>
            <w:noWrap/>
            <w:vAlign w:val="center"/>
            <w:hideMark/>
          </w:tcPr>
          <w:p w14:paraId="361B6C1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0.23</w:t>
            </w:r>
          </w:p>
        </w:tc>
        <w:tc>
          <w:tcPr>
            <w:tcW w:w="766" w:type="dxa"/>
            <w:tcBorders>
              <w:left w:val="single" w:sz="4" w:space="0" w:color="auto"/>
            </w:tcBorders>
            <w:noWrap/>
            <w:vAlign w:val="center"/>
            <w:hideMark/>
          </w:tcPr>
          <w:p w14:paraId="550DBE4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0.66</w:t>
            </w:r>
          </w:p>
        </w:tc>
        <w:tc>
          <w:tcPr>
            <w:tcW w:w="616" w:type="dxa"/>
            <w:tcBorders>
              <w:right w:val="single" w:sz="18" w:space="0" w:color="000000"/>
            </w:tcBorders>
            <w:noWrap/>
            <w:vAlign w:val="center"/>
            <w:hideMark/>
          </w:tcPr>
          <w:p w14:paraId="0B48F45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0.51</w:t>
            </w:r>
          </w:p>
        </w:tc>
        <w:tc>
          <w:tcPr>
            <w:tcW w:w="766" w:type="dxa"/>
            <w:tcBorders>
              <w:top w:val="nil"/>
              <w:left w:val="single" w:sz="18" w:space="0" w:color="000000"/>
              <w:bottom w:val="nil"/>
            </w:tcBorders>
            <w:noWrap/>
            <w:vAlign w:val="center"/>
            <w:hideMark/>
          </w:tcPr>
          <w:p w14:paraId="08D3A6C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3AB2A21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72025A1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0.10</w:t>
            </w:r>
          </w:p>
        </w:tc>
        <w:tc>
          <w:tcPr>
            <w:tcW w:w="616" w:type="dxa"/>
            <w:tcBorders>
              <w:top w:val="nil"/>
              <w:bottom w:val="nil"/>
              <w:right w:val="single" w:sz="4" w:space="0" w:color="auto"/>
            </w:tcBorders>
            <w:noWrap/>
            <w:vAlign w:val="center"/>
            <w:hideMark/>
          </w:tcPr>
          <w:p w14:paraId="5F466A6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616" w:type="dxa"/>
            <w:tcBorders>
              <w:left w:val="single" w:sz="4" w:space="0" w:color="auto"/>
            </w:tcBorders>
            <w:noWrap/>
            <w:vAlign w:val="center"/>
            <w:hideMark/>
          </w:tcPr>
          <w:p w14:paraId="2B6E14F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0.06</w:t>
            </w:r>
          </w:p>
        </w:tc>
        <w:tc>
          <w:tcPr>
            <w:tcW w:w="676" w:type="dxa"/>
            <w:noWrap/>
            <w:vAlign w:val="center"/>
            <w:hideMark/>
          </w:tcPr>
          <w:p w14:paraId="39263B9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r>
      <w:tr w:rsidR="001F4DDE" w:rsidRPr="00C85BEF" w14:paraId="59A0D97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7D21400F" w14:textId="77777777" w:rsidR="001F4DDE" w:rsidRPr="00C85BEF" w:rsidRDefault="001F4DDE" w:rsidP="001F4DDE">
            <w:pPr>
              <w:jc w:val="center"/>
              <w:rPr>
                <w:bCs/>
                <w:color w:val="000000"/>
                <w:sz w:val="16"/>
                <w:szCs w:val="16"/>
              </w:rPr>
            </w:pPr>
            <w:r w:rsidRPr="00C85BEF">
              <w:rPr>
                <w:bCs/>
                <w:color w:val="000000"/>
                <w:sz w:val="16"/>
                <w:szCs w:val="16"/>
              </w:rPr>
              <w:t>Australia</w:t>
            </w:r>
          </w:p>
        </w:tc>
        <w:tc>
          <w:tcPr>
            <w:tcW w:w="1016" w:type="dxa"/>
            <w:tcBorders>
              <w:top w:val="nil"/>
              <w:bottom w:val="nil"/>
            </w:tcBorders>
            <w:noWrap/>
            <w:vAlign w:val="center"/>
            <w:hideMark/>
          </w:tcPr>
          <w:p w14:paraId="7FA3752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4" w:space="0" w:color="auto"/>
            </w:tcBorders>
            <w:noWrap/>
            <w:vAlign w:val="center"/>
            <w:hideMark/>
          </w:tcPr>
          <w:p w14:paraId="3CD28D8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4" w:space="0" w:color="auto"/>
              <w:bottom w:val="nil"/>
            </w:tcBorders>
            <w:noWrap/>
            <w:vAlign w:val="center"/>
            <w:hideMark/>
          </w:tcPr>
          <w:p w14:paraId="748C093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4" w:space="0" w:color="auto"/>
            </w:tcBorders>
            <w:noWrap/>
            <w:vAlign w:val="center"/>
            <w:hideMark/>
          </w:tcPr>
          <w:p w14:paraId="3B4B9F3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766" w:type="dxa"/>
            <w:tcBorders>
              <w:top w:val="nil"/>
              <w:left w:val="single" w:sz="4" w:space="0" w:color="auto"/>
              <w:bottom w:val="nil"/>
            </w:tcBorders>
            <w:noWrap/>
            <w:vAlign w:val="center"/>
            <w:hideMark/>
          </w:tcPr>
          <w:p w14:paraId="5F28A99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616" w:type="dxa"/>
            <w:tcBorders>
              <w:top w:val="nil"/>
              <w:bottom w:val="nil"/>
              <w:right w:val="single" w:sz="18" w:space="0" w:color="000000"/>
            </w:tcBorders>
            <w:noWrap/>
            <w:vAlign w:val="center"/>
            <w:hideMark/>
          </w:tcPr>
          <w:p w14:paraId="3600170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766" w:type="dxa"/>
            <w:tcBorders>
              <w:left w:val="single" w:sz="18" w:space="0" w:color="000000"/>
            </w:tcBorders>
            <w:noWrap/>
            <w:vAlign w:val="center"/>
            <w:hideMark/>
          </w:tcPr>
          <w:p w14:paraId="3C8007F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2.97</w:t>
            </w:r>
          </w:p>
        </w:tc>
        <w:tc>
          <w:tcPr>
            <w:tcW w:w="636" w:type="dxa"/>
            <w:tcBorders>
              <w:right w:val="single" w:sz="4" w:space="0" w:color="auto"/>
            </w:tcBorders>
            <w:noWrap/>
            <w:vAlign w:val="center"/>
            <w:hideMark/>
          </w:tcPr>
          <w:p w14:paraId="16BF415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766" w:type="dxa"/>
            <w:tcBorders>
              <w:top w:val="nil"/>
              <w:left w:val="single" w:sz="4" w:space="0" w:color="auto"/>
              <w:bottom w:val="nil"/>
            </w:tcBorders>
            <w:noWrap/>
            <w:vAlign w:val="center"/>
            <w:hideMark/>
          </w:tcPr>
          <w:p w14:paraId="423A64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4.04</w:t>
            </w:r>
          </w:p>
        </w:tc>
        <w:tc>
          <w:tcPr>
            <w:tcW w:w="616" w:type="dxa"/>
            <w:tcBorders>
              <w:top w:val="nil"/>
              <w:bottom w:val="nil"/>
              <w:right w:val="single" w:sz="4" w:space="0" w:color="auto"/>
            </w:tcBorders>
            <w:noWrap/>
            <w:vAlign w:val="center"/>
            <w:hideMark/>
          </w:tcPr>
          <w:p w14:paraId="5531173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0.02</w:t>
            </w:r>
          </w:p>
        </w:tc>
        <w:tc>
          <w:tcPr>
            <w:tcW w:w="766" w:type="dxa"/>
            <w:tcBorders>
              <w:left w:val="single" w:sz="4" w:space="0" w:color="auto"/>
            </w:tcBorders>
            <w:noWrap/>
            <w:vAlign w:val="center"/>
            <w:hideMark/>
          </w:tcPr>
          <w:p w14:paraId="5753B10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1.97</w:t>
            </w:r>
          </w:p>
        </w:tc>
        <w:tc>
          <w:tcPr>
            <w:tcW w:w="616" w:type="dxa"/>
            <w:tcBorders>
              <w:right w:val="single" w:sz="18" w:space="0" w:color="000000"/>
            </w:tcBorders>
            <w:noWrap/>
            <w:vAlign w:val="center"/>
            <w:hideMark/>
          </w:tcPr>
          <w:p w14:paraId="40BC426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0.14</w:t>
            </w:r>
          </w:p>
        </w:tc>
        <w:tc>
          <w:tcPr>
            <w:tcW w:w="766" w:type="dxa"/>
            <w:tcBorders>
              <w:top w:val="nil"/>
              <w:left w:val="single" w:sz="18" w:space="0" w:color="000000"/>
              <w:bottom w:val="nil"/>
            </w:tcBorders>
            <w:noWrap/>
            <w:vAlign w:val="center"/>
            <w:hideMark/>
          </w:tcPr>
          <w:p w14:paraId="114C148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0.04</w:t>
            </w:r>
          </w:p>
        </w:tc>
        <w:tc>
          <w:tcPr>
            <w:tcW w:w="616" w:type="dxa"/>
            <w:tcBorders>
              <w:top w:val="nil"/>
              <w:bottom w:val="nil"/>
              <w:right w:val="single" w:sz="4" w:space="0" w:color="auto"/>
            </w:tcBorders>
            <w:noWrap/>
            <w:vAlign w:val="center"/>
            <w:hideMark/>
          </w:tcPr>
          <w:p w14:paraId="2EBB5D5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c>
          <w:tcPr>
            <w:tcW w:w="766" w:type="dxa"/>
            <w:tcBorders>
              <w:top w:val="nil"/>
              <w:left w:val="single" w:sz="4" w:space="0" w:color="auto"/>
              <w:bottom w:val="nil"/>
            </w:tcBorders>
            <w:noWrap/>
            <w:vAlign w:val="center"/>
            <w:hideMark/>
          </w:tcPr>
          <w:p w14:paraId="64F8F9E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0.83</w:t>
            </w:r>
          </w:p>
        </w:tc>
        <w:tc>
          <w:tcPr>
            <w:tcW w:w="616" w:type="dxa"/>
            <w:tcBorders>
              <w:top w:val="nil"/>
              <w:bottom w:val="nil"/>
              <w:right w:val="single" w:sz="4" w:space="0" w:color="auto"/>
            </w:tcBorders>
            <w:noWrap/>
            <w:vAlign w:val="center"/>
            <w:hideMark/>
          </w:tcPr>
          <w:p w14:paraId="3E989D5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0.41</w:t>
            </w:r>
          </w:p>
        </w:tc>
        <w:tc>
          <w:tcPr>
            <w:tcW w:w="616" w:type="dxa"/>
            <w:tcBorders>
              <w:left w:val="single" w:sz="4" w:space="0" w:color="auto"/>
            </w:tcBorders>
            <w:noWrap/>
            <w:vAlign w:val="center"/>
            <w:hideMark/>
          </w:tcPr>
          <w:p w14:paraId="7FD9CF5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0.19</w:t>
            </w:r>
          </w:p>
        </w:tc>
        <w:tc>
          <w:tcPr>
            <w:tcW w:w="676" w:type="dxa"/>
            <w:noWrap/>
            <w:vAlign w:val="center"/>
            <w:hideMark/>
          </w:tcPr>
          <w:p w14:paraId="61F39B7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0.83</w:t>
            </w:r>
          </w:p>
        </w:tc>
      </w:tr>
      <w:tr w:rsidR="001F4DDE" w:rsidRPr="00C85BEF" w14:paraId="1D99429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0AC34F8C" w14:textId="77777777" w:rsidR="001F4DDE" w:rsidRPr="00C85BEF" w:rsidRDefault="001F4DDE" w:rsidP="001F4DDE">
            <w:pPr>
              <w:jc w:val="center"/>
              <w:rPr>
                <w:bCs/>
                <w:color w:val="000000"/>
                <w:sz w:val="16"/>
                <w:szCs w:val="16"/>
              </w:rPr>
            </w:pPr>
            <w:r w:rsidRPr="00C85BEF">
              <w:rPr>
                <w:bCs/>
                <w:color w:val="000000"/>
                <w:sz w:val="16"/>
                <w:szCs w:val="16"/>
              </w:rPr>
              <w:t>Austria</w:t>
            </w:r>
          </w:p>
        </w:tc>
        <w:tc>
          <w:tcPr>
            <w:tcW w:w="1016" w:type="dxa"/>
            <w:tcBorders>
              <w:top w:val="nil"/>
              <w:bottom w:val="nil"/>
            </w:tcBorders>
            <w:noWrap/>
            <w:vAlign w:val="center"/>
            <w:hideMark/>
          </w:tcPr>
          <w:p w14:paraId="01CF72D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4" w:space="0" w:color="auto"/>
            </w:tcBorders>
            <w:noWrap/>
            <w:vAlign w:val="center"/>
            <w:hideMark/>
          </w:tcPr>
          <w:p w14:paraId="0E7693A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top w:val="nil"/>
              <w:left w:val="single" w:sz="4" w:space="0" w:color="auto"/>
              <w:bottom w:val="nil"/>
            </w:tcBorders>
            <w:noWrap/>
            <w:vAlign w:val="center"/>
            <w:hideMark/>
          </w:tcPr>
          <w:p w14:paraId="760B41D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4" w:space="0" w:color="auto"/>
            </w:tcBorders>
            <w:noWrap/>
            <w:vAlign w:val="center"/>
            <w:hideMark/>
          </w:tcPr>
          <w:p w14:paraId="28E8B8B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top w:val="nil"/>
              <w:left w:val="single" w:sz="4" w:space="0" w:color="auto"/>
              <w:bottom w:val="nil"/>
            </w:tcBorders>
            <w:noWrap/>
            <w:vAlign w:val="center"/>
            <w:hideMark/>
          </w:tcPr>
          <w:p w14:paraId="0303B4A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616" w:type="dxa"/>
            <w:tcBorders>
              <w:top w:val="nil"/>
              <w:bottom w:val="nil"/>
              <w:right w:val="single" w:sz="18" w:space="0" w:color="000000"/>
            </w:tcBorders>
            <w:noWrap/>
            <w:vAlign w:val="center"/>
            <w:hideMark/>
          </w:tcPr>
          <w:p w14:paraId="40353E0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left w:val="single" w:sz="18" w:space="0" w:color="000000"/>
            </w:tcBorders>
            <w:noWrap/>
            <w:vAlign w:val="center"/>
            <w:hideMark/>
          </w:tcPr>
          <w:p w14:paraId="5599A5E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2.97</w:t>
            </w:r>
          </w:p>
        </w:tc>
        <w:tc>
          <w:tcPr>
            <w:tcW w:w="636" w:type="dxa"/>
            <w:tcBorders>
              <w:right w:val="single" w:sz="4" w:space="0" w:color="auto"/>
            </w:tcBorders>
            <w:noWrap/>
            <w:vAlign w:val="center"/>
            <w:hideMark/>
          </w:tcPr>
          <w:p w14:paraId="027F70F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766" w:type="dxa"/>
            <w:tcBorders>
              <w:top w:val="nil"/>
              <w:left w:val="single" w:sz="4" w:space="0" w:color="auto"/>
              <w:bottom w:val="nil"/>
            </w:tcBorders>
            <w:noWrap/>
            <w:vAlign w:val="center"/>
            <w:hideMark/>
          </w:tcPr>
          <w:p w14:paraId="6E1D242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16" w:type="dxa"/>
            <w:tcBorders>
              <w:top w:val="nil"/>
              <w:bottom w:val="nil"/>
              <w:right w:val="single" w:sz="4" w:space="0" w:color="auto"/>
            </w:tcBorders>
            <w:noWrap/>
            <w:vAlign w:val="center"/>
            <w:hideMark/>
          </w:tcPr>
          <w:p w14:paraId="6F0081A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0.13</w:t>
            </w:r>
          </w:p>
        </w:tc>
        <w:tc>
          <w:tcPr>
            <w:tcW w:w="766" w:type="dxa"/>
            <w:tcBorders>
              <w:left w:val="single" w:sz="4" w:space="0" w:color="auto"/>
            </w:tcBorders>
            <w:noWrap/>
            <w:vAlign w:val="center"/>
            <w:hideMark/>
          </w:tcPr>
          <w:p w14:paraId="017B995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1.57</w:t>
            </w:r>
          </w:p>
        </w:tc>
        <w:tc>
          <w:tcPr>
            <w:tcW w:w="616" w:type="dxa"/>
            <w:tcBorders>
              <w:right w:val="single" w:sz="18" w:space="0" w:color="000000"/>
            </w:tcBorders>
            <w:noWrap/>
            <w:vAlign w:val="center"/>
            <w:hideMark/>
          </w:tcPr>
          <w:p w14:paraId="7DB6BA8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0.21</w:t>
            </w:r>
          </w:p>
        </w:tc>
        <w:tc>
          <w:tcPr>
            <w:tcW w:w="766" w:type="dxa"/>
            <w:tcBorders>
              <w:top w:val="nil"/>
              <w:left w:val="single" w:sz="18" w:space="0" w:color="000000"/>
              <w:bottom w:val="nil"/>
            </w:tcBorders>
            <w:noWrap/>
            <w:vAlign w:val="center"/>
            <w:hideMark/>
          </w:tcPr>
          <w:p w14:paraId="661ECD0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0.42</w:t>
            </w:r>
          </w:p>
        </w:tc>
        <w:tc>
          <w:tcPr>
            <w:tcW w:w="616" w:type="dxa"/>
            <w:tcBorders>
              <w:top w:val="nil"/>
              <w:bottom w:val="nil"/>
              <w:right w:val="single" w:sz="4" w:space="0" w:color="auto"/>
            </w:tcBorders>
            <w:noWrap/>
            <w:vAlign w:val="center"/>
            <w:hideMark/>
          </w:tcPr>
          <w:p w14:paraId="46AC277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0.64</w:t>
            </w:r>
          </w:p>
        </w:tc>
        <w:tc>
          <w:tcPr>
            <w:tcW w:w="766" w:type="dxa"/>
            <w:tcBorders>
              <w:top w:val="nil"/>
              <w:left w:val="single" w:sz="4" w:space="0" w:color="auto"/>
              <w:bottom w:val="nil"/>
            </w:tcBorders>
            <w:noWrap/>
            <w:vAlign w:val="center"/>
            <w:hideMark/>
          </w:tcPr>
          <w:p w14:paraId="5573A4C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0.81</w:t>
            </w:r>
          </w:p>
        </w:tc>
        <w:tc>
          <w:tcPr>
            <w:tcW w:w="616" w:type="dxa"/>
            <w:tcBorders>
              <w:top w:val="nil"/>
              <w:bottom w:val="nil"/>
              <w:right w:val="single" w:sz="4" w:space="0" w:color="auto"/>
            </w:tcBorders>
            <w:noWrap/>
            <w:vAlign w:val="center"/>
            <w:hideMark/>
          </w:tcPr>
          <w:p w14:paraId="5084386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0.43</w:t>
            </w:r>
          </w:p>
        </w:tc>
        <w:tc>
          <w:tcPr>
            <w:tcW w:w="616" w:type="dxa"/>
            <w:tcBorders>
              <w:left w:val="single" w:sz="4" w:space="0" w:color="auto"/>
            </w:tcBorders>
            <w:noWrap/>
            <w:vAlign w:val="center"/>
            <w:hideMark/>
          </w:tcPr>
          <w:p w14:paraId="7B73F13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0.28</w:t>
            </w:r>
          </w:p>
        </w:tc>
        <w:tc>
          <w:tcPr>
            <w:tcW w:w="676" w:type="dxa"/>
            <w:noWrap/>
            <w:vAlign w:val="center"/>
            <w:hideMark/>
          </w:tcPr>
          <w:p w14:paraId="29FB027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0.74</w:t>
            </w:r>
          </w:p>
        </w:tc>
      </w:tr>
      <w:tr w:rsidR="001F4DDE" w:rsidRPr="00C85BEF" w14:paraId="73F0D24B"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1B9CE577" w14:textId="77777777" w:rsidR="001F4DDE" w:rsidRPr="00C85BEF" w:rsidRDefault="001F4DDE" w:rsidP="001F4DDE">
            <w:pPr>
              <w:jc w:val="center"/>
              <w:rPr>
                <w:bCs/>
                <w:color w:val="000000"/>
                <w:sz w:val="16"/>
                <w:szCs w:val="16"/>
              </w:rPr>
            </w:pPr>
            <w:r w:rsidRPr="00C85BEF">
              <w:rPr>
                <w:bCs/>
                <w:color w:val="000000"/>
                <w:sz w:val="16"/>
                <w:szCs w:val="16"/>
              </w:rPr>
              <w:t>Belgium</w:t>
            </w:r>
          </w:p>
        </w:tc>
        <w:tc>
          <w:tcPr>
            <w:tcW w:w="1016" w:type="dxa"/>
            <w:tcBorders>
              <w:top w:val="nil"/>
              <w:bottom w:val="nil"/>
            </w:tcBorders>
            <w:noWrap/>
            <w:vAlign w:val="center"/>
            <w:hideMark/>
          </w:tcPr>
          <w:p w14:paraId="6D1BBFB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5C961C1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05C0146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34DB141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539EDFC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616" w:type="dxa"/>
            <w:tcBorders>
              <w:top w:val="nil"/>
              <w:bottom w:val="nil"/>
              <w:right w:val="single" w:sz="18" w:space="0" w:color="000000"/>
            </w:tcBorders>
            <w:noWrap/>
            <w:vAlign w:val="center"/>
            <w:hideMark/>
          </w:tcPr>
          <w:p w14:paraId="10FB567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c>
          <w:tcPr>
            <w:tcW w:w="766" w:type="dxa"/>
            <w:tcBorders>
              <w:left w:val="single" w:sz="18" w:space="0" w:color="000000"/>
            </w:tcBorders>
            <w:noWrap/>
            <w:vAlign w:val="center"/>
            <w:hideMark/>
          </w:tcPr>
          <w:p w14:paraId="1531F60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2.75</w:t>
            </w:r>
          </w:p>
        </w:tc>
        <w:tc>
          <w:tcPr>
            <w:tcW w:w="636" w:type="dxa"/>
            <w:tcBorders>
              <w:right w:val="single" w:sz="4" w:space="0" w:color="auto"/>
            </w:tcBorders>
            <w:noWrap/>
            <w:vAlign w:val="center"/>
            <w:hideMark/>
          </w:tcPr>
          <w:p w14:paraId="38B7D3E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766" w:type="dxa"/>
            <w:tcBorders>
              <w:top w:val="nil"/>
              <w:left w:val="single" w:sz="4" w:space="0" w:color="auto"/>
              <w:bottom w:val="nil"/>
            </w:tcBorders>
            <w:noWrap/>
            <w:vAlign w:val="center"/>
            <w:hideMark/>
          </w:tcPr>
          <w:p w14:paraId="7F49976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2.27</w:t>
            </w:r>
          </w:p>
        </w:tc>
        <w:tc>
          <w:tcPr>
            <w:tcW w:w="616" w:type="dxa"/>
            <w:tcBorders>
              <w:top w:val="nil"/>
              <w:bottom w:val="nil"/>
              <w:right w:val="single" w:sz="4" w:space="0" w:color="auto"/>
            </w:tcBorders>
            <w:noWrap/>
            <w:vAlign w:val="center"/>
            <w:hideMark/>
          </w:tcPr>
          <w:p w14:paraId="4541B9E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766" w:type="dxa"/>
            <w:tcBorders>
              <w:left w:val="single" w:sz="4" w:space="0" w:color="auto"/>
            </w:tcBorders>
            <w:noWrap/>
            <w:vAlign w:val="center"/>
            <w:hideMark/>
          </w:tcPr>
          <w:p w14:paraId="0586E12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0.32</w:t>
            </w:r>
          </w:p>
        </w:tc>
        <w:tc>
          <w:tcPr>
            <w:tcW w:w="616" w:type="dxa"/>
            <w:tcBorders>
              <w:right w:val="single" w:sz="18" w:space="0" w:color="000000"/>
            </w:tcBorders>
            <w:noWrap/>
            <w:vAlign w:val="center"/>
            <w:hideMark/>
          </w:tcPr>
          <w:p w14:paraId="2278CBD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0.71</w:t>
            </w:r>
          </w:p>
        </w:tc>
        <w:tc>
          <w:tcPr>
            <w:tcW w:w="766" w:type="dxa"/>
            <w:tcBorders>
              <w:top w:val="nil"/>
              <w:left w:val="single" w:sz="18" w:space="0" w:color="000000"/>
              <w:bottom w:val="nil"/>
            </w:tcBorders>
            <w:noWrap/>
            <w:vAlign w:val="center"/>
            <w:hideMark/>
          </w:tcPr>
          <w:p w14:paraId="0F30F12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0.55</w:t>
            </w:r>
          </w:p>
        </w:tc>
        <w:tc>
          <w:tcPr>
            <w:tcW w:w="616" w:type="dxa"/>
            <w:tcBorders>
              <w:top w:val="nil"/>
              <w:bottom w:val="nil"/>
              <w:right w:val="single" w:sz="4" w:space="0" w:color="auto"/>
            </w:tcBorders>
            <w:noWrap/>
            <w:vAlign w:val="center"/>
            <w:hideMark/>
          </w:tcPr>
          <w:p w14:paraId="63A0ADF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0.59</w:t>
            </w:r>
          </w:p>
        </w:tc>
        <w:tc>
          <w:tcPr>
            <w:tcW w:w="766" w:type="dxa"/>
            <w:tcBorders>
              <w:top w:val="nil"/>
              <w:left w:val="single" w:sz="4" w:space="0" w:color="auto"/>
              <w:bottom w:val="nil"/>
            </w:tcBorders>
            <w:noWrap/>
            <w:vAlign w:val="center"/>
            <w:hideMark/>
          </w:tcPr>
          <w:p w14:paraId="263F21D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0.84</w:t>
            </w:r>
          </w:p>
        </w:tc>
        <w:tc>
          <w:tcPr>
            <w:tcW w:w="616" w:type="dxa"/>
            <w:tcBorders>
              <w:top w:val="nil"/>
              <w:bottom w:val="nil"/>
              <w:right w:val="single" w:sz="4" w:space="0" w:color="auto"/>
            </w:tcBorders>
            <w:noWrap/>
            <w:vAlign w:val="center"/>
            <w:hideMark/>
          </w:tcPr>
          <w:p w14:paraId="5F03178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0.40</w:t>
            </w:r>
          </w:p>
        </w:tc>
        <w:tc>
          <w:tcPr>
            <w:tcW w:w="616" w:type="dxa"/>
            <w:tcBorders>
              <w:left w:val="single" w:sz="4" w:space="0" w:color="auto"/>
            </w:tcBorders>
            <w:noWrap/>
            <w:vAlign w:val="center"/>
            <w:hideMark/>
          </w:tcPr>
          <w:p w14:paraId="14AA02F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76" w:type="dxa"/>
            <w:noWrap/>
            <w:vAlign w:val="center"/>
            <w:hideMark/>
          </w:tcPr>
          <w:p w14:paraId="593F7ED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r>
      <w:tr w:rsidR="001F4DDE" w:rsidRPr="00C85BEF" w14:paraId="4E30003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78C07430" w14:textId="77777777" w:rsidR="001F4DDE" w:rsidRPr="00C85BEF" w:rsidRDefault="001F4DDE" w:rsidP="001F4DDE">
            <w:pPr>
              <w:jc w:val="center"/>
              <w:rPr>
                <w:bCs/>
                <w:color w:val="000000"/>
                <w:sz w:val="16"/>
                <w:szCs w:val="16"/>
              </w:rPr>
            </w:pPr>
            <w:r w:rsidRPr="00C85BEF">
              <w:rPr>
                <w:bCs/>
                <w:color w:val="000000"/>
                <w:sz w:val="16"/>
                <w:szCs w:val="16"/>
              </w:rPr>
              <w:t>Canada</w:t>
            </w:r>
          </w:p>
        </w:tc>
        <w:tc>
          <w:tcPr>
            <w:tcW w:w="1016" w:type="dxa"/>
            <w:tcBorders>
              <w:top w:val="nil"/>
              <w:bottom w:val="nil"/>
            </w:tcBorders>
            <w:noWrap/>
            <w:vAlign w:val="center"/>
            <w:hideMark/>
          </w:tcPr>
          <w:p w14:paraId="0A3659D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0.16</w:t>
            </w:r>
          </w:p>
        </w:tc>
        <w:tc>
          <w:tcPr>
            <w:tcW w:w="616" w:type="dxa"/>
            <w:tcBorders>
              <w:top w:val="nil"/>
              <w:bottom w:val="nil"/>
              <w:right w:val="single" w:sz="4" w:space="0" w:color="auto"/>
            </w:tcBorders>
            <w:noWrap/>
            <w:vAlign w:val="center"/>
            <w:hideMark/>
          </w:tcPr>
          <w:p w14:paraId="62213F1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0.85</w:t>
            </w:r>
          </w:p>
        </w:tc>
        <w:tc>
          <w:tcPr>
            <w:tcW w:w="766" w:type="dxa"/>
            <w:tcBorders>
              <w:top w:val="nil"/>
              <w:left w:val="single" w:sz="4" w:space="0" w:color="auto"/>
              <w:bottom w:val="nil"/>
            </w:tcBorders>
            <w:noWrap/>
            <w:vAlign w:val="center"/>
            <w:hideMark/>
          </w:tcPr>
          <w:p w14:paraId="307DE86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4" w:space="0" w:color="auto"/>
            </w:tcBorders>
            <w:noWrap/>
            <w:vAlign w:val="center"/>
            <w:hideMark/>
          </w:tcPr>
          <w:p w14:paraId="6948FD0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766" w:type="dxa"/>
            <w:tcBorders>
              <w:top w:val="nil"/>
              <w:left w:val="single" w:sz="4" w:space="0" w:color="auto"/>
              <w:bottom w:val="nil"/>
            </w:tcBorders>
            <w:noWrap/>
            <w:vAlign w:val="center"/>
            <w:hideMark/>
          </w:tcPr>
          <w:p w14:paraId="3020A27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18" w:space="0" w:color="000000"/>
            </w:tcBorders>
            <w:noWrap/>
            <w:vAlign w:val="center"/>
            <w:hideMark/>
          </w:tcPr>
          <w:p w14:paraId="6F0527F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left w:val="single" w:sz="18" w:space="0" w:color="000000"/>
            </w:tcBorders>
            <w:noWrap/>
            <w:vAlign w:val="center"/>
            <w:hideMark/>
          </w:tcPr>
          <w:p w14:paraId="33DAF0D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36" w:type="dxa"/>
            <w:tcBorders>
              <w:right w:val="single" w:sz="4" w:space="0" w:color="auto"/>
            </w:tcBorders>
            <w:noWrap/>
            <w:vAlign w:val="center"/>
            <w:hideMark/>
          </w:tcPr>
          <w:p w14:paraId="715563D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top w:val="nil"/>
              <w:left w:val="single" w:sz="4" w:space="0" w:color="auto"/>
              <w:bottom w:val="nil"/>
            </w:tcBorders>
            <w:noWrap/>
            <w:vAlign w:val="center"/>
            <w:hideMark/>
          </w:tcPr>
          <w:p w14:paraId="73E4B1E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16" w:type="dxa"/>
            <w:tcBorders>
              <w:top w:val="nil"/>
              <w:bottom w:val="nil"/>
              <w:right w:val="single" w:sz="4" w:space="0" w:color="auto"/>
            </w:tcBorders>
            <w:noWrap/>
            <w:vAlign w:val="center"/>
            <w:hideMark/>
          </w:tcPr>
          <w:p w14:paraId="2789FA1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left w:val="single" w:sz="4" w:space="0" w:color="auto"/>
            </w:tcBorders>
            <w:noWrap/>
            <w:vAlign w:val="center"/>
            <w:hideMark/>
          </w:tcPr>
          <w:p w14:paraId="734CBC2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1.57</w:t>
            </w:r>
          </w:p>
        </w:tc>
        <w:tc>
          <w:tcPr>
            <w:tcW w:w="616" w:type="dxa"/>
            <w:tcBorders>
              <w:right w:val="single" w:sz="18" w:space="0" w:color="000000"/>
            </w:tcBorders>
            <w:noWrap/>
            <w:vAlign w:val="center"/>
            <w:hideMark/>
          </w:tcPr>
          <w:p w14:paraId="61DAA53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0.23</w:t>
            </w:r>
          </w:p>
        </w:tc>
        <w:tc>
          <w:tcPr>
            <w:tcW w:w="766" w:type="dxa"/>
            <w:tcBorders>
              <w:top w:val="nil"/>
              <w:left w:val="single" w:sz="18" w:space="0" w:color="000000"/>
              <w:bottom w:val="nil"/>
            </w:tcBorders>
            <w:noWrap/>
            <w:vAlign w:val="center"/>
            <w:hideMark/>
          </w:tcPr>
          <w:p w14:paraId="1C011DC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0.59</w:t>
            </w:r>
          </w:p>
        </w:tc>
        <w:tc>
          <w:tcPr>
            <w:tcW w:w="616" w:type="dxa"/>
            <w:tcBorders>
              <w:top w:val="nil"/>
              <w:bottom w:val="nil"/>
              <w:right w:val="single" w:sz="4" w:space="0" w:color="auto"/>
            </w:tcBorders>
            <w:noWrap/>
            <w:vAlign w:val="center"/>
            <w:hideMark/>
          </w:tcPr>
          <w:p w14:paraId="71E10DB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0.57</w:t>
            </w:r>
          </w:p>
        </w:tc>
        <w:tc>
          <w:tcPr>
            <w:tcW w:w="766" w:type="dxa"/>
            <w:tcBorders>
              <w:top w:val="nil"/>
              <w:left w:val="single" w:sz="4" w:space="0" w:color="auto"/>
              <w:bottom w:val="nil"/>
            </w:tcBorders>
            <w:noWrap/>
            <w:vAlign w:val="center"/>
            <w:hideMark/>
          </w:tcPr>
          <w:p w14:paraId="61D9552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1.31</w:t>
            </w:r>
          </w:p>
        </w:tc>
        <w:tc>
          <w:tcPr>
            <w:tcW w:w="616" w:type="dxa"/>
            <w:tcBorders>
              <w:top w:val="nil"/>
              <w:bottom w:val="nil"/>
              <w:right w:val="single" w:sz="4" w:space="0" w:color="auto"/>
            </w:tcBorders>
            <w:noWrap/>
            <w:vAlign w:val="center"/>
            <w:hideMark/>
          </w:tcPr>
          <w:p w14:paraId="69A4308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0.27</w:t>
            </w:r>
          </w:p>
        </w:tc>
        <w:tc>
          <w:tcPr>
            <w:tcW w:w="616" w:type="dxa"/>
            <w:tcBorders>
              <w:left w:val="single" w:sz="4" w:space="0" w:color="auto"/>
            </w:tcBorders>
            <w:noWrap/>
            <w:vAlign w:val="center"/>
            <w:hideMark/>
          </w:tcPr>
          <w:p w14:paraId="5AE76F5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0.37</w:t>
            </w:r>
          </w:p>
        </w:tc>
        <w:tc>
          <w:tcPr>
            <w:tcW w:w="676" w:type="dxa"/>
            <w:noWrap/>
            <w:vAlign w:val="center"/>
            <w:hideMark/>
          </w:tcPr>
          <w:p w14:paraId="7BA6EF1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0.69</w:t>
            </w:r>
          </w:p>
        </w:tc>
      </w:tr>
      <w:tr w:rsidR="001F4DDE" w:rsidRPr="00C85BEF" w14:paraId="0E99F7F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2284AE9F" w14:textId="77777777" w:rsidR="001F4DDE" w:rsidRPr="00C85BEF" w:rsidRDefault="001F4DDE" w:rsidP="001F4DDE">
            <w:pPr>
              <w:jc w:val="center"/>
              <w:rPr>
                <w:bCs/>
                <w:color w:val="000000"/>
                <w:sz w:val="16"/>
                <w:szCs w:val="16"/>
              </w:rPr>
            </w:pPr>
            <w:r w:rsidRPr="00C85BEF">
              <w:rPr>
                <w:bCs/>
                <w:color w:val="000000"/>
                <w:sz w:val="16"/>
                <w:szCs w:val="16"/>
              </w:rPr>
              <w:t>Denmark</w:t>
            </w:r>
          </w:p>
        </w:tc>
        <w:tc>
          <w:tcPr>
            <w:tcW w:w="1016" w:type="dxa"/>
            <w:tcBorders>
              <w:top w:val="nil"/>
              <w:bottom w:val="nil"/>
            </w:tcBorders>
            <w:noWrap/>
            <w:vAlign w:val="center"/>
            <w:hideMark/>
          </w:tcPr>
          <w:p w14:paraId="572BDA8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0.19</w:t>
            </w:r>
          </w:p>
        </w:tc>
        <w:tc>
          <w:tcPr>
            <w:tcW w:w="616" w:type="dxa"/>
            <w:tcBorders>
              <w:top w:val="nil"/>
              <w:bottom w:val="nil"/>
              <w:right w:val="single" w:sz="4" w:space="0" w:color="auto"/>
            </w:tcBorders>
            <w:noWrap/>
            <w:vAlign w:val="center"/>
            <w:hideMark/>
          </w:tcPr>
          <w:p w14:paraId="486B8C4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0.83</w:t>
            </w:r>
          </w:p>
        </w:tc>
        <w:tc>
          <w:tcPr>
            <w:tcW w:w="766" w:type="dxa"/>
            <w:tcBorders>
              <w:top w:val="nil"/>
              <w:left w:val="single" w:sz="4" w:space="0" w:color="auto"/>
              <w:bottom w:val="nil"/>
            </w:tcBorders>
            <w:noWrap/>
            <w:vAlign w:val="center"/>
            <w:hideMark/>
          </w:tcPr>
          <w:p w14:paraId="60F0E60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0.24</w:t>
            </w:r>
          </w:p>
        </w:tc>
        <w:tc>
          <w:tcPr>
            <w:tcW w:w="616" w:type="dxa"/>
            <w:tcBorders>
              <w:top w:val="nil"/>
              <w:bottom w:val="nil"/>
              <w:right w:val="single" w:sz="4" w:space="0" w:color="auto"/>
            </w:tcBorders>
            <w:noWrap/>
            <w:vAlign w:val="center"/>
            <w:hideMark/>
          </w:tcPr>
          <w:p w14:paraId="14B5151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0.79</w:t>
            </w:r>
          </w:p>
        </w:tc>
        <w:tc>
          <w:tcPr>
            <w:tcW w:w="766" w:type="dxa"/>
            <w:tcBorders>
              <w:top w:val="nil"/>
              <w:left w:val="single" w:sz="4" w:space="0" w:color="auto"/>
              <w:bottom w:val="nil"/>
            </w:tcBorders>
            <w:noWrap/>
            <w:vAlign w:val="center"/>
            <w:hideMark/>
          </w:tcPr>
          <w:p w14:paraId="01F649C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0.04</w:t>
            </w:r>
          </w:p>
        </w:tc>
        <w:tc>
          <w:tcPr>
            <w:tcW w:w="616" w:type="dxa"/>
            <w:tcBorders>
              <w:top w:val="nil"/>
              <w:bottom w:val="nil"/>
              <w:right w:val="single" w:sz="18" w:space="0" w:color="000000"/>
            </w:tcBorders>
            <w:noWrap/>
            <w:vAlign w:val="center"/>
            <w:hideMark/>
          </w:tcPr>
          <w:p w14:paraId="607922E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c>
          <w:tcPr>
            <w:tcW w:w="766" w:type="dxa"/>
            <w:tcBorders>
              <w:left w:val="single" w:sz="18" w:space="0" w:color="000000"/>
            </w:tcBorders>
            <w:noWrap/>
            <w:vAlign w:val="center"/>
            <w:hideMark/>
          </w:tcPr>
          <w:p w14:paraId="223C8F9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36" w:type="dxa"/>
            <w:tcBorders>
              <w:right w:val="single" w:sz="4" w:space="0" w:color="auto"/>
            </w:tcBorders>
            <w:noWrap/>
            <w:vAlign w:val="center"/>
            <w:hideMark/>
          </w:tcPr>
          <w:p w14:paraId="085DBA5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top w:val="nil"/>
              <w:left w:val="single" w:sz="4" w:space="0" w:color="auto"/>
              <w:bottom w:val="nil"/>
            </w:tcBorders>
            <w:noWrap/>
            <w:vAlign w:val="center"/>
            <w:hideMark/>
          </w:tcPr>
          <w:p w14:paraId="0EC2B30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2.97</w:t>
            </w:r>
          </w:p>
        </w:tc>
        <w:tc>
          <w:tcPr>
            <w:tcW w:w="616" w:type="dxa"/>
            <w:tcBorders>
              <w:top w:val="nil"/>
              <w:bottom w:val="nil"/>
              <w:right w:val="single" w:sz="4" w:space="0" w:color="auto"/>
            </w:tcBorders>
            <w:noWrap/>
            <w:vAlign w:val="center"/>
            <w:hideMark/>
          </w:tcPr>
          <w:p w14:paraId="5E5B3DC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766" w:type="dxa"/>
            <w:tcBorders>
              <w:left w:val="single" w:sz="4" w:space="0" w:color="auto"/>
            </w:tcBorders>
            <w:noWrap/>
            <w:vAlign w:val="center"/>
            <w:hideMark/>
          </w:tcPr>
          <w:p w14:paraId="6D5DEF8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16" w:type="dxa"/>
            <w:tcBorders>
              <w:right w:val="single" w:sz="18" w:space="0" w:color="000000"/>
            </w:tcBorders>
            <w:noWrap/>
            <w:vAlign w:val="center"/>
            <w:hideMark/>
          </w:tcPr>
          <w:p w14:paraId="47BA1D8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0.12</w:t>
            </w:r>
          </w:p>
        </w:tc>
        <w:tc>
          <w:tcPr>
            <w:tcW w:w="766" w:type="dxa"/>
            <w:tcBorders>
              <w:top w:val="nil"/>
              <w:left w:val="single" w:sz="18" w:space="0" w:color="000000"/>
              <w:bottom w:val="nil"/>
            </w:tcBorders>
            <w:noWrap/>
            <w:vAlign w:val="center"/>
            <w:hideMark/>
          </w:tcPr>
          <w:p w14:paraId="4A0A983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4" w:space="0" w:color="auto"/>
            </w:tcBorders>
            <w:noWrap/>
            <w:vAlign w:val="center"/>
            <w:hideMark/>
          </w:tcPr>
          <w:p w14:paraId="137EFC6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top w:val="nil"/>
              <w:left w:val="single" w:sz="4" w:space="0" w:color="auto"/>
              <w:bottom w:val="nil"/>
            </w:tcBorders>
            <w:noWrap/>
            <w:vAlign w:val="center"/>
            <w:hideMark/>
          </w:tcPr>
          <w:p w14:paraId="09A4F32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0.05</w:t>
            </w:r>
          </w:p>
        </w:tc>
        <w:tc>
          <w:tcPr>
            <w:tcW w:w="616" w:type="dxa"/>
            <w:tcBorders>
              <w:top w:val="nil"/>
              <w:bottom w:val="nil"/>
              <w:right w:val="single" w:sz="4" w:space="0" w:color="auto"/>
            </w:tcBorders>
            <w:noWrap/>
            <w:vAlign w:val="center"/>
            <w:hideMark/>
          </w:tcPr>
          <w:p w14:paraId="180FDCF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616" w:type="dxa"/>
            <w:tcBorders>
              <w:left w:val="single" w:sz="4" w:space="0" w:color="auto"/>
            </w:tcBorders>
            <w:noWrap/>
            <w:vAlign w:val="center"/>
            <w:hideMark/>
          </w:tcPr>
          <w:p w14:paraId="339C5DA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0.80</w:t>
            </w:r>
          </w:p>
        </w:tc>
        <w:tc>
          <w:tcPr>
            <w:tcW w:w="676" w:type="dxa"/>
            <w:noWrap/>
            <w:vAlign w:val="center"/>
            <w:hideMark/>
          </w:tcPr>
          <w:p w14:paraId="10C271F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0.43</w:t>
            </w:r>
          </w:p>
        </w:tc>
      </w:tr>
      <w:tr w:rsidR="001F4DDE" w:rsidRPr="00C85BEF" w14:paraId="2444DD90"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43CA1778" w14:textId="77777777" w:rsidR="001F4DDE" w:rsidRPr="00C85BEF" w:rsidRDefault="001F4DDE" w:rsidP="001F4DDE">
            <w:pPr>
              <w:jc w:val="center"/>
              <w:rPr>
                <w:bCs/>
                <w:color w:val="000000"/>
                <w:sz w:val="16"/>
                <w:szCs w:val="16"/>
              </w:rPr>
            </w:pPr>
            <w:r w:rsidRPr="00C85BEF">
              <w:rPr>
                <w:bCs/>
                <w:color w:val="000000"/>
                <w:sz w:val="16"/>
                <w:szCs w:val="16"/>
              </w:rPr>
              <w:t>Finland</w:t>
            </w:r>
          </w:p>
        </w:tc>
        <w:tc>
          <w:tcPr>
            <w:tcW w:w="1016" w:type="dxa"/>
            <w:tcBorders>
              <w:top w:val="nil"/>
              <w:bottom w:val="nil"/>
            </w:tcBorders>
            <w:noWrap/>
            <w:vAlign w:val="center"/>
            <w:hideMark/>
          </w:tcPr>
          <w:p w14:paraId="3AF3298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0.63</w:t>
            </w:r>
          </w:p>
        </w:tc>
        <w:tc>
          <w:tcPr>
            <w:tcW w:w="616" w:type="dxa"/>
            <w:tcBorders>
              <w:top w:val="nil"/>
              <w:bottom w:val="nil"/>
              <w:right w:val="single" w:sz="4" w:space="0" w:color="auto"/>
            </w:tcBorders>
            <w:noWrap/>
            <w:vAlign w:val="center"/>
            <w:hideMark/>
          </w:tcPr>
          <w:p w14:paraId="1D8D6FE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0.53</w:t>
            </w:r>
          </w:p>
        </w:tc>
        <w:tc>
          <w:tcPr>
            <w:tcW w:w="766" w:type="dxa"/>
            <w:tcBorders>
              <w:top w:val="nil"/>
              <w:left w:val="single" w:sz="4" w:space="0" w:color="auto"/>
              <w:bottom w:val="nil"/>
            </w:tcBorders>
            <w:noWrap/>
            <w:vAlign w:val="center"/>
            <w:hideMark/>
          </w:tcPr>
          <w:p w14:paraId="560A791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0.64</w:t>
            </w:r>
          </w:p>
        </w:tc>
        <w:tc>
          <w:tcPr>
            <w:tcW w:w="616" w:type="dxa"/>
            <w:tcBorders>
              <w:top w:val="nil"/>
              <w:bottom w:val="nil"/>
              <w:right w:val="single" w:sz="4" w:space="0" w:color="auto"/>
            </w:tcBorders>
            <w:noWrap/>
            <w:vAlign w:val="center"/>
            <w:hideMark/>
          </w:tcPr>
          <w:p w14:paraId="6AD4131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0.52</w:t>
            </w:r>
          </w:p>
        </w:tc>
        <w:tc>
          <w:tcPr>
            <w:tcW w:w="766" w:type="dxa"/>
            <w:tcBorders>
              <w:top w:val="nil"/>
              <w:left w:val="single" w:sz="4" w:space="0" w:color="auto"/>
              <w:bottom w:val="nil"/>
            </w:tcBorders>
            <w:noWrap/>
            <w:vAlign w:val="center"/>
            <w:hideMark/>
          </w:tcPr>
          <w:p w14:paraId="64EE1C5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0.14</w:t>
            </w:r>
          </w:p>
        </w:tc>
        <w:tc>
          <w:tcPr>
            <w:tcW w:w="616" w:type="dxa"/>
            <w:tcBorders>
              <w:top w:val="nil"/>
              <w:bottom w:val="nil"/>
              <w:right w:val="single" w:sz="18" w:space="0" w:color="000000"/>
            </w:tcBorders>
            <w:noWrap/>
            <w:vAlign w:val="center"/>
            <w:hideMark/>
          </w:tcPr>
          <w:p w14:paraId="1DC3447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0.86</w:t>
            </w:r>
          </w:p>
        </w:tc>
        <w:tc>
          <w:tcPr>
            <w:tcW w:w="766" w:type="dxa"/>
            <w:tcBorders>
              <w:left w:val="single" w:sz="18" w:space="0" w:color="000000"/>
            </w:tcBorders>
            <w:noWrap/>
            <w:vAlign w:val="center"/>
            <w:hideMark/>
          </w:tcPr>
          <w:p w14:paraId="6725C4B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0.17</w:t>
            </w:r>
          </w:p>
        </w:tc>
        <w:tc>
          <w:tcPr>
            <w:tcW w:w="636" w:type="dxa"/>
            <w:tcBorders>
              <w:right w:val="single" w:sz="4" w:space="0" w:color="auto"/>
            </w:tcBorders>
            <w:noWrap/>
            <w:vAlign w:val="center"/>
            <w:hideMark/>
          </w:tcPr>
          <w:p w14:paraId="2EF9AC7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0.85</w:t>
            </w:r>
          </w:p>
        </w:tc>
        <w:tc>
          <w:tcPr>
            <w:tcW w:w="766" w:type="dxa"/>
            <w:tcBorders>
              <w:top w:val="nil"/>
              <w:left w:val="single" w:sz="4" w:space="0" w:color="auto"/>
              <w:bottom w:val="nil"/>
            </w:tcBorders>
            <w:noWrap/>
            <w:vAlign w:val="center"/>
            <w:hideMark/>
          </w:tcPr>
          <w:p w14:paraId="3B5A9D0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0.17</w:t>
            </w:r>
          </w:p>
        </w:tc>
        <w:tc>
          <w:tcPr>
            <w:tcW w:w="616" w:type="dxa"/>
            <w:tcBorders>
              <w:top w:val="nil"/>
              <w:bottom w:val="nil"/>
              <w:right w:val="single" w:sz="4" w:space="0" w:color="auto"/>
            </w:tcBorders>
            <w:noWrap/>
            <w:vAlign w:val="center"/>
            <w:hideMark/>
          </w:tcPr>
          <w:p w14:paraId="1E473E8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0.85</w:t>
            </w:r>
          </w:p>
        </w:tc>
        <w:tc>
          <w:tcPr>
            <w:tcW w:w="766" w:type="dxa"/>
            <w:tcBorders>
              <w:left w:val="single" w:sz="4" w:space="0" w:color="auto"/>
            </w:tcBorders>
            <w:noWrap/>
            <w:vAlign w:val="center"/>
            <w:hideMark/>
          </w:tcPr>
          <w:p w14:paraId="2E35CBB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0.75</w:t>
            </w:r>
          </w:p>
        </w:tc>
        <w:tc>
          <w:tcPr>
            <w:tcW w:w="616" w:type="dxa"/>
            <w:tcBorders>
              <w:right w:val="single" w:sz="18" w:space="0" w:color="000000"/>
            </w:tcBorders>
            <w:noWrap/>
            <w:vAlign w:val="center"/>
            <w:hideMark/>
          </w:tcPr>
          <w:p w14:paraId="60D4A75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0.49</w:t>
            </w:r>
          </w:p>
        </w:tc>
        <w:tc>
          <w:tcPr>
            <w:tcW w:w="766" w:type="dxa"/>
            <w:tcBorders>
              <w:top w:val="nil"/>
              <w:left w:val="single" w:sz="18" w:space="0" w:color="000000"/>
              <w:bottom w:val="nil"/>
            </w:tcBorders>
            <w:noWrap/>
            <w:vAlign w:val="center"/>
            <w:hideMark/>
          </w:tcPr>
          <w:p w14:paraId="59254EA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0.53</w:t>
            </w:r>
          </w:p>
        </w:tc>
        <w:tc>
          <w:tcPr>
            <w:tcW w:w="616" w:type="dxa"/>
            <w:tcBorders>
              <w:top w:val="nil"/>
              <w:bottom w:val="nil"/>
              <w:right w:val="single" w:sz="4" w:space="0" w:color="auto"/>
            </w:tcBorders>
            <w:noWrap/>
            <w:vAlign w:val="center"/>
            <w:hideMark/>
          </w:tcPr>
          <w:p w14:paraId="0746915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0.38</w:t>
            </w:r>
          </w:p>
        </w:tc>
        <w:tc>
          <w:tcPr>
            <w:tcW w:w="766" w:type="dxa"/>
            <w:tcBorders>
              <w:top w:val="nil"/>
              <w:left w:val="single" w:sz="4" w:space="0" w:color="auto"/>
              <w:bottom w:val="nil"/>
            </w:tcBorders>
            <w:noWrap/>
            <w:vAlign w:val="center"/>
            <w:hideMark/>
          </w:tcPr>
          <w:p w14:paraId="394387E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0.42</w:t>
            </w:r>
          </w:p>
        </w:tc>
        <w:tc>
          <w:tcPr>
            <w:tcW w:w="616" w:type="dxa"/>
            <w:tcBorders>
              <w:top w:val="nil"/>
              <w:bottom w:val="nil"/>
              <w:right w:val="single" w:sz="4" w:space="0" w:color="auto"/>
            </w:tcBorders>
            <w:noWrap/>
            <w:vAlign w:val="center"/>
            <w:hideMark/>
          </w:tcPr>
          <w:p w14:paraId="6EC2ABE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0.64</w:t>
            </w:r>
          </w:p>
        </w:tc>
        <w:tc>
          <w:tcPr>
            <w:tcW w:w="616" w:type="dxa"/>
            <w:tcBorders>
              <w:left w:val="single" w:sz="4" w:space="0" w:color="auto"/>
            </w:tcBorders>
            <w:noWrap/>
            <w:vAlign w:val="center"/>
            <w:hideMark/>
          </w:tcPr>
          <w:p w14:paraId="3D4A5D3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0.29</w:t>
            </w:r>
          </w:p>
        </w:tc>
        <w:tc>
          <w:tcPr>
            <w:tcW w:w="676" w:type="dxa"/>
            <w:noWrap/>
            <w:vAlign w:val="center"/>
            <w:hideMark/>
          </w:tcPr>
          <w:p w14:paraId="68E7EB9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0.73</w:t>
            </w:r>
          </w:p>
        </w:tc>
      </w:tr>
      <w:tr w:rsidR="001F4DDE" w:rsidRPr="00C85BEF" w14:paraId="6584F1E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00F4A686" w14:textId="77777777" w:rsidR="001F4DDE" w:rsidRPr="00C85BEF" w:rsidRDefault="001F4DDE" w:rsidP="001F4DDE">
            <w:pPr>
              <w:jc w:val="center"/>
              <w:rPr>
                <w:bCs/>
                <w:color w:val="000000"/>
                <w:sz w:val="16"/>
                <w:szCs w:val="16"/>
              </w:rPr>
            </w:pPr>
            <w:r w:rsidRPr="00C85BEF">
              <w:rPr>
                <w:bCs/>
                <w:color w:val="000000"/>
                <w:sz w:val="16"/>
                <w:szCs w:val="16"/>
              </w:rPr>
              <w:t>France</w:t>
            </w:r>
          </w:p>
        </w:tc>
        <w:tc>
          <w:tcPr>
            <w:tcW w:w="1016" w:type="dxa"/>
            <w:tcBorders>
              <w:top w:val="nil"/>
              <w:bottom w:val="nil"/>
            </w:tcBorders>
            <w:noWrap/>
            <w:vAlign w:val="center"/>
            <w:hideMark/>
          </w:tcPr>
          <w:p w14:paraId="44A5018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0.06</w:t>
            </w:r>
          </w:p>
        </w:tc>
        <w:tc>
          <w:tcPr>
            <w:tcW w:w="616" w:type="dxa"/>
            <w:tcBorders>
              <w:top w:val="nil"/>
              <w:bottom w:val="nil"/>
              <w:right w:val="single" w:sz="4" w:space="0" w:color="auto"/>
            </w:tcBorders>
            <w:noWrap/>
            <w:vAlign w:val="center"/>
            <w:hideMark/>
          </w:tcPr>
          <w:p w14:paraId="093951C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c>
          <w:tcPr>
            <w:tcW w:w="766" w:type="dxa"/>
            <w:tcBorders>
              <w:top w:val="nil"/>
              <w:left w:val="single" w:sz="4" w:space="0" w:color="auto"/>
              <w:bottom w:val="nil"/>
            </w:tcBorders>
            <w:noWrap/>
            <w:vAlign w:val="center"/>
            <w:hideMark/>
          </w:tcPr>
          <w:p w14:paraId="7702C5C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616" w:type="dxa"/>
            <w:tcBorders>
              <w:top w:val="nil"/>
              <w:bottom w:val="nil"/>
              <w:right w:val="single" w:sz="4" w:space="0" w:color="auto"/>
            </w:tcBorders>
            <w:noWrap/>
            <w:vAlign w:val="center"/>
            <w:hideMark/>
          </w:tcPr>
          <w:p w14:paraId="406B8ED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top w:val="nil"/>
              <w:left w:val="single" w:sz="4" w:space="0" w:color="auto"/>
              <w:bottom w:val="nil"/>
            </w:tcBorders>
            <w:noWrap/>
            <w:vAlign w:val="center"/>
            <w:hideMark/>
          </w:tcPr>
          <w:p w14:paraId="79536C4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616" w:type="dxa"/>
            <w:tcBorders>
              <w:top w:val="nil"/>
              <w:bottom w:val="nil"/>
              <w:right w:val="single" w:sz="18" w:space="0" w:color="000000"/>
            </w:tcBorders>
            <w:noWrap/>
            <w:vAlign w:val="center"/>
            <w:hideMark/>
          </w:tcPr>
          <w:p w14:paraId="106EA78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0.89</w:t>
            </w:r>
          </w:p>
        </w:tc>
        <w:tc>
          <w:tcPr>
            <w:tcW w:w="766" w:type="dxa"/>
            <w:tcBorders>
              <w:left w:val="single" w:sz="18" w:space="0" w:color="000000"/>
            </w:tcBorders>
            <w:noWrap/>
            <w:vAlign w:val="center"/>
            <w:hideMark/>
          </w:tcPr>
          <w:p w14:paraId="001DD31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1.04</w:t>
            </w:r>
          </w:p>
        </w:tc>
        <w:tc>
          <w:tcPr>
            <w:tcW w:w="636" w:type="dxa"/>
            <w:tcBorders>
              <w:right w:val="single" w:sz="4" w:space="0" w:color="auto"/>
            </w:tcBorders>
            <w:noWrap/>
            <w:vAlign w:val="center"/>
            <w:hideMark/>
          </w:tcPr>
          <w:p w14:paraId="1336F1A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0.35</w:t>
            </w:r>
          </w:p>
        </w:tc>
        <w:tc>
          <w:tcPr>
            <w:tcW w:w="766" w:type="dxa"/>
            <w:tcBorders>
              <w:top w:val="nil"/>
              <w:left w:val="single" w:sz="4" w:space="0" w:color="auto"/>
              <w:bottom w:val="nil"/>
            </w:tcBorders>
            <w:noWrap/>
            <w:vAlign w:val="center"/>
            <w:hideMark/>
          </w:tcPr>
          <w:p w14:paraId="3DE1F35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2.05</w:t>
            </w:r>
          </w:p>
        </w:tc>
        <w:tc>
          <w:tcPr>
            <w:tcW w:w="616" w:type="dxa"/>
            <w:tcBorders>
              <w:top w:val="nil"/>
              <w:bottom w:val="nil"/>
              <w:right w:val="single" w:sz="4" w:space="0" w:color="auto"/>
            </w:tcBorders>
            <w:noWrap/>
            <w:vAlign w:val="center"/>
            <w:hideMark/>
          </w:tcPr>
          <w:p w14:paraId="2040CD4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0.17</w:t>
            </w:r>
          </w:p>
        </w:tc>
        <w:tc>
          <w:tcPr>
            <w:tcW w:w="766" w:type="dxa"/>
            <w:tcBorders>
              <w:left w:val="single" w:sz="4" w:space="0" w:color="auto"/>
            </w:tcBorders>
            <w:noWrap/>
            <w:vAlign w:val="center"/>
            <w:hideMark/>
          </w:tcPr>
          <w:p w14:paraId="711071E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0.74</w:t>
            </w:r>
          </w:p>
        </w:tc>
        <w:tc>
          <w:tcPr>
            <w:tcW w:w="616" w:type="dxa"/>
            <w:tcBorders>
              <w:right w:val="single" w:sz="18" w:space="0" w:color="000000"/>
            </w:tcBorders>
            <w:noWrap/>
            <w:vAlign w:val="center"/>
            <w:hideMark/>
          </w:tcPr>
          <w:p w14:paraId="1EEE01C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0.50</w:t>
            </w:r>
          </w:p>
        </w:tc>
        <w:tc>
          <w:tcPr>
            <w:tcW w:w="766" w:type="dxa"/>
            <w:tcBorders>
              <w:top w:val="nil"/>
              <w:left w:val="single" w:sz="18" w:space="0" w:color="000000"/>
              <w:bottom w:val="nil"/>
            </w:tcBorders>
            <w:noWrap/>
            <w:vAlign w:val="center"/>
            <w:hideMark/>
          </w:tcPr>
          <w:p w14:paraId="2BC73A4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616" w:type="dxa"/>
            <w:tcBorders>
              <w:top w:val="nil"/>
              <w:bottom w:val="nil"/>
              <w:right w:val="single" w:sz="4" w:space="0" w:color="auto"/>
            </w:tcBorders>
            <w:noWrap/>
            <w:vAlign w:val="center"/>
            <w:hideMark/>
          </w:tcPr>
          <w:p w14:paraId="1513DA3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c>
          <w:tcPr>
            <w:tcW w:w="766" w:type="dxa"/>
            <w:tcBorders>
              <w:top w:val="nil"/>
              <w:left w:val="single" w:sz="4" w:space="0" w:color="auto"/>
              <w:bottom w:val="nil"/>
            </w:tcBorders>
            <w:noWrap/>
            <w:vAlign w:val="center"/>
            <w:hideMark/>
          </w:tcPr>
          <w:p w14:paraId="35A62AD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0.10</w:t>
            </w:r>
          </w:p>
        </w:tc>
        <w:tc>
          <w:tcPr>
            <w:tcW w:w="616" w:type="dxa"/>
            <w:tcBorders>
              <w:top w:val="nil"/>
              <w:bottom w:val="nil"/>
              <w:right w:val="single" w:sz="4" w:space="0" w:color="auto"/>
            </w:tcBorders>
            <w:noWrap/>
            <w:vAlign w:val="center"/>
            <w:hideMark/>
          </w:tcPr>
          <w:p w14:paraId="42C67E4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616" w:type="dxa"/>
            <w:tcBorders>
              <w:left w:val="single" w:sz="4" w:space="0" w:color="auto"/>
            </w:tcBorders>
            <w:noWrap/>
            <w:vAlign w:val="center"/>
            <w:hideMark/>
          </w:tcPr>
          <w:p w14:paraId="53E7538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0.17</w:t>
            </w:r>
          </w:p>
        </w:tc>
        <w:tc>
          <w:tcPr>
            <w:tcW w:w="676" w:type="dxa"/>
            <w:noWrap/>
            <w:vAlign w:val="center"/>
            <w:hideMark/>
          </w:tcPr>
          <w:p w14:paraId="6C7BD41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0.84</w:t>
            </w:r>
          </w:p>
        </w:tc>
      </w:tr>
      <w:tr w:rsidR="001F4DDE" w:rsidRPr="00C85BEF" w14:paraId="23DD0C0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384088D4" w14:textId="77777777" w:rsidR="001F4DDE" w:rsidRPr="00C85BEF" w:rsidRDefault="001F4DDE" w:rsidP="001F4DDE">
            <w:pPr>
              <w:jc w:val="center"/>
              <w:rPr>
                <w:bCs/>
                <w:color w:val="000000"/>
                <w:sz w:val="16"/>
                <w:szCs w:val="16"/>
              </w:rPr>
            </w:pPr>
            <w:r w:rsidRPr="00C85BEF">
              <w:rPr>
                <w:bCs/>
                <w:color w:val="000000"/>
                <w:sz w:val="16"/>
                <w:szCs w:val="16"/>
              </w:rPr>
              <w:t>Germany</w:t>
            </w:r>
          </w:p>
        </w:tc>
        <w:tc>
          <w:tcPr>
            <w:tcW w:w="1016" w:type="dxa"/>
            <w:tcBorders>
              <w:top w:val="nil"/>
              <w:bottom w:val="nil"/>
            </w:tcBorders>
            <w:noWrap/>
            <w:vAlign w:val="center"/>
            <w:hideMark/>
          </w:tcPr>
          <w:p w14:paraId="1ECDEE0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0.04</w:t>
            </w:r>
          </w:p>
        </w:tc>
        <w:tc>
          <w:tcPr>
            <w:tcW w:w="616" w:type="dxa"/>
            <w:tcBorders>
              <w:top w:val="nil"/>
              <w:bottom w:val="nil"/>
              <w:right w:val="single" w:sz="4" w:space="0" w:color="auto"/>
            </w:tcBorders>
            <w:noWrap/>
            <w:vAlign w:val="center"/>
            <w:hideMark/>
          </w:tcPr>
          <w:p w14:paraId="5D325C0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c>
          <w:tcPr>
            <w:tcW w:w="766" w:type="dxa"/>
            <w:tcBorders>
              <w:top w:val="nil"/>
              <w:left w:val="single" w:sz="4" w:space="0" w:color="auto"/>
              <w:bottom w:val="nil"/>
            </w:tcBorders>
            <w:noWrap/>
            <w:vAlign w:val="center"/>
            <w:hideMark/>
          </w:tcPr>
          <w:p w14:paraId="7001B40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0.09</w:t>
            </w:r>
          </w:p>
        </w:tc>
        <w:tc>
          <w:tcPr>
            <w:tcW w:w="616" w:type="dxa"/>
            <w:tcBorders>
              <w:top w:val="nil"/>
              <w:bottom w:val="nil"/>
              <w:right w:val="single" w:sz="4" w:space="0" w:color="auto"/>
            </w:tcBorders>
            <w:noWrap/>
            <w:vAlign w:val="center"/>
            <w:hideMark/>
          </w:tcPr>
          <w:p w14:paraId="0C63C2C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0.91</w:t>
            </w:r>
          </w:p>
        </w:tc>
        <w:tc>
          <w:tcPr>
            <w:tcW w:w="766" w:type="dxa"/>
            <w:tcBorders>
              <w:top w:val="nil"/>
              <w:left w:val="single" w:sz="4" w:space="0" w:color="auto"/>
              <w:bottom w:val="nil"/>
            </w:tcBorders>
            <w:noWrap/>
            <w:vAlign w:val="center"/>
            <w:hideMark/>
          </w:tcPr>
          <w:p w14:paraId="6A338D6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616" w:type="dxa"/>
            <w:tcBorders>
              <w:top w:val="nil"/>
              <w:bottom w:val="nil"/>
              <w:right w:val="single" w:sz="18" w:space="0" w:color="000000"/>
            </w:tcBorders>
            <w:noWrap/>
            <w:vAlign w:val="center"/>
            <w:hideMark/>
          </w:tcPr>
          <w:p w14:paraId="56C57F9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left w:val="single" w:sz="18" w:space="0" w:color="000000"/>
            </w:tcBorders>
            <w:noWrap/>
            <w:vAlign w:val="center"/>
            <w:hideMark/>
          </w:tcPr>
          <w:p w14:paraId="71BC9A6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2.27</w:t>
            </w:r>
          </w:p>
        </w:tc>
        <w:tc>
          <w:tcPr>
            <w:tcW w:w="636" w:type="dxa"/>
            <w:tcBorders>
              <w:right w:val="single" w:sz="4" w:space="0" w:color="auto"/>
            </w:tcBorders>
            <w:noWrap/>
            <w:vAlign w:val="center"/>
            <w:hideMark/>
          </w:tcPr>
          <w:p w14:paraId="6B7C0D0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766" w:type="dxa"/>
            <w:tcBorders>
              <w:top w:val="nil"/>
              <w:left w:val="single" w:sz="4" w:space="0" w:color="auto"/>
              <w:bottom w:val="nil"/>
            </w:tcBorders>
            <w:noWrap/>
            <w:vAlign w:val="center"/>
            <w:hideMark/>
          </w:tcPr>
          <w:p w14:paraId="110C949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0.87</w:t>
            </w:r>
          </w:p>
        </w:tc>
        <w:tc>
          <w:tcPr>
            <w:tcW w:w="616" w:type="dxa"/>
            <w:tcBorders>
              <w:top w:val="nil"/>
              <w:bottom w:val="nil"/>
              <w:right w:val="single" w:sz="4" w:space="0" w:color="auto"/>
            </w:tcBorders>
            <w:noWrap/>
            <w:vAlign w:val="center"/>
            <w:hideMark/>
          </w:tcPr>
          <w:p w14:paraId="2AAD56F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766" w:type="dxa"/>
            <w:tcBorders>
              <w:left w:val="single" w:sz="4" w:space="0" w:color="auto"/>
            </w:tcBorders>
            <w:noWrap/>
            <w:vAlign w:val="center"/>
            <w:hideMark/>
          </w:tcPr>
          <w:p w14:paraId="56EE5A6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0.36</w:t>
            </w:r>
          </w:p>
        </w:tc>
        <w:tc>
          <w:tcPr>
            <w:tcW w:w="616" w:type="dxa"/>
            <w:tcBorders>
              <w:right w:val="single" w:sz="18" w:space="0" w:color="000000"/>
            </w:tcBorders>
            <w:noWrap/>
            <w:vAlign w:val="center"/>
            <w:hideMark/>
          </w:tcPr>
          <w:p w14:paraId="1110353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0.69</w:t>
            </w:r>
          </w:p>
        </w:tc>
        <w:tc>
          <w:tcPr>
            <w:tcW w:w="766" w:type="dxa"/>
            <w:tcBorders>
              <w:top w:val="nil"/>
              <w:left w:val="single" w:sz="18" w:space="0" w:color="000000"/>
              <w:bottom w:val="nil"/>
            </w:tcBorders>
            <w:noWrap/>
            <w:vAlign w:val="center"/>
            <w:hideMark/>
          </w:tcPr>
          <w:p w14:paraId="35D606C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0.17</w:t>
            </w:r>
          </w:p>
        </w:tc>
        <w:tc>
          <w:tcPr>
            <w:tcW w:w="616" w:type="dxa"/>
            <w:tcBorders>
              <w:top w:val="nil"/>
              <w:bottom w:val="nil"/>
              <w:right w:val="single" w:sz="4" w:space="0" w:color="auto"/>
            </w:tcBorders>
            <w:noWrap/>
            <w:vAlign w:val="center"/>
            <w:hideMark/>
          </w:tcPr>
          <w:p w14:paraId="6ECEAF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0.85</w:t>
            </w:r>
          </w:p>
        </w:tc>
        <w:tc>
          <w:tcPr>
            <w:tcW w:w="766" w:type="dxa"/>
            <w:tcBorders>
              <w:top w:val="nil"/>
              <w:left w:val="single" w:sz="4" w:space="0" w:color="auto"/>
              <w:bottom w:val="nil"/>
            </w:tcBorders>
            <w:noWrap/>
            <w:vAlign w:val="center"/>
            <w:hideMark/>
          </w:tcPr>
          <w:p w14:paraId="0A32657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0.17</w:t>
            </w:r>
          </w:p>
        </w:tc>
        <w:tc>
          <w:tcPr>
            <w:tcW w:w="616" w:type="dxa"/>
            <w:tcBorders>
              <w:top w:val="nil"/>
              <w:bottom w:val="nil"/>
              <w:right w:val="single" w:sz="4" w:space="0" w:color="auto"/>
            </w:tcBorders>
            <w:noWrap/>
            <w:vAlign w:val="center"/>
            <w:hideMark/>
          </w:tcPr>
          <w:p w14:paraId="4A6BF9D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0.84</w:t>
            </w:r>
          </w:p>
        </w:tc>
        <w:tc>
          <w:tcPr>
            <w:tcW w:w="616" w:type="dxa"/>
            <w:tcBorders>
              <w:left w:val="single" w:sz="4" w:space="0" w:color="auto"/>
            </w:tcBorders>
            <w:noWrap/>
            <w:vAlign w:val="center"/>
            <w:hideMark/>
          </w:tcPr>
          <w:p w14:paraId="2B5BDAD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76" w:type="dxa"/>
            <w:noWrap/>
            <w:vAlign w:val="center"/>
            <w:hideMark/>
          </w:tcPr>
          <w:p w14:paraId="7DE70CA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r>
      <w:tr w:rsidR="001F4DDE" w:rsidRPr="00C85BEF" w14:paraId="108A254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72234C92" w14:textId="77777777" w:rsidR="001F4DDE" w:rsidRPr="00C85BEF" w:rsidRDefault="001F4DDE" w:rsidP="001F4DDE">
            <w:pPr>
              <w:jc w:val="center"/>
              <w:rPr>
                <w:bCs/>
                <w:color w:val="000000"/>
                <w:sz w:val="16"/>
                <w:szCs w:val="16"/>
              </w:rPr>
            </w:pPr>
            <w:r w:rsidRPr="00C85BEF">
              <w:rPr>
                <w:bCs/>
                <w:color w:val="000000"/>
                <w:sz w:val="16"/>
                <w:szCs w:val="16"/>
              </w:rPr>
              <w:t>Hong Kong</w:t>
            </w:r>
          </w:p>
        </w:tc>
        <w:tc>
          <w:tcPr>
            <w:tcW w:w="1016" w:type="dxa"/>
            <w:tcBorders>
              <w:top w:val="nil"/>
              <w:bottom w:val="nil"/>
            </w:tcBorders>
            <w:noWrap/>
            <w:vAlign w:val="center"/>
            <w:hideMark/>
          </w:tcPr>
          <w:p w14:paraId="4F3D69A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0.07</w:t>
            </w:r>
          </w:p>
        </w:tc>
        <w:tc>
          <w:tcPr>
            <w:tcW w:w="616" w:type="dxa"/>
            <w:tcBorders>
              <w:top w:val="nil"/>
              <w:bottom w:val="nil"/>
              <w:right w:val="single" w:sz="4" w:space="0" w:color="auto"/>
            </w:tcBorders>
            <w:noWrap/>
            <w:vAlign w:val="center"/>
            <w:hideMark/>
          </w:tcPr>
          <w:p w14:paraId="020C471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766" w:type="dxa"/>
            <w:tcBorders>
              <w:top w:val="nil"/>
              <w:left w:val="single" w:sz="4" w:space="0" w:color="auto"/>
              <w:bottom w:val="nil"/>
            </w:tcBorders>
            <w:noWrap/>
            <w:vAlign w:val="center"/>
            <w:hideMark/>
          </w:tcPr>
          <w:p w14:paraId="2C1072D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616" w:type="dxa"/>
            <w:tcBorders>
              <w:top w:val="nil"/>
              <w:bottom w:val="nil"/>
              <w:right w:val="single" w:sz="4" w:space="0" w:color="auto"/>
            </w:tcBorders>
            <w:noWrap/>
            <w:vAlign w:val="center"/>
            <w:hideMark/>
          </w:tcPr>
          <w:p w14:paraId="0E122CA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top w:val="nil"/>
              <w:left w:val="single" w:sz="4" w:space="0" w:color="auto"/>
              <w:bottom w:val="nil"/>
            </w:tcBorders>
            <w:noWrap/>
            <w:vAlign w:val="center"/>
            <w:hideMark/>
          </w:tcPr>
          <w:p w14:paraId="6A48A46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616" w:type="dxa"/>
            <w:tcBorders>
              <w:top w:val="nil"/>
              <w:bottom w:val="nil"/>
              <w:right w:val="single" w:sz="18" w:space="0" w:color="000000"/>
            </w:tcBorders>
            <w:noWrap/>
            <w:vAlign w:val="center"/>
            <w:hideMark/>
          </w:tcPr>
          <w:p w14:paraId="7FD85FD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left w:val="single" w:sz="18" w:space="0" w:color="000000"/>
            </w:tcBorders>
            <w:noWrap/>
            <w:vAlign w:val="center"/>
            <w:hideMark/>
          </w:tcPr>
          <w:p w14:paraId="2AE23D3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636" w:type="dxa"/>
            <w:tcBorders>
              <w:right w:val="single" w:sz="4" w:space="0" w:color="auto"/>
            </w:tcBorders>
            <w:noWrap/>
            <w:vAlign w:val="center"/>
            <w:hideMark/>
          </w:tcPr>
          <w:p w14:paraId="4453F73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766" w:type="dxa"/>
            <w:tcBorders>
              <w:top w:val="nil"/>
              <w:left w:val="single" w:sz="4" w:space="0" w:color="auto"/>
              <w:bottom w:val="nil"/>
            </w:tcBorders>
            <w:noWrap/>
            <w:vAlign w:val="center"/>
            <w:hideMark/>
          </w:tcPr>
          <w:p w14:paraId="643F0F2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2.01</w:t>
            </w:r>
          </w:p>
        </w:tc>
        <w:tc>
          <w:tcPr>
            <w:tcW w:w="616" w:type="dxa"/>
            <w:tcBorders>
              <w:top w:val="nil"/>
              <w:bottom w:val="nil"/>
              <w:right w:val="single" w:sz="4" w:space="0" w:color="auto"/>
            </w:tcBorders>
            <w:noWrap/>
            <w:vAlign w:val="center"/>
            <w:hideMark/>
          </w:tcPr>
          <w:p w14:paraId="623645A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0.18</w:t>
            </w:r>
          </w:p>
        </w:tc>
        <w:tc>
          <w:tcPr>
            <w:tcW w:w="766" w:type="dxa"/>
            <w:tcBorders>
              <w:left w:val="single" w:sz="4" w:space="0" w:color="auto"/>
            </w:tcBorders>
            <w:noWrap/>
            <w:vAlign w:val="center"/>
            <w:hideMark/>
          </w:tcPr>
          <w:p w14:paraId="571A1D3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1.57</w:t>
            </w:r>
          </w:p>
        </w:tc>
        <w:tc>
          <w:tcPr>
            <w:tcW w:w="616" w:type="dxa"/>
            <w:tcBorders>
              <w:right w:val="single" w:sz="18" w:space="0" w:color="000000"/>
            </w:tcBorders>
            <w:noWrap/>
            <w:vAlign w:val="center"/>
            <w:hideMark/>
          </w:tcPr>
          <w:p w14:paraId="1FE0684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0.22</w:t>
            </w:r>
          </w:p>
        </w:tc>
        <w:tc>
          <w:tcPr>
            <w:tcW w:w="766" w:type="dxa"/>
            <w:tcBorders>
              <w:top w:val="nil"/>
              <w:left w:val="single" w:sz="18" w:space="0" w:color="000000"/>
              <w:bottom w:val="nil"/>
            </w:tcBorders>
            <w:noWrap/>
            <w:vAlign w:val="center"/>
            <w:hideMark/>
          </w:tcPr>
          <w:p w14:paraId="7F0D51B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3D03F4B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5BCF6B8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616" w:type="dxa"/>
            <w:tcBorders>
              <w:top w:val="nil"/>
              <w:bottom w:val="nil"/>
              <w:right w:val="single" w:sz="4" w:space="0" w:color="auto"/>
            </w:tcBorders>
            <w:noWrap/>
            <w:vAlign w:val="center"/>
            <w:hideMark/>
          </w:tcPr>
          <w:p w14:paraId="3F5D784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616" w:type="dxa"/>
            <w:tcBorders>
              <w:left w:val="single" w:sz="4" w:space="0" w:color="auto"/>
            </w:tcBorders>
            <w:noWrap/>
            <w:vAlign w:val="center"/>
            <w:hideMark/>
          </w:tcPr>
          <w:p w14:paraId="7FDC324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0.18</w:t>
            </w:r>
          </w:p>
        </w:tc>
        <w:tc>
          <w:tcPr>
            <w:tcW w:w="676" w:type="dxa"/>
            <w:noWrap/>
            <w:vAlign w:val="center"/>
            <w:hideMark/>
          </w:tcPr>
          <w:p w14:paraId="3D80C81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0.83</w:t>
            </w:r>
          </w:p>
        </w:tc>
      </w:tr>
      <w:tr w:rsidR="001F4DDE" w:rsidRPr="00C85BEF" w14:paraId="29C02CC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1EC5E539" w14:textId="77777777" w:rsidR="001F4DDE" w:rsidRPr="00C85BEF" w:rsidRDefault="001F4DDE" w:rsidP="001F4DDE">
            <w:pPr>
              <w:jc w:val="center"/>
              <w:rPr>
                <w:bCs/>
                <w:color w:val="000000"/>
                <w:sz w:val="16"/>
                <w:szCs w:val="16"/>
              </w:rPr>
            </w:pPr>
            <w:r w:rsidRPr="00C85BEF">
              <w:rPr>
                <w:bCs/>
                <w:color w:val="000000"/>
                <w:sz w:val="16"/>
                <w:szCs w:val="16"/>
              </w:rPr>
              <w:t>Ireland</w:t>
            </w:r>
          </w:p>
        </w:tc>
        <w:tc>
          <w:tcPr>
            <w:tcW w:w="1016" w:type="dxa"/>
            <w:tcBorders>
              <w:top w:val="nil"/>
              <w:bottom w:val="nil"/>
            </w:tcBorders>
            <w:noWrap/>
            <w:vAlign w:val="center"/>
            <w:hideMark/>
          </w:tcPr>
          <w:p w14:paraId="28F784E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3AB2CA3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7805801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060EFA5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07A5F63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616" w:type="dxa"/>
            <w:tcBorders>
              <w:top w:val="nil"/>
              <w:bottom w:val="nil"/>
              <w:right w:val="single" w:sz="18" w:space="0" w:color="000000"/>
            </w:tcBorders>
            <w:noWrap/>
            <w:vAlign w:val="center"/>
            <w:hideMark/>
          </w:tcPr>
          <w:p w14:paraId="04E3F22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left w:val="single" w:sz="18" w:space="0" w:color="000000"/>
            </w:tcBorders>
            <w:noWrap/>
            <w:vAlign w:val="center"/>
            <w:hideMark/>
          </w:tcPr>
          <w:p w14:paraId="37CC946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0.78</w:t>
            </w:r>
          </w:p>
        </w:tc>
        <w:tc>
          <w:tcPr>
            <w:tcW w:w="636" w:type="dxa"/>
            <w:tcBorders>
              <w:right w:val="single" w:sz="4" w:space="0" w:color="auto"/>
            </w:tcBorders>
            <w:noWrap/>
            <w:vAlign w:val="center"/>
            <w:hideMark/>
          </w:tcPr>
          <w:p w14:paraId="3E66515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0.46</w:t>
            </w:r>
          </w:p>
        </w:tc>
        <w:tc>
          <w:tcPr>
            <w:tcW w:w="766" w:type="dxa"/>
            <w:tcBorders>
              <w:top w:val="nil"/>
              <w:left w:val="single" w:sz="4" w:space="0" w:color="auto"/>
              <w:bottom w:val="nil"/>
            </w:tcBorders>
            <w:noWrap/>
            <w:vAlign w:val="center"/>
            <w:hideMark/>
          </w:tcPr>
          <w:p w14:paraId="764C591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0.75</w:t>
            </w:r>
          </w:p>
        </w:tc>
        <w:tc>
          <w:tcPr>
            <w:tcW w:w="616" w:type="dxa"/>
            <w:tcBorders>
              <w:top w:val="nil"/>
              <w:bottom w:val="nil"/>
              <w:right w:val="single" w:sz="4" w:space="0" w:color="auto"/>
            </w:tcBorders>
            <w:noWrap/>
            <w:vAlign w:val="center"/>
            <w:hideMark/>
          </w:tcPr>
          <w:p w14:paraId="6A02AE4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0.49</w:t>
            </w:r>
          </w:p>
        </w:tc>
        <w:tc>
          <w:tcPr>
            <w:tcW w:w="766" w:type="dxa"/>
            <w:tcBorders>
              <w:left w:val="single" w:sz="4" w:space="0" w:color="auto"/>
            </w:tcBorders>
            <w:noWrap/>
            <w:vAlign w:val="center"/>
            <w:hideMark/>
          </w:tcPr>
          <w:p w14:paraId="03E5D65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616" w:type="dxa"/>
            <w:tcBorders>
              <w:right w:val="single" w:sz="18" w:space="0" w:color="000000"/>
            </w:tcBorders>
            <w:noWrap/>
            <w:vAlign w:val="center"/>
            <w:hideMark/>
          </w:tcPr>
          <w:p w14:paraId="235D29B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18" w:space="0" w:color="000000"/>
              <w:bottom w:val="nil"/>
            </w:tcBorders>
            <w:noWrap/>
            <w:vAlign w:val="center"/>
            <w:hideMark/>
          </w:tcPr>
          <w:p w14:paraId="481718D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616" w:type="dxa"/>
            <w:tcBorders>
              <w:top w:val="nil"/>
              <w:bottom w:val="nil"/>
              <w:right w:val="single" w:sz="4" w:space="0" w:color="auto"/>
            </w:tcBorders>
            <w:noWrap/>
            <w:vAlign w:val="center"/>
            <w:hideMark/>
          </w:tcPr>
          <w:p w14:paraId="3920E08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766" w:type="dxa"/>
            <w:tcBorders>
              <w:top w:val="nil"/>
              <w:left w:val="single" w:sz="4" w:space="0" w:color="auto"/>
              <w:bottom w:val="nil"/>
            </w:tcBorders>
            <w:noWrap/>
            <w:vAlign w:val="center"/>
            <w:hideMark/>
          </w:tcPr>
          <w:p w14:paraId="3D5153A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2.27</w:t>
            </w:r>
          </w:p>
        </w:tc>
        <w:tc>
          <w:tcPr>
            <w:tcW w:w="616" w:type="dxa"/>
            <w:tcBorders>
              <w:top w:val="nil"/>
              <w:bottom w:val="nil"/>
              <w:right w:val="single" w:sz="4" w:space="0" w:color="auto"/>
            </w:tcBorders>
            <w:noWrap/>
            <w:vAlign w:val="center"/>
            <w:hideMark/>
          </w:tcPr>
          <w:p w14:paraId="740346F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616" w:type="dxa"/>
            <w:tcBorders>
              <w:left w:val="single" w:sz="4" w:space="0" w:color="auto"/>
            </w:tcBorders>
            <w:noWrap/>
            <w:vAlign w:val="center"/>
            <w:hideMark/>
          </w:tcPr>
          <w:p w14:paraId="3CC68A5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1.03</w:t>
            </w:r>
          </w:p>
        </w:tc>
        <w:tc>
          <w:tcPr>
            <w:tcW w:w="676" w:type="dxa"/>
            <w:noWrap/>
            <w:vAlign w:val="center"/>
            <w:hideMark/>
          </w:tcPr>
          <w:p w14:paraId="27B6C56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r>
      <w:tr w:rsidR="001F4DDE" w:rsidRPr="00C85BEF" w14:paraId="517B40A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4C81B943" w14:textId="77777777" w:rsidR="001F4DDE" w:rsidRPr="00C85BEF" w:rsidRDefault="001F4DDE" w:rsidP="001F4DDE">
            <w:pPr>
              <w:jc w:val="center"/>
              <w:rPr>
                <w:bCs/>
                <w:color w:val="000000"/>
                <w:sz w:val="16"/>
                <w:szCs w:val="16"/>
              </w:rPr>
            </w:pPr>
            <w:r w:rsidRPr="00C85BEF">
              <w:rPr>
                <w:bCs/>
                <w:color w:val="000000"/>
                <w:sz w:val="16"/>
                <w:szCs w:val="16"/>
              </w:rPr>
              <w:t>Israel</w:t>
            </w:r>
          </w:p>
        </w:tc>
        <w:tc>
          <w:tcPr>
            <w:tcW w:w="1016" w:type="dxa"/>
            <w:tcBorders>
              <w:top w:val="nil"/>
              <w:bottom w:val="nil"/>
            </w:tcBorders>
            <w:noWrap/>
            <w:vAlign w:val="center"/>
            <w:hideMark/>
          </w:tcPr>
          <w:p w14:paraId="27AD0E5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350AFE2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01C44DD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62EB3C1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756D62B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616" w:type="dxa"/>
            <w:tcBorders>
              <w:top w:val="nil"/>
              <w:bottom w:val="nil"/>
              <w:right w:val="single" w:sz="18" w:space="0" w:color="000000"/>
            </w:tcBorders>
            <w:noWrap/>
            <w:vAlign w:val="center"/>
            <w:hideMark/>
          </w:tcPr>
          <w:p w14:paraId="00723E2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766" w:type="dxa"/>
            <w:tcBorders>
              <w:left w:val="single" w:sz="18" w:space="0" w:color="000000"/>
            </w:tcBorders>
            <w:noWrap/>
            <w:vAlign w:val="center"/>
            <w:hideMark/>
          </w:tcPr>
          <w:p w14:paraId="39C77FA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36" w:type="dxa"/>
            <w:tcBorders>
              <w:right w:val="single" w:sz="4" w:space="0" w:color="auto"/>
            </w:tcBorders>
            <w:noWrap/>
            <w:vAlign w:val="center"/>
            <w:hideMark/>
          </w:tcPr>
          <w:p w14:paraId="35787AC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0.13</w:t>
            </w:r>
          </w:p>
        </w:tc>
        <w:tc>
          <w:tcPr>
            <w:tcW w:w="766" w:type="dxa"/>
            <w:tcBorders>
              <w:top w:val="nil"/>
              <w:left w:val="single" w:sz="4" w:space="0" w:color="auto"/>
              <w:bottom w:val="nil"/>
            </w:tcBorders>
            <w:noWrap/>
            <w:vAlign w:val="center"/>
            <w:hideMark/>
          </w:tcPr>
          <w:p w14:paraId="6A0A7B6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16" w:type="dxa"/>
            <w:tcBorders>
              <w:top w:val="nil"/>
              <w:bottom w:val="nil"/>
              <w:right w:val="single" w:sz="4" w:space="0" w:color="auto"/>
            </w:tcBorders>
            <w:noWrap/>
            <w:vAlign w:val="center"/>
            <w:hideMark/>
          </w:tcPr>
          <w:p w14:paraId="2F2C31B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0.13</w:t>
            </w:r>
          </w:p>
        </w:tc>
        <w:tc>
          <w:tcPr>
            <w:tcW w:w="766" w:type="dxa"/>
            <w:tcBorders>
              <w:left w:val="single" w:sz="4" w:space="0" w:color="auto"/>
            </w:tcBorders>
            <w:noWrap/>
            <w:vAlign w:val="center"/>
            <w:hideMark/>
          </w:tcPr>
          <w:p w14:paraId="4D7B645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0.22</w:t>
            </w:r>
          </w:p>
        </w:tc>
        <w:tc>
          <w:tcPr>
            <w:tcW w:w="616" w:type="dxa"/>
            <w:tcBorders>
              <w:right w:val="single" w:sz="18" w:space="0" w:color="000000"/>
            </w:tcBorders>
            <w:noWrap/>
            <w:vAlign w:val="center"/>
            <w:hideMark/>
          </w:tcPr>
          <w:p w14:paraId="11C6107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0.80</w:t>
            </w:r>
          </w:p>
        </w:tc>
        <w:tc>
          <w:tcPr>
            <w:tcW w:w="766" w:type="dxa"/>
            <w:tcBorders>
              <w:top w:val="nil"/>
              <w:left w:val="single" w:sz="18" w:space="0" w:color="000000"/>
              <w:bottom w:val="nil"/>
            </w:tcBorders>
            <w:noWrap/>
            <w:vAlign w:val="center"/>
            <w:hideMark/>
          </w:tcPr>
          <w:p w14:paraId="76716B8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616" w:type="dxa"/>
            <w:tcBorders>
              <w:top w:val="nil"/>
              <w:bottom w:val="nil"/>
              <w:right w:val="single" w:sz="4" w:space="0" w:color="auto"/>
            </w:tcBorders>
            <w:noWrap/>
            <w:vAlign w:val="center"/>
            <w:hideMark/>
          </w:tcPr>
          <w:p w14:paraId="783822B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1C99AC1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616" w:type="dxa"/>
            <w:tcBorders>
              <w:top w:val="nil"/>
              <w:bottom w:val="nil"/>
              <w:right w:val="single" w:sz="4" w:space="0" w:color="auto"/>
            </w:tcBorders>
            <w:noWrap/>
            <w:vAlign w:val="center"/>
            <w:hideMark/>
          </w:tcPr>
          <w:p w14:paraId="4E6CAD5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616" w:type="dxa"/>
            <w:tcBorders>
              <w:left w:val="single" w:sz="4" w:space="0" w:color="auto"/>
            </w:tcBorders>
            <w:noWrap/>
            <w:vAlign w:val="center"/>
            <w:hideMark/>
          </w:tcPr>
          <w:p w14:paraId="3A422C5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676" w:type="dxa"/>
            <w:noWrap/>
            <w:vAlign w:val="center"/>
            <w:hideMark/>
          </w:tcPr>
          <w:p w14:paraId="17AC8BC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r>
      <w:tr w:rsidR="001F4DDE" w:rsidRPr="00C85BEF" w14:paraId="7B17B49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006B83E9" w14:textId="77777777" w:rsidR="001F4DDE" w:rsidRPr="00C85BEF" w:rsidRDefault="001F4DDE" w:rsidP="001F4DDE">
            <w:pPr>
              <w:jc w:val="center"/>
              <w:rPr>
                <w:bCs/>
                <w:color w:val="000000"/>
                <w:sz w:val="16"/>
                <w:szCs w:val="16"/>
              </w:rPr>
            </w:pPr>
            <w:r w:rsidRPr="00C85BEF">
              <w:rPr>
                <w:bCs/>
                <w:color w:val="000000"/>
                <w:sz w:val="16"/>
                <w:szCs w:val="16"/>
              </w:rPr>
              <w:t>Italy</w:t>
            </w:r>
          </w:p>
        </w:tc>
        <w:tc>
          <w:tcPr>
            <w:tcW w:w="1016" w:type="dxa"/>
            <w:tcBorders>
              <w:top w:val="nil"/>
              <w:bottom w:val="nil"/>
            </w:tcBorders>
            <w:noWrap/>
            <w:vAlign w:val="center"/>
            <w:hideMark/>
          </w:tcPr>
          <w:p w14:paraId="37B03B3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616" w:type="dxa"/>
            <w:tcBorders>
              <w:top w:val="nil"/>
              <w:bottom w:val="nil"/>
              <w:right w:val="single" w:sz="4" w:space="0" w:color="auto"/>
            </w:tcBorders>
            <w:noWrap/>
            <w:vAlign w:val="center"/>
            <w:hideMark/>
          </w:tcPr>
          <w:p w14:paraId="7EDB8D7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0.89</w:t>
            </w:r>
          </w:p>
        </w:tc>
        <w:tc>
          <w:tcPr>
            <w:tcW w:w="766" w:type="dxa"/>
            <w:tcBorders>
              <w:top w:val="nil"/>
              <w:left w:val="single" w:sz="4" w:space="0" w:color="auto"/>
              <w:bottom w:val="nil"/>
            </w:tcBorders>
            <w:noWrap/>
            <w:vAlign w:val="center"/>
            <w:hideMark/>
          </w:tcPr>
          <w:p w14:paraId="47CEB1D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616" w:type="dxa"/>
            <w:tcBorders>
              <w:top w:val="nil"/>
              <w:bottom w:val="nil"/>
              <w:right w:val="single" w:sz="4" w:space="0" w:color="auto"/>
            </w:tcBorders>
            <w:noWrap/>
            <w:vAlign w:val="center"/>
            <w:hideMark/>
          </w:tcPr>
          <w:p w14:paraId="5F88A9E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766" w:type="dxa"/>
            <w:tcBorders>
              <w:top w:val="nil"/>
              <w:left w:val="single" w:sz="4" w:space="0" w:color="auto"/>
              <w:bottom w:val="nil"/>
            </w:tcBorders>
            <w:noWrap/>
            <w:vAlign w:val="center"/>
            <w:hideMark/>
          </w:tcPr>
          <w:p w14:paraId="18EB740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616" w:type="dxa"/>
            <w:tcBorders>
              <w:top w:val="nil"/>
              <w:bottom w:val="nil"/>
              <w:right w:val="single" w:sz="18" w:space="0" w:color="000000"/>
            </w:tcBorders>
            <w:noWrap/>
            <w:vAlign w:val="center"/>
            <w:hideMark/>
          </w:tcPr>
          <w:p w14:paraId="1BCF6B0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left w:val="single" w:sz="18" w:space="0" w:color="000000"/>
            </w:tcBorders>
            <w:noWrap/>
            <w:vAlign w:val="center"/>
            <w:hideMark/>
          </w:tcPr>
          <w:p w14:paraId="7F4A3C7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1.57</w:t>
            </w:r>
          </w:p>
        </w:tc>
        <w:tc>
          <w:tcPr>
            <w:tcW w:w="636" w:type="dxa"/>
            <w:tcBorders>
              <w:right w:val="single" w:sz="4" w:space="0" w:color="auto"/>
            </w:tcBorders>
            <w:noWrap/>
            <w:vAlign w:val="center"/>
            <w:hideMark/>
          </w:tcPr>
          <w:p w14:paraId="5DFDA4C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0.22</w:t>
            </w:r>
          </w:p>
        </w:tc>
        <w:tc>
          <w:tcPr>
            <w:tcW w:w="766" w:type="dxa"/>
            <w:tcBorders>
              <w:top w:val="nil"/>
              <w:left w:val="single" w:sz="4" w:space="0" w:color="auto"/>
              <w:bottom w:val="nil"/>
            </w:tcBorders>
            <w:noWrap/>
            <w:vAlign w:val="center"/>
            <w:hideMark/>
          </w:tcPr>
          <w:p w14:paraId="66A7252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1.97</w:t>
            </w:r>
          </w:p>
        </w:tc>
        <w:tc>
          <w:tcPr>
            <w:tcW w:w="616" w:type="dxa"/>
            <w:tcBorders>
              <w:top w:val="nil"/>
              <w:bottom w:val="nil"/>
              <w:right w:val="single" w:sz="4" w:space="0" w:color="auto"/>
            </w:tcBorders>
            <w:noWrap/>
            <w:vAlign w:val="center"/>
            <w:hideMark/>
          </w:tcPr>
          <w:p w14:paraId="3549589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0.14</w:t>
            </w:r>
          </w:p>
        </w:tc>
        <w:tc>
          <w:tcPr>
            <w:tcW w:w="766" w:type="dxa"/>
            <w:tcBorders>
              <w:left w:val="single" w:sz="4" w:space="0" w:color="auto"/>
            </w:tcBorders>
            <w:noWrap/>
            <w:vAlign w:val="center"/>
            <w:hideMark/>
          </w:tcPr>
          <w:p w14:paraId="59D818E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0.83</w:t>
            </w:r>
          </w:p>
        </w:tc>
        <w:tc>
          <w:tcPr>
            <w:tcW w:w="616" w:type="dxa"/>
            <w:tcBorders>
              <w:right w:val="single" w:sz="18" w:space="0" w:color="000000"/>
            </w:tcBorders>
            <w:noWrap/>
            <w:vAlign w:val="center"/>
            <w:hideMark/>
          </w:tcPr>
          <w:p w14:paraId="5241434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0.41</w:t>
            </w:r>
          </w:p>
        </w:tc>
        <w:tc>
          <w:tcPr>
            <w:tcW w:w="766" w:type="dxa"/>
            <w:tcBorders>
              <w:top w:val="nil"/>
              <w:left w:val="single" w:sz="18" w:space="0" w:color="000000"/>
              <w:bottom w:val="nil"/>
            </w:tcBorders>
            <w:noWrap/>
            <w:vAlign w:val="center"/>
            <w:hideMark/>
          </w:tcPr>
          <w:p w14:paraId="2CBE7B9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0.43</w:t>
            </w:r>
          </w:p>
        </w:tc>
        <w:tc>
          <w:tcPr>
            <w:tcW w:w="616" w:type="dxa"/>
            <w:tcBorders>
              <w:top w:val="nil"/>
              <w:bottom w:val="nil"/>
              <w:right w:val="single" w:sz="4" w:space="0" w:color="auto"/>
            </w:tcBorders>
            <w:noWrap/>
            <w:vAlign w:val="center"/>
            <w:hideMark/>
          </w:tcPr>
          <w:p w14:paraId="2299362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0.63</w:t>
            </w:r>
          </w:p>
        </w:tc>
        <w:tc>
          <w:tcPr>
            <w:tcW w:w="766" w:type="dxa"/>
            <w:tcBorders>
              <w:top w:val="nil"/>
              <w:left w:val="single" w:sz="4" w:space="0" w:color="auto"/>
              <w:bottom w:val="nil"/>
            </w:tcBorders>
            <w:noWrap/>
            <w:vAlign w:val="center"/>
            <w:hideMark/>
          </w:tcPr>
          <w:p w14:paraId="6ABFB3F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0.29</w:t>
            </w:r>
          </w:p>
        </w:tc>
        <w:tc>
          <w:tcPr>
            <w:tcW w:w="616" w:type="dxa"/>
            <w:tcBorders>
              <w:top w:val="nil"/>
              <w:bottom w:val="nil"/>
              <w:right w:val="single" w:sz="4" w:space="0" w:color="auto"/>
            </w:tcBorders>
            <w:noWrap/>
            <w:vAlign w:val="center"/>
            <w:hideMark/>
          </w:tcPr>
          <w:p w14:paraId="5767C1E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0.73</w:t>
            </w:r>
          </w:p>
        </w:tc>
        <w:tc>
          <w:tcPr>
            <w:tcW w:w="616" w:type="dxa"/>
            <w:tcBorders>
              <w:left w:val="single" w:sz="4" w:space="0" w:color="auto"/>
            </w:tcBorders>
            <w:noWrap/>
            <w:vAlign w:val="center"/>
            <w:hideMark/>
          </w:tcPr>
          <w:p w14:paraId="4285A29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0.55</w:t>
            </w:r>
          </w:p>
        </w:tc>
        <w:tc>
          <w:tcPr>
            <w:tcW w:w="676" w:type="dxa"/>
            <w:noWrap/>
            <w:vAlign w:val="center"/>
            <w:hideMark/>
          </w:tcPr>
          <w:p w14:paraId="1BBB4A2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0.61</w:t>
            </w:r>
          </w:p>
        </w:tc>
      </w:tr>
      <w:tr w:rsidR="001F4DDE" w:rsidRPr="00C85BEF" w14:paraId="7B491FD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5777240C" w14:textId="77777777" w:rsidR="001F4DDE" w:rsidRPr="00C85BEF" w:rsidRDefault="001F4DDE" w:rsidP="001F4DDE">
            <w:pPr>
              <w:jc w:val="center"/>
              <w:rPr>
                <w:bCs/>
                <w:color w:val="000000"/>
                <w:sz w:val="16"/>
                <w:szCs w:val="16"/>
              </w:rPr>
            </w:pPr>
            <w:r w:rsidRPr="00C85BEF">
              <w:rPr>
                <w:bCs/>
                <w:color w:val="000000"/>
                <w:sz w:val="16"/>
                <w:szCs w:val="16"/>
              </w:rPr>
              <w:t>Japan</w:t>
            </w:r>
          </w:p>
        </w:tc>
        <w:tc>
          <w:tcPr>
            <w:tcW w:w="1016" w:type="dxa"/>
            <w:tcBorders>
              <w:top w:val="nil"/>
              <w:bottom w:val="nil"/>
            </w:tcBorders>
            <w:noWrap/>
            <w:vAlign w:val="center"/>
            <w:hideMark/>
          </w:tcPr>
          <w:p w14:paraId="10AEC67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w:t>
            </w:r>
          </w:p>
        </w:tc>
        <w:tc>
          <w:tcPr>
            <w:tcW w:w="616" w:type="dxa"/>
            <w:tcBorders>
              <w:top w:val="nil"/>
              <w:bottom w:val="nil"/>
              <w:right w:val="single" w:sz="4" w:space="0" w:color="auto"/>
            </w:tcBorders>
            <w:noWrap/>
            <w:vAlign w:val="center"/>
            <w:hideMark/>
          </w:tcPr>
          <w:p w14:paraId="1C0172F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0.49</w:t>
            </w:r>
          </w:p>
        </w:tc>
        <w:tc>
          <w:tcPr>
            <w:tcW w:w="766" w:type="dxa"/>
            <w:tcBorders>
              <w:top w:val="nil"/>
              <w:left w:val="single" w:sz="4" w:space="0" w:color="auto"/>
              <w:bottom w:val="nil"/>
            </w:tcBorders>
            <w:noWrap/>
            <w:vAlign w:val="center"/>
            <w:hideMark/>
          </w:tcPr>
          <w:p w14:paraId="7EA53BF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0.71</w:t>
            </w:r>
          </w:p>
        </w:tc>
        <w:tc>
          <w:tcPr>
            <w:tcW w:w="616" w:type="dxa"/>
            <w:tcBorders>
              <w:top w:val="nil"/>
              <w:bottom w:val="nil"/>
              <w:right w:val="single" w:sz="4" w:space="0" w:color="auto"/>
            </w:tcBorders>
            <w:noWrap/>
            <w:vAlign w:val="center"/>
            <w:hideMark/>
          </w:tcPr>
          <w:p w14:paraId="23FB17D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0.49</w:t>
            </w:r>
          </w:p>
        </w:tc>
        <w:tc>
          <w:tcPr>
            <w:tcW w:w="766" w:type="dxa"/>
            <w:tcBorders>
              <w:top w:val="nil"/>
              <w:left w:val="single" w:sz="4" w:space="0" w:color="auto"/>
              <w:bottom w:val="nil"/>
            </w:tcBorders>
            <w:noWrap/>
            <w:vAlign w:val="center"/>
            <w:hideMark/>
          </w:tcPr>
          <w:p w14:paraId="72CECFD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616" w:type="dxa"/>
            <w:tcBorders>
              <w:top w:val="nil"/>
              <w:bottom w:val="nil"/>
              <w:right w:val="single" w:sz="18" w:space="0" w:color="000000"/>
            </w:tcBorders>
            <w:noWrap/>
            <w:vAlign w:val="center"/>
            <w:hideMark/>
          </w:tcPr>
          <w:p w14:paraId="0308A6E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left w:val="single" w:sz="18" w:space="0" w:color="000000"/>
            </w:tcBorders>
            <w:noWrap/>
            <w:vAlign w:val="center"/>
            <w:hideMark/>
          </w:tcPr>
          <w:p w14:paraId="7DF6C0B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0.26</w:t>
            </w:r>
          </w:p>
        </w:tc>
        <w:tc>
          <w:tcPr>
            <w:tcW w:w="636" w:type="dxa"/>
            <w:tcBorders>
              <w:right w:val="single" w:sz="4" w:space="0" w:color="auto"/>
            </w:tcBorders>
            <w:noWrap/>
            <w:vAlign w:val="center"/>
            <w:hideMark/>
          </w:tcPr>
          <w:p w14:paraId="7E4BB7B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0.76</w:t>
            </w:r>
          </w:p>
        </w:tc>
        <w:tc>
          <w:tcPr>
            <w:tcW w:w="766" w:type="dxa"/>
            <w:tcBorders>
              <w:top w:val="nil"/>
              <w:left w:val="single" w:sz="4" w:space="0" w:color="auto"/>
              <w:bottom w:val="nil"/>
            </w:tcBorders>
            <w:noWrap/>
            <w:vAlign w:val="center"/>
            <w:hideMark/>
          </w:tcPr>
          <w:p w14:paraId="39D4083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0.38</w:t>
            </w:r>
          </w:p>
        </w:tc>
        <w:tc>
          <w:tcPr>
            <w:tcW w:w="616" w:type="dxa"/>
            <w:tcBorders>
              <w:top w:val="nil"/>
              <w:bottom w:val="nil"/>
              <w:right w:val="single" w:sz="4" w:space="0" w:color="auto"/>
            </w:tcBorders>
            <w:noWrap/>
            <w:vAlign w:val="center"/>
            <w:hideMark/>
          </w:tcPr>
          <w:p w14:paraId="164B7E3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0.68</w:t>
            </w:r>
          </w:p>
        </w:tc>
        <w:tc>
          <w:tcPr>
            <w:tcW w:w="766" w:type="dxa"/>
            <w:tcBorders>
              <w:left w:val="single" w:sz="4" w:space="0" w:color="auto"/>
            </w:tcBorders>
            <w:noWrap/>
            <w:vAlign w:val="center"/>
            <w:hideMark/>
          </w:tcPr>
          <w:p w14:paraId="69350CB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0.63</w:t>
            </w:r>
          </w:p>
        </w:tc>
        <w:tc>
          <w:tcPr>
            <w:tcW w:w="616" w:type="dxa"/>
            <w:tcBorders>
              <w:right w:val="single" w:sz="18" w:space="0" w:color="000000"/>
            </w:tcBorders>
            <w:noWrap/>
            <w:vAlign w:val="center"/>
            <w:hideMark/>
          </w:tcPr>
          <w:p w14:paraId="3334DBE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0.53</w:t>
            </w:r>
          </w:p>
        </w:tc>
        <w:tc>
          <w:tcPr>
            <w:tcW w:w="766" w:type="dxa"/>
            <w:tcBorders>
              <w:top w:val="nil"/>
              <w:left w:val="single" w:sz="18" w:space="0" w:color="000000"/>
              <w:bottom w:val="nil"/>
            </w:tcBorders>
            <w:noWrap/>
            <w:vAlign w:val="center"/>
            <w:hideMark/>
          </w:tcPr>
          <w:p w14:paraId="0DE54BE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0.17</w:t>
            </w:r>
          </w:p>
        </w:tc>
        <w:tc>
          <w:tcPr>
            <w:tcW w:w="616" w:type="dxa"/>
            <w:tcBorders>
              <w:top w:val="nil"/>
              <w:bottom w:val="nil"/>
              <w:right w:val="single" w:sz="4" w:space="0" w:color="auto"/>
            </w:tcBorders>
            <w:noWrap/>
            <w:vAlign w:val="center"/>
            <w:hideMark/>
          </w:tcPr>
          <w:p w14:paraId="309E3AC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0.85</w:t>
            </w:r>
          </w:p>
        </w:tc>
        <w:tc>
          <w:tcPr>
            <w:tcW w:w="766" w:type="dxa"/>
            <w:tcBorders>
              <w:top w:val="nil"/>
              <w:left w:val="single" w:sz="4" w:space="0" w:color="auto"/>
              <w:bottom w:val="nil"/>
            </w:tcBorders>
            <w:noWrap/>
            <w:vAlign w:val="center"/>
            <w:hideMark/>
          </w:tcPr>
          <w:p w14:paraId="4141DE4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16F9188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616" w:type="dxa"/>
            <w:tcBorders>
              <w:left w:val="single" w:sz="4" w:space="0" w:color="auto"/>
            </w:tcBorders>
            <w:noWrap/>
            <w:vAlign w:val="center"/>
            <w:hideMark/>
          </w:tcPr>
          <w:p w14:paraId="6D2F62A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0.18</w:t>
            </w:r>
          </w:p>
        </w:tc>
        <w:tc>
          <w:tcPr>
            <w:tcW w:w="676" w:type="dxa"/>
            <w:noWrap/>
            <w:vAlign w:val="center"/>
            <w:hideMark/>
          </w:tcPr>
          <w:p w14:paraId="4DE8E94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0.84</w:t>
            </w:r>
          </w:p>
        </w:tc>
      </w:tr>
      <w:tr w:rsidR="001F4DDE" w:rsidRPr="00C85BEF" w14:paraId="0163585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3F56F137" w14:textId="77777777" w:rsidR="001F4DDE" w:rsidRPr="00C85BEF" w:rsidRDefault="001F4DDE" w:rsidP="001F4DDE">
            <w:pPr>
              <w:jc w:val="center"/>
              <w:rPr>
                <w:bCs/>
                <w:color w:val="000000"/>
                <w:sz w:val="16"/>
                <w:szCs w:val="16"/>
              </w:rPr>
            </w:pPr>
            <w:r w:rsidRPr="00C85BEF">
              <w:rPr>
                <w:bCs/>
                <w:color w:val="000000"/>
                <w:sz w:val="16"/>
                <w:szCs w:val="16"/>
              </w:rPr>
              <w:t>Netherlands</w:t>
            </w:r>
          </w:p>
        </w:tc>
        <w:tc>
          <w:tcPr>
            <w:tcW w:w="1016" w:type="dxa"/>
            <w:tcBorders>
              <w:top w:val="nil"/>
              <w:bottom w:val="nil"/>
            </w:tcBorders>
            <w:noWrap/>
            <w:vAlign w:val="center"/>
            <w:hideMark/>
          </w:tcPr>
          <w:p w14:paraId="0570A5B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0.04</w:t>
            </w:r>
          </w:p>
        </w:tc>
        <w:tc>
          <w:tcPr>
            <w:tcW w:w="616" w:type="dxa"/>
            <w:tcBorders>
              <w:top w:val="nil"/>
              <w:bottom w:val="nil"/>
              <w:right w:val="single" w:sz="4" w:space="0" w:color="auto"/>
            </w:tcBorders>
            <w:noWrap/>
            <w:vAlign w:val="center"/>
            <w:hideMark/>
          </w:tcPr>
          <w:p w14:paraId="4D925C6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c>
          <w:tcPr>
            <w:tcW w:w="766" w:type="dxa"/>
            <w:tcBorders>
              <w:top w:val="nil"/>
              <w:left w:val="single" w:sz="4" w:space="0" w:color="auto"/>
              <w:bottom w:val="nil"/>
            </w:tcBorders>
            <w:noWrap/>
            <w:vAlign w:val="center"/>
            <w:hideMark/>
          </w:tcPr>
          <w:p w14:paraId="02EFF67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0.02</w:t>
            </w:r>
          </w:p>
        </w:tc>
        <w:tc>
          <w:tcPr>
            <w:tcW w:w="616" w:type="dxa"/>
            <w:tcBorders>
              <w:top w:val="nil"/>
              <w:bottom w:val="nil"/>
              <w:right w:val="single" w:sz="4" w:space="0" w:color="auto"/>
            </w:tcBorders>
            <w:noWrap/>
            <w:vAlign w:val="center"/>
            <w:hideMark/>
          </w:tcPr>
          <w:p w14:paraId="4ACE462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top w:val="nil"/>
              <w:left w:val="single" w:sz="4" w:space="0" w:color="auto"/>
              <w:bottom w:val="nil"/>
            </w:tcBorders>
            <w:noWrap/>
            <w:vAlign w:val="center"/>
            <w:hideMark/>
          </w:tcPr>
          <w:p w14:paraId="666574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616" w:type="dxa"/>
            <w:tcBorders>
              <w:top w:val="nil"/>
              <w:bottom w:val="nil"/>
              <w:right w:val="single" w:sz="18" w:space="0" w:color="000000"/>
            </w:tcBorders>
            <w:noWrap/>
            <w:vAlign w:val="center"/>
            <w:hideMark/>
          </w:tcPr>
          <w:p w14:paraId="5D35FD4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left w:val="single" w:sz="18" w:space="0" w:color="000000"/>
            </w:tcBorders>
            <w:noWrap/>
            <w:vAlign w:val="center"/>
            <w:hideMark/>
          </w:tcPr>
          <w:p w14:paraId="7B433AE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0.37</w:t>
            </w:r>
          </w:p>
        </w:tc>
        <w:tc>
          <w:tcPr>
            <w:tcW w:w="636" w:type="dxa"/>
            <w:tcBorders>
              <w:right w:val="single" w:sz="4" w:space="0" w:color="auto"/>
            </w:tcBorders>
            <w:noWrap/>
            <w:vAlign w:val="center"/>
            <w:hideMark/>
          </w:tcPr>
          <w:p w14:paraId="5D37982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0.68</w:t>
            </w:r>
          </w:p>
        </w:tc>
        <w:tc>
          <w:tcPr>
            <w:tcW w:w="766" w:type="dxa"/>
            <w:tcBorders>
              <w:top w:val="nil"/>
              <w:left w:val="single" w:sz="4" w:space="0" w:color="auto"/>
              <w:bottom w:val="nil"/>
            </w:tcBorders>
            <w:noWrap/>
            <w:vAlign w:val="center"/>
            <w:hideMark/>
          </w:tcPr>
          <w:p w14:paraId="38D4906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1.22</w:t>
            </w:r>
          </w:p>
        </w:tc>
        <w:tc>
          <w:tcPr>
            <w:tcW w:w="616" w:type="dxa"/>
            <w:tcBorders>
              <w:top w:val="nil"/>
              <w:bottom w:val="nil"/>
              <w:right w:val="single" w:sz="4" w:space="0" w:color="auto"/>
            </w:tcBorders>
            <w:noWrap/>
            <w:vAlign w:val="center"/>
            <w:hideMark/>
          </w:tcPr>
          <w:p w14:paraId="4DB43B1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0.28</w:t>
            </w:r>
          </w:p>
        </w:tc>
        <w:tc>
          <w:tcPr>
            <w:tcW w:w="766" w:type="dxa"/>
            <w:tcBorders>
              <w:left w:val="single" w:sz="4" w:space="0" w:color="auto"/>
            </w:tcBorders>
            <w:noWrap/>
            <w:vAlign w:val="center"/>
            <w:hideMark/>
          </w:tcPr>
          <w:p w14:paraId="164B0D3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0.78</w:t>
            </w:r>
          </w:p>
        </w:tc>
        <w:tc>
          <w:tcPr>
            <w:tcW w:w="616" w:type="dxa"/>
            <w:tcBorders>
              <w:right w:val="single" w:sz="18" w:space="0" w:color="000000"/>
            </w:tcBorders>
            <w:noWrap/>
            <w:vAlign w:val="center"/>
            <w:hideMark/>
          </w:tcPr>
          <w:p w14:paraId="5846AB2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0.46</w:t>
            </w:r>
          </w:p>
        </w:tc>
        <w:tc>
          <w:tcPr>
            <w:tcW w:w="766" w:type="dxa"/>
            <w:tcBorders>
              <w:top w:val="nil"/>
              <w:left w:val="single" w:sz="18" w:space="0" w:color="000000"/>
              <w:bottom w:val="nil"/>
            </w:tcBorders>
            <w:noWrap/>
            <w:vAlign w:val="center"/>
            <w:hideMark/>
          </w:tcPr>
          <w:p w14:paraId="2A1FFB0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0.21</w:t>
            </w:r>
          </w:p>
        </w:tc>
        <w:tc>
          <w:tcPr>
            <w:tcW w:w="616" w:type="dxa"/>
            <w:tcBorders>
              <w:top w:val="nil"/>
              <w:bottom w:val="nil"/>
              <w:right w:val="single" w:sz="4" w:space="0" w:color="auto"/>
            </w:tcBorders>
            <w:noWrap/>
            <w:vAlign w:val="center"/>
            <w:hideMark/>
          </w:tcPr>
          <w:p w14:paraId="27ED7CC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0.81</w:t>
            </w:r>
          </w:p>
        </w:tc>
        <w:tc>
          <w:tcPr>
            <w:tcW w:w="766" w:type="dxa"/>
            <w:tcBorders>
              <w:top w:val="nil"/>
              <w:left w:val="single" w:sz="4" w:space="0" w:color="auto"/>
              <w:bottom w:val="nil"/>
            </w:tcBorders>
            <w:noWrap/>
            <w:vAlign w:val="center"/>
            <w:hideMark/>
          </w:tcPr>
          <w:p w14:paraId="5CD7C9B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0.55</w:t>
            </w:r>
          </w:p>
        </w:tc>
        <w:tc>
          <w:tcPr>
            <w:tcW w:w="616" w:type="dxa"/>
            <w:tcBorders>
              <w:top w:val="nil"/>
              <w:bottom w:val="nil"/>
              <w:right w:val="single" w:sz="4" w:space="0" w:color="auto"/>
            </w:tcBorders>
            <w:noWrap/>
            <w:vAlign w:val="center"/>
            <w:hideMark/>
          </w:tcPr>
          <w:p w14:paraId="5D621D8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0.59</w:t>
            </w:r>
          </w:p>
        </w:tc>
        <w:tc>
          <w:tcPr>
            <w:tcW w:w="616" w:type="dxa"/>
            <w:tcBorders>
              <w:left w:val="single" w:sz="4" w:space="0" w:color="auto"/>
            </w:tcBorders>
            <w:noWrap/>
            <w:vAlign w:val="center"/>
            <w:hideMark/>
          </w:tcPr>
          <w:p w14:paraId="1814097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0.09</w:t>
            </w:r>
          </w:p>
        </w:tc>
        <w:tc>
          <w:tcPr>
            <w:tcW w:w="676" w:type="dxa"/>
            <w:noWrap/>
            <w:vAlign w:val="center"/>
            <w:hideMark/>
          </w:tcPr>
          <w:p w14:paraId="53BC7F1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0.91</w:t>
            </w:r>
          </w:p>
        </w:tc>
      </w:tr>
      <w:tr w:rsidR="001F4DDE" w:rsidRPr="00C85BEF" w14:paraId="3B629C62"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5B3FC42F" w14:textId="77777777" w:rsidR="001F4DDE" w:rsidRPr="00C85BEF" w:rsidRDefault="001F4DDE" w:rsidP="001F4DDE">
            <w:pPr>
              <w:jc w:val="center"/>
              <w:rPr>
                <w:bCs/>
                <w:color w:val="000000"/>
                <w:sz w:val="16"/>
                <w:szCs w:val="16"/>
              </w:rPr>
            </w:pPr>
            <w:r w:rsidRPr="00C85BEF">
              <w:rPr>
                <w:bCs/>
                <w:color w:val="000000"/>
                <w:sz w:val="16"/>
                <w:szCs w:val="16"/>
              </w:rPr>
              <w:t>New Zealand</w:t>
            </w:r>
          </w:p>
        </w:tc>
        <w:tc>
          <w:tcPr>
            <w:tcW w:w="1016" w:type="dxa"/>
            <w:tcBorders>
              <w:top w:val="nil"/>
              <w:bottom w:val="nil"/>
            </w:tcBorders>
            <w:noWrap/>
            <w:vAlign w:val="center"/>
            <w:hideMark/>
          </w:tcPr>
          <w:p w14:paraId="3856381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616" w:type="dxa"/>
            <w:tcBorders>
              <w:top w:val="nil"/>
              <w:bottom w:val="nil"/>
              <w:right w:val="single" w:sz="4" w:space="0" w:color="auto"/>
            </w:tcBorders>
            <w:noWrap/>
            <w:vAlign w:val="center"/>
            <w:hideMark/>
          </w:tcPr>
          <w:p w14:paraId="5EB2705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766" w:type="dxa"/>
            <w:tcBorders>
              <w:top w:val="nil"/>
              <w:left w:val="single" w:sz="4" w:space="0" w:color="auto"/>
              <w:bottom w:val="nil"/>
            </w:tcBorders>
            <w:noWrap/>
            <w:vAlign w:val="center"/>
            <w:hideMark/>
          </w:tcPr>
          <w:p w14:paraId="7E8CBD5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4" w:space="0" w:color="auto"/>
            </w:tcBorders>
            <w:noWrap/>
            <w:vAlign w:val="center"/>
            <w:hideMark/>
          </w:tcPr>
          <w:p w14:paraId="784825C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766" w:type="dxa"/>
            <w:tcBorders>
              <w:top w:val="nil"/>
              <w:left w:val="single" w:sz="4" w:space="0" w:color="auto"/>
              <w:bottom w:val="nil"/>
            </w:tcBorders>
            <w:noWrap/>
            <w:vAlign w:val="center"/>
            <w:hideMark/>
          </w:tcPr>
          <w:p w14:paraId="02DEB45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18" w:space="0" w:color="000000"/>
            </w:tcBorders>
            <w:noWrap/>
            <w:vAlign w:val="center"/>
            <w:hideMark/>
          </w:tcPr>
          <w:p w14:paraId="34B92E1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left w:val="single" w:sz="18" w:space="0" w:color="000000"/>
            </w:tcBorders>
            <w:noWrap/>
            <w:vAlign w:val="center"/>
            <w:hideMark/>
          </w:tcPr>
          <w:p w14:paraId="3F2B1DC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1.59</w:t>
            </w:r>
          </w:p>
        </w:tc>
        <w:tc>
          <w:tcPr>
            <w:tcW w:w="636" w:type="dxa"/>
            <w:tcBorders>
              <w:right w:val="single" w:sz="4" w:space="0" w:color="auto"/>
            </w:tcBorders>
            <w:noWrap/>
            <w:vAlign w:val="center"/>
            <w:hideMark/>
          </w:tcPr>
          <w:p w14:paraId="7423175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0.21</w:t>
            </w:r>
          </w:p>
        </w:tc>
        <w:tc>
          <w:tcPr>
            <w:tcW w:w="766" w:type="dxa"/>
            <w:tcBorders>
              <w:top w:val="nil"/>
              <w:left w:val="single" w:sz="4" w:space="0" w:color="auto"/>
              <w:bottom w:val="nil"/>
            </w:tcBorders>
            <w:noWrap/>
            <w:vAlign w:val="center"/>
            <w:hideMark/>
          </w:tcPr>
          <w:p w14:paraId="0143449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16" w:type="dxa"/>
            <w:tcBorders>
              <w:top w:val="nil"/>
              <w:bottom w:val="nil"/>
              <w:right w:val="single" w:sz="4" w:space="0" w:color="auto"/>
            </w:tcBorders>
            <w:noWrap/>
            <w:vAlign w:val="center"/>
            <w:hideMark/>
          </w:tcPr>
          <w:p w14:paraId="0CAB228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0.12</w:t>
            </w:r>
          </w:p>
        </w:tc>
        <w:tc>
          <w:tcPr>
            <w:tcW w:w="766" w:type="dxa"/>
            <w:tcBorders>
              <w:left w:val="single" w:sz="4" w:space="0" w:color="auto"/>
            </w:tcBorders>
            <w:noWrap/>
            <w:vAlign w:val="center"/>
            <w:hideMark/>
          </w:tcPr>
          <w:p w14:paraId="1C59894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0.55</w:t>
            </w:r>
          </w:p>
        </w:tc>
        <w:tc>
          <w:tcPr>
            <w:tcW w:w="616" w:type="dxa"/>
            <w:tcBorders>
              <w:right w:val="single" w:sz="18" w:space="0" w:color="000000"/>
            </w:tcBorders>
            <w:noWrap/>
            <w:vAlign w:val="center"/>
            <w:hideMark/>
          </w:tcPr>
          <w:p w14:paraId="31F4A9D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0.16</w:t>
            </w:r>
          </w:p>
        </w:tc>
        <w:tc>
          <w:tcPr>
            <w:tcW w:w="766" w:type="dxa"/>
            <w:tcBorders>
              <w:top w:val="nil"/>
              <w:left w:val="single" w:sz="18" w:space="0" w:color="000000"/>
              <w:bottom w:val="nil"/>
            </w:tcBorders>
            <w:noWrap/>
            <w:vAlign w:val="center"/>
            <w:hideMark/>
          </w:tcPr>
          <w:p w14:paraId="1224B06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616" w:type="dxa"/>
            <w:tcBorders>
              <w:top w:val="nil"/>
              <w:bottom w:val="nil"/>
              <w:right w:val="single" w:sz="4" w:space="0" w:color="auto"/>
            </w:tcBorders>
            <w:noWrap/>
            <w:vAlign w:val="center"/>
            <w:hideMark/>
          </w:tcPr>
          <w:p w14:paraId="248F407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26A8A81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4" w:space="0" w:color="auto"/>
            </w:tcBorders>
            <w:noWrap/>
            <w:vAlign w:val="center"/>
            <w:hideMark/>
          </w:tcPr>
          <w:p w14:paraId="2F44C1C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616" w:type="dxa"/>
            <w:tcBorders>
              <w:left w:val="single" w:sz="4" w:space="0" w:color="auto"/>
            </w:tcBorders>
            <w:noWrap/>
            <w:vAlign w:val="center"/>
            <w:hideMark/>
          </w:tcPr>
          <w:p w14:paraId="7BC9A09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0.15</w:t>
            </w:r>
          </w:p>
        </w:tc>
        <w:tc>
          <w:tcPr>
            <w:tcW w:w="676" w:type="dxa"/>
            <w:noWrap/>
            <w:vAlign w:val="center"/>
            <w:hideMark/>
          </w:tcPr>
          <w:p w14:paraId="01231ED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0.86</w:t>
            </w:r>
          </w:p>
        </w:tc>
      </w:tr>
      <w:tr w:rsidR="001F4DDE" w:rsidRPr="00C85BEF" w14:paraId="25686D5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51162E9F" w14:textId="77777777" w:rsidR="001F4DDE" w:rsidRPr="00C85BEF" w:rsidRDefault="001F4DDE" w:rsidP="001F4DDE">
            <w:pPr>
              <w:jc w:val="center"/>
              <w:rPr>
                <w:bCs/>
                <w:color w:val="000000"/>
                <w:sz w:val="16"/>
                <w:szCs w:val="16"/>
              </w:rPr>
            </w:pPr>
            <w:r w:rsidRPr="00C85BEF">
              <w:rPr>
                <w:bCs/>
                <w:color w:val="000000"/>
                <w:sz w:val="16"/>
                <w:szCs w:val="16"/>
              </w:rPr>
              <w:t>Portugal</w:t>
            </w:r>
          </w:p>
        </w:tc>
        <w:tc>
          <w:tcPr>
            <w:tcW w:w="1016" w:type="dxa"/>
            <w:tcBorders>
              <w:top w:val="nil"/>
              <w:bottom w:val="nil"/>
            </w:tcBorders>
            <w:noWrap/>
            <w:vAlign w:val="center"/>
            <w:hideMark/>
          </w:tcPr>
          <w:p w14:paraId="5B0778F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0.08</w:t>
            </w:r>
          </w:p>
        </w:tc>
        <w:tc>
          <w:tcPr>
            <w:tcW w:w="616" w:type="dxa"/>
            <w:tcBorders>
              <w:top w:val="nil"/>
              <w:bottom w:val="nil"/>
              <w:right w:val="single" w:sz="4" w:space="0" w:color="auto"/>
            </w:tcBorders>
            <w:noWrap/>
            <w:vAlign w:val="center"/>
            <w:hideMark/>
          </w:tcPr>
          <w:p w14:paraId="48B817C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top w:val="nil"/>
              <w:left w:val="single" w:sz="4" w:space="0" w:color="auto"/>
              <w:bottom w:val="nil"/>
            </w:tcBorders>
            <w:noWrap/>
            <w:vAlign w:val="center"/>
            <w:hideMark/>
          </w:tcPr>
          <w:p w14:paraId="597455A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616" w:type="dxa"/>
            <w:tcBorders>
              <w:top w:val="nil"/>
              <w:bottom w:val="nil"/>
              <w:right w:val="single" w:sz="4" w:space="0" w:color="auto"/>
            </w:tcBorders>
            <w:noWrap/>
            <w:vAlign w:val="center"/>
            <w:hideMark/>
          </w:tcPr>
          <w:p w14:paraId="5F05C76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c>
          <w:tcPr>
            <w:tcW w:w="766" w:type="dxa"/>
            <w:tcBorders>
              <w:top w:val="nil"/>
              <w:left w:val="single" w:sz="4" w:space="0" w:color="auto"/>
              <w:bottom w:val="nil"/>
            </w:tcBorders>
            <w:noWrap/>
            <w:vAlign w:val="center"/>
            <w:hideMark/>
          </w:tcPr>
          <w:p w14:paraId="7BBF599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616" w:type="dxa"/>
            <w:tcBorders>
              <w:top w:val="nil"/>
              <w:bottom w:val="nil"/>
              <w:right w:val="single" w:sz="18" w:space="0" w:color="000000"/>
            </w:tcBorders>
            <w:noWrap/>
            <w:vAlign w:val="center"/>
            <w:hideMark/>
          </w:tcPr>
          <w:p w14:paraId="76DCBEE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c>
          <w:tcPr>
            <w:tcW w:w="766" w:type="dxa"/>
            <w:tcBorders>
              <w:left w:val="single" w:sz="18" w:space="0" w:color="000000"/>
            </w:tcBorders>
            <w:noWrap/>
            <w:vAlign w:val="center"/>
            <w:hideMark/>
          </w:tcPr>
          <w:p w14:paraId="0D94CE6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36" w:type="dxa"/>
            <w:tcBorders>
              <w:right w:val="single" w:sz="4" w:space="0" w:color="auto"/>
            </w:tcBorders>
            <w:noWrap/>
            <w:vAlign w:val="center"/>
            <w:hideMark/>
          </w:tcPr>
          <w:p w14:paraId="20BE421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top w:val="nil"/>
              <w:left w:val="single" w:sz="4" w:space="0" w:color="auto"/>
              <w:bottom w:val="nil"/>
            </w:tcBorders>
            <w:noWrap/>
            <w:vAlign w:val="center"/>
            <w:hideMark/>
          </w:tcPr>
          <w:p w14:paraId="3DF9766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4.04</w:t>
            </w:r>
          </w:p>
        </w:tc>
        <w:tc>
          <w:tcPr>
            <w:tcW w:w="616" w:type="dxa"/>
            <w:tcBorders>
              <w:top w:val="nil"/>
              <w:bottom w:val="nil"/>
              <w:right w:val="single" w:sz="4" w:space="0" w:color="auto"/>
            </w:tcBorders>
            <w:noWrap/>
            <w:vAlign w:val="center"/>
            <w:hideMark/>
          </w:tcPr>
          <w:p w14:paraId="2640C47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0.02</w:t>
            </w:r>
          </w:p>
        </w:tc>
        <w:tc>
          <w:tcPr>
            <w:tcW w:w="766" w:type="dxa"/>
            <w:tcBorders>
              <w:left w:val="single" w:sz="4" w:space="0" w:color="auto"/>
            </w:tcBorders>
            <w:noWrap/>
            <w:vAlign w:val="center"/>
            <w:hideMark/>
          </w:tcPr>
          <w:p w14:paraId="1DBD915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16" w:type="dxa"/>
            <w:tcBorders>
              <w:right w:val="single" w:sz="18" w:space="0" w:color="000000"/>
            </w:tcBorders>
            <w:noWrap/>
            <w:vAlign w:val="center"/>
            <w:hideMark/>
          </w:tcPr>
          <w:p w14:paraId="0C7CE84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0.12</w:t>
            </w:r>
          </w:p>
        </w:tc>
        <w:tc>
          <w:tcPr>
            <w:tcW w:w="766" w:type="dxa"/>
            <w:tcBorders>
              <w:top w:val="nil"/>
              <w:left w:val="single" w:sz="18" w:space="0" w:color="000000"/>
              <w:bottom w:val="nil"/>
            </w:tcBorders>
            <w:noWrap/>
            <w:vAlign w:val="center"/>
            <w:hideMark/>
          </w:tcPr>
          <w:p w14:paraId="2EE8D94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0.61</w:t>
            </w:r>
          </w:p>
        </w:tc>
        <w:tc>
          <w:tcPr>
            <w:tcW w:w="616" w:type="dxa"/>
            <w:tcBorders>
              <w:top w:val="nil"/>
              <w:bottom w:val="nil"/>
              <w:right w:val="single" w:sz="4" w:space="0" w:color="auto"/>
            </w:tcBorders>
            <w:noWrap/>
            <w:vAlign w:val="center"/>
            <w:hideMark/>
          </w:tcPr>
          <w:p w14:paraId="35E4EDB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0.55</w:t>
            </w:r>
          </w:p>
        </w:tc>
        <w:tc>
          <w:tcPr>
            <w:tcW w:w="766" w:type="dxa"/>
            <w:tcBorders>
              <w:top w:val="nil"/>
              <w:left w:val="single" w:sz="4" w:space="0" w:color="auto"/>
              <w:bottom w:val="nil"/>
            </w:tcBorders>
            <w:noWrap/>
            <w:vAlign w:val="center"/>
            <w:hideMark/>
          </w:tcPr>
          <w:p w14:paraId="2A8116D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0.28</w:t>
            </w:r>
          </w:p>
        </w:tc>
        <w:tc>
          <w:tcPr>
            <w:tcW w:w="616" w:type="dxa"/>
            <w:tcBorders>
              <w:top w:val="nil"/>
              <w:bottom w:val="nil"/>
              <w:right w:val="single" w:sz="4" w:space="0" w:color="auto"/>
            </w:tcBorders>
            <w:noWrap/>
            <w:vAlign w:val="center"/>
            <w:hideMark/>
          </w:tcPr>
          <w:p w14:paraId="355541B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0.74</w:t>
            </w:r>
          </w:p>
        </w:tc>
        <w:tc>
          <w:tcPr>
            <w:tcW w:w="616" w:type="dxa"/>
            <w:tcBorders>
              <w:left w:val="single" w:sz="4" w:space="0" w:color="auto"/>
            </w:tcBorders>
            <w:noWrap/>
            <w:vAlign w:val="center"/>
            <w:hideMark/>
          </w:tcPr>
          <w:p w14:paraId="22C7EC7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0.44</w:t>
            </w:r>
          </w:p>
        </w:tc>
        <w:tc>
          <w:tcPr>
            <w:tcW w:w="676" w:type="dxa"/>
            <w:noWrap/>
            <w:vAlign w:val="center"/>
            <w:hideMark/>
          </w:tcPr>
          <w:p w14:paraId="6AC868C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0.63</w:t>
            </w:r>
          </w:p>
        </w:tc>
      </w:tr>
      <w:tr w:rsidR="001F4DDE" w:rsidRPr="00C85BEF" w14:paraId="06EA8D1D"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323679CB" w14:textId="77777777" w:rsidR="001F4DDE" w:rsidRPr="00C85BEF" w:rsidRDefault="001F4DDE" w:rsidP="001F4DDE">
            <w:pPr>
              <w:jc w:val="center"/>
              <w:rPr>
                <w:bCs/>
                <w:color w:val="000000"/>
                <w:sz w:val="16"/>
                <w:szCs w:val="16"/>
              </w:rPr>
            </w:pPr>
            <w:r w:rsidRPr="00C85BEF">
              <w:rPr>
                <w:bCs/>
                <w:color w:val="000000"/>
                <w:sz w:val="16"/>
                <w:szCs w:val="16"/>
              </w:rPr>
              <w:t>Singapore</w:t>
            </w:r>
          </w:p>
        </w:tc>
        <w:tc>
          <w:tcPr>
            <w:tcW w:w="1016" w:type="dxa"/>
            <w:tcBorders>
              <w:top w:val="nil"/>
              <w:bottom w:val="nil"/>
            </w:tcBorders>
            <w:noWrap/>
            <w:vAlign w:val="center"/>
            <w:hideMark/>
          </w:tcPr>
          <w:p w14:paraId="6EEB318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0.38</w:t>
            </w:r>
          </w:p>
        </w:tc>
        <w:tc>
          <w:tcPr>
            <w:tcW w:w="616" w:type="dxa"/>
            <w:tcBorders>
              <w:top w:val="nil"/>
              <w:bottom w:val="nil"/>
              <w:right w:val="single" w:sz="4" w:space="0" w:color="auto"/>
            </w:tcBorders>
            <w:noWrap/>
            <w:vAlign w:val="center"/>
            <w:hideMark/>
          </w:tcPr>
          <w:p w14:paraId="4FD78DD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0.68</w:t>
            </w:r>
          </w:p>
        </w:tc>
        <w:tc>
          <w:tcPr>
            <w:tcW w:w="766" w:type="dxa"/>
            <w:tcBorders>
              <w:top w:val="nil"/>
              <w:left w:val="single" w:sz="4" w:space="0" w:color="auto"/>
              <w:bottom w:val="nil"/>
            </w:tcBorders>
            <w:noWrap/>
            <w:vAlign w:val="center"/>
            <w:hideMark/>
          </w:tcPr>
          <w:p w14:paraId="1B683DF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0.45</w:t>
            </w:r>
          </w:p>
        </w:tc>
        <w:tc>
          <w:tcPr>
            <w:tcW w:w="616" w:type="dxa"/>
            <w:tcBorders>
              <w:top w:val="nil"/>
              <w:bottom w:val="nil"/>
              <w:right w:val="single" w:sz="4" w:space="0" w:color="auto"/>
            </w:tcBorders>
            <w:noWrap/>
            <w:vAlign w:val="center"/>
            <w:hideMark/>
          </w:tcPr>
          <w:p w14:paraId="091D87D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0.61</w:t>
            </w:r>
          </w:p>
        </w:tc>
        <w:tc>
          <w:tcPr>
            <w:tcW w:w="766" w:type="dxa"/>
            <w:tcBorders>
              <w:top w:val="nil"/>
              <w:left w:val="single" w:sz="4" w:space="0" w:color="auto"/>
              <w:bottom w:val="nil"/>
            </w:tcBorders>
            <w:noWrap/>
            <w:vAlign w:val="center"/>
            <w:hideMark/>
          </w:tcPr>
          <w:p w14:paraId="4CF21B6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0.26</w:t>
            </w:r>
          </w:p>
        </w:tc>
        <w:tc>
          <w:tcPr>
            <w:tcW w:w="616" w:type="dxa"/>
            <w:tcBorders>
              <w:top w:val="nil"/>
              <w:bottom w:val="nil"/>
              <w:right w:val="single" w:sz="18" w:space="0" w:color="000000"/>
            </w:tcBorders>
            <w:noWrap/>
            <w:vAlign w:val="center"/>
            <w:hideMark/>
          </w:tcPr>
          <w:p w14:paraId="7F120A6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0.77</w:t>
            </w:r>
          </w:p>
        </w:tc>
        <w:tc>
          <w:tcPr>
            <w:tcW w:w="766" w:type="dxa"/>
            <w:tcBorders>
              <w:left w:val="single" w:sz="18" w:space="0" w:color="000000"/>
            </w:tcBorders>
            <w:noWrap/>
            <w:vAlign w:val="center"/>
            <w:hideMark/>
          </w:tcPr>
          <w:p w14:paraId="7225A5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36" w:type="dxa"/>
            <w:tcBorders>
              <w:right w:val="single" w:sz="4" w:space="0" w:color="auto"/>
            </w:tcBorders>
            <w:noWrap/>
            <w:vAlign w:val="center"/>
            <w:hideMark/>
          </w:tcPr>
          <w:p w14:paraId="294DCD0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top w:val="nil"/>
              <w:left w:val="single" w:sz="4" w:space="0" w:color="auto"/>
              <w:bottom w:val="nil"/>
            </w:tcBorders>
            <w:noWrap/>
            <w:vAlign w:val="center"/>
            <w:hideMark/>
          </w:tcPr>
          <w:p w14:paraId="28BE2F5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0.56</w:t>
            </w:r>
          </w:p>
        </w:tc>
        <w:tc>
          <w:tcPr>
            <w:tcW w:w="616" w:type="dxa"/>
            <w:tcBorders>
              <w:top w:val="nil"/>
              <w:bottom w:val="nil"/>
              <w:right w:val="single" w:sz="4" w:space="0" w:color="auto"/>
            </w:tcBorders>
            <w:noWrap/>
            <w:vAlign w:val="center"/>
            <w:hideMark/>
          </w:tcPr>
          <w:p w14:paraId="232A511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766" w:type="dxa"/>
            <w:tcBorders>
              <w:left w:val="single" w:sz="4" w:space="0" w:color="auto"/>
            </w:tcBorders>
            <w:noWrap/>
            <w:vAlign w:val="center"/>
            <w:hideMark/>
          </w:tcPr>
          <w:p w14:paraId="2975428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0.68</w:t>
            </w:r>
          </w:p>
        </w:tc>
        <w:tc>
          <w:tcPr>
            <w:tcW w:w="616" w:type="dxa"/>
            <w:tcBorders>
              <w:right w:val="single" w:sz="18" w:space="0" w:color="000000"/>
            </w:tcBorders>
            <w:noWrap/>
            <w:vAlign w:val="center"/>
            <w:hideMark/>
          </w:tcPr>
          <w:p w14:paraId="128551B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0.50</w:t>
            </w:r>
          </w:p>
        </w:tc>
        <w:tc>
          <w:tcPr>
            <w:tcW w:w="766" w:type="dxa"/>
            <w:tcBorders>
              <w:top w:val="nil"/>
              <w:left w:val="single" w:sz="18" w:space="0" w:color="000000"/>
              <w:bottom w:val="nil"/>
            </w:tcBorders>
            <w:noWrap/>
            <w:vAlign w:val="center"/>
            <w:hideMark/>
          </w:tcPr>
          <w:p w14:paraId="1F9BAC5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4" w:space="0" w:color="auto"/>
            </w:tcBorders>
            <w:noWrap/>
            <w:vAlign w:val="center"/>
            <w:hideMark/>
          </w:tcPr>
          <w:p w14:paraId="322EA86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4" w:space="0" w:color="auto"/>
              <w:bottom w:val="nil"/>
            </w:tcBorders>
            <w:noWrap/>
            <w:vAlign w:val="center"/>
            <w:hideMark/>
          </w:tcPr>
          <w:p w14:paraId="42FF060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4" w:space="0" w:color="auto"/>
            </w:tcBorders>
            <w:noWrap/>
            <w:vAlign w:val="center"/>
            <w:hideMark/>
          </w:tcPr>
          <w:p w14:paraId="4C97247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616" w:type="dxa"/>
            <w:tcBorders>
              <w:left w:val="single" w:sz="4" w:space="0" w:color="auto"/>
            </w:tcBorders>
            <w:noWrap/>
            <w:vAlign w:val="center"/>
            <w:hideMark/>
          </w:tcPr>
          <w:p w14:paraId="5D5FC97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0.23</w:t>
            </w:r>
          </w:p>
        </w:tc>
        <w:tc>
          <w:tcPr>
            <w:tcW w:w="676" w:type="dxa"/>
            <w:noWrap/>
            <w:vAlign w:val="center"/>
            <w:hideMark/>
          </w:tcPr>
          <w:p w14:paraId="3EC0D65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0.79</w:t>
            </w:r>
          </w:p>
        </w:tc>
      </w:tr>
      <w:tr w:rsidR="001F4DDE" w:rsidRPr="00C85BEF" w14:paraId="2E80415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6F34410A" w14:textId="77777777" w:rsidR="001F4DDE" w:rsidRPr="00C85BEF" w:rsidRDefault="001F4DDE" w:rsidP="001F4DDE">
            <w:pPr>
              <w:jc w:val="center"/>
              <w:rPr>
                <w:bCs/>
                <w:color w:val="000000"/>
                <w:sz w:val="16"/>
                <w:szCs w:val="16"/>
              </w:rPr>
            </w:pPr>
            <w:r w:rsidRPr="00C85BEF">
              <w:rPr>
                <w:bCs/>
                <w:color w:val="000000"/>
                <w:sz w:val="16"/>
                <w:szCs w:val="16"/>
              </w:rPr>
              <w:t>Spain</w:t>
            </w:r>
          </w:p>
        </w:tc>
        <w:tc>
          <w:tcPr>
            <w:tcW w:w="1016" w:type="dxa"/>
            <w:tcBorders>
              <w:top w:val="nil"/>
              <w:bottom w:val="nil"/>
            </w:tcBorders>
            <w:noWrap/>
            <w:vAlign w:val="center"/>
            <w:hideMark/>
          </w:tcPr>
          <w:p w14:paraId="42AFFC9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0.28</w:t>
            </w:r>
          </w:p>
        </w:tc>
        <w:tc>
          <w:tcPr>
            <w:tcW w:w="616" w:type="dxa"/>
            <w:tcBorders>
              <w:top w:val="nil"/>
              <w:bottom w:val="nil"/>
              <w:right w:val="single" w:sz="4" w:space="0" w:color="auto"/>
            </w:tcBorders>
            <w:noWrap/>
            <w:vAlign w:val="center"/>
            <w:hideMark/>
          </w:tcPr>
          <w:p w14:paraId="747B071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0.75</w:t>
            </w:r>
          </w:p>
        </w:tc>
        <w:tc>
          <w:tcPr>
            <w:tcW w:w="766" w:type="dxa"/>
            <w:tcBorders>
              <w:top w:val="nil"/>
              <w:left w:val="single" w:sz="4" w:space="0" w:color="auto"/>
              <w:bottom w:val="nil"/>
            </w:tcBorders>
            <w:noWrap/>
            <w:vAlign w:val="center"/>
            <w:hideMark/>
          </w:tcPr>
          <w:p w14:paraId="2ECC31C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0.38</w:t>
            </w:r>
          </w:p>
        </w:tc>
        <w:tc>
          <w:tcPr>
            <w:tcW w:w="616" w:type="dxa"/>
            <w:tcBorders>
              <w:top w:val="nil"/>
              <w:bottom w:val="nil"/>
              <w:right w:val="single" w:sz="4" w:space="0" w:color="auto"/>
            </w:tcBorders>
            <w:noWrap/>
            <w:vAlign w:val="center"/>
            <w:hideMark/>
          </w:tcPr>
          <w:p w14:paraId="6A9EAE7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0.65</w:t>
            </w:r>
          </w:p>
        </w:tc>
        <w:tc>
          <w:tcPr>
            <w:tcW w:w="766" w:type="dxa"/>
            <w:tcBorders>
              <w:top w:val="nil"/>
              <w:left w:val="single" w:sz="4" w:space="0" w:color="auto"/>
              <w:bottom w:val="nil"/>
            </w:tcBorders>
            <w:noWrap/>
            <w:vAlign w:val="center"/>
            <w:hideMark/>
          </w:tcPr>
          <w:p w14:paraId="649882F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0.26</w:t>
            </w:r>
          </w:p>
        </w:tc>
        <w:tc>
          <w:tcPr>
            <w:tcW w:w="616" w:type="dxa"/>
            <w:tcBorders>
              <w:top w:val="nil"/>
              <w:bottom w:val="nil"/>
              <w:right w:val="single" w:sz="18" w:space="0" w:color="000000"/>
            </w:tcBorders>
            <w:noWrap/>
            <w:vAlign w:val="center"/>
            <w:hideMark/>
          </w:tcPr>
          <w:p w14:paraId="49E444B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0.77</w:t>
            </w:r>
          </w:p>
        </w:tc>
        <w:tc>
          <w:tcPr>
            <w:tcW w:w="766" w:type="dxa"/>
            <w:tcBorders>
              <w:left w:val="single" w:sz="18" w:space="0" w:color="000000"/>
            </w:tcBorders>
            <w:noWrap/>
            <w:vAlign w:val="center"/>
            <w:hideMark/>
          </w:tcPr>
          <w:p w14:paraId="552D39A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4.80</w:t>
            </w:r>
          </w:p>
        </w:tc>
        <w:tc>
          <w:tcPr>
            <w:tcW w:w="636" w:type="dxa"/>
            <w:tcBorders>
              <w:right w:val="single" w:sz="4" w:space="0" w:color="auto"/>
            </w:tcBorders>
            <w:noWrap/>
            <w:vAlign w:val="center"/>
            <w:hideMark/>
          </w:tcPr>
          <w:p w14:paraId="4308E02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766" w:type="dxa"/>
            <w:tcBorders>
              <w:top w:val="nil"/>
              <w:left w:val="single" w:sz="4" w:space="0" w:color="auto"/>
              <w:bottom w:val="nil"/>
            </w:tcBorders>
            <w:noWrap/>
            <w:vAlign w:val="center"/>
            <w:hideMark/>
          </w:tcPr>
          <w:p w14:paraId="468D26D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16" w:type="dxa"/>
            <w:tcBorders>
              <w:top w:val="nil"/>
              <w:bottom w:val="nil"/>
              <w:right w:val="single" w:sz="4" w:space="0" w:color="auto"/>
            </w:tcBorders>
            <w:noWrap/>
            <w:vAlign w:val="center"/>
            <w:hideMark/>
          </w:tcPr>
          <w:p w14:paraId="3018EA8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left w:val="single" w:sz="4" w:space="0" w:color="auto"/>
            </w:tcBorders>
            <w:noWrap/>
            <w:vAlign w:val="center"/>
            <w:hideMark/>
          </w:tcPr>
          <w:p w14:paraId="46EA8C7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0.79</w:t>
            </w:r>
          </w:p>
        </w:tc>
        <w:tc>
          <w:tcPr>
            <w:tcW w:w="616" w:type="dxa"/>
            <w:tcBorders>
              <w:right w:val="single" w:sz="18" w:space="0" w:color="000000"/>
            </w:tcBorders>
            <w:noWrap/>
            <w:vAlign w:val="center"/>
            <w:hideMark/>
          </w:tcPr>
          <w:p w14:paraId="2F1AC2D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0.45</w:t>
            </w:r>
          </w:p>
        </w:tc>
        <w:tc>
          <w:tcPr>
            <w:tcW w:w="766" w:type="dxa"/>
            <w:tcBorders>
              <w:top w:val="nil"/>
              <w:left w:val="single" w:sz="18" w:space="0" w:color="000000"/>
              <w:bottom w:val="nil"/>
            </w:tcBorders>
            <w:noWrap/>
            <w:vAlign w:val="center"/>
            <w:hideMark/>
          </w:tcPr>
          <w:p w14:paraId="30B25CC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0.12</w:t>
            </w:r>
          </w:p>
        </w:tc>
        <w:tc>
          <w:tcPr>
            <w:tcW w:w="616" w:type="dxa"/>
            <w:tcBorders>
              <w:top w:val="nil"/>
              <w:bottom w:val="nil"/>
              <w:right w:val="single" w:sz="4" w:space="0" w:color="auto"/>
            </w:tcBorders>
            <w:noWrap/>
            <w:vAlign w:val="center"/>
            <w:hideMark/>
          </w:tcPr>
          <w:p w14:paraId="459DCC2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0.88</w:t>
            </w:r>
          </w:p>
        </w:tc>
        <w:tc>
          <w:tcPr>
            <w:tcW w:w="766" w:type="dxa"/>
            <w:tcBorders>
              <w:top w:val="nil"/>
              <w:left w:val="single" w:sz="4" w:space="0" w:color="auto"/>
              <w:bottom w:val="nil"/>
            </w:tcBorders>
            <w:noWrap/>
            <w:vAlign w:val="center"/>
            <w:hideMark/>
          </w:tcPr>
          <w:p w14:paraId="51ADE52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0.11</w:t>
            </w:r>
          </w:p>
        </w:tc>
        <w:tc>
          <w:tcPr>
            <w:tcW w:w="616" w:type="dxa"/>
            <w:tcBorders>
              <w:top w:val="nil"/>
              <w:bottom w:val="nil"/>
              <w:right w:val="single" w:sz="4" w:space="0" w:color="auto"/>
            </w:tcBorders>
            <w:noWrap/>
            <w:vAlign w:val="center"/>
            <w:hideMark/>
          </w:tcPr>
          <w:p w14:paraId="173D2C7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0.89</w:t>
            </w:r>
          </w:p>
        </w:tc>
        <w:tc>
          <w:tcPr>
            <w:tcW w:w="616" w:type="dxa"/>
            <w:tcBorders>
              <w:left w:val="single" w:sz="4" w:space="0" w:color="auto"/>
            </w:tcBorders>
            <w:noWrap/>
            <w:vAlign w:val="center"/>
            <w:hideMark/>
          </w:tcPr>
          <w:p w14:paraId="20DE96A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76" w:type="dxa"/>
            <w:noWrap/>
            <w:vAlign w:val="center"/>
            <w:hideMark/>
          </w:tcPr>
          <w:p w14:paraId="1646A04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r>
      <w:tr w:rsidR="001F4DDE" w:rsidRPr="00C85BEF" w14:paraId="1704A125"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0957E6F3" w14:textId="77777777" w:rsidR="001F4DDE" w:rsidRPr="00C85BEF" w:rsidRDefault="001F4DDE" w:rsidP="001F4DDE">
            <w:pPr>
              <w:jc w:val="center"/>
              <w:rPr>
                <w:bCs/>
                <w:color w:val="000000"/>
                <w:sz w:val="16"/>
                <w:szCs w:val="16"/>
              </w:rPr>
            </w:pPr>
            <w:r w:rsidRPr="00C85BEF">
              <w:rPr>
                <w:bCs/>
                <w:color w:val="000000"/>
                <w:sz w:val="16"/>
                <w:szCs w:val="16"/>
              </w:rPr>
              <w:t>Sweden</w:t>
            </w:r>
          </w:p>
        </w:tc>
        <w:tc>
          <w:tcPr>
            <w:tcW w:w="1016" w:type="dxa"/>
            <w:tcBorders>
              <w:top w:val="nil"/>
              <w:bottom w:val="nil"/>
            </w:tcBorders>
            <w:noWrap/>
            <w:vAlign w:val="center"/>
            <w:hideMark/>
          </w:tcPr>
          <w:p w14:paraId="0C43B62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4" w:space="0" w:color="auto"/>
            </w:tcBorders>
            <w:noWrap/>
            <w:vAlign w:val="center"/>
            <w:hideMark/>
          </w:tcPr>
          <w:p w14:paraId="1CB06AD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4" w:space="0" w:color="auto"/>
              <w:bottom w:val="nil"/>
            </w:tcBorders>
            <w:noWrap/>
            <w:vAlign w:val="center"/>
            <w:hideMark/>
          </w:tcPr>
          <w:p w14:paraId="36FE633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616" w:type="dxa"/>
            <w:tcBorders>
              <w:top w:val="nil"/>
              <w:bottom w:val="nil"/>
              <w:right w:val="single" w:sz="4" w:space="0" w:color="auto"/>
            </w:tcBorders>
            <w:noWrap/>
            <w:vAlign w:val="center"/>
            <w:hideMark/>
          </w:tcPr>
          <w:p w14:paraId="5830EA8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67A31E8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616" w:type="dxa"/>
            <w:tcBorders>
              <w:top w:val="nil"/>
              <w:bottom w:val="nil"/>
              <w:right w:val="single" w:sz="18" w:space="0" w:color="000000"/>
            </w:tcBorders>
            <w:noWrap/>
            <w:vAlign w:val="center"/>
            <w:hideMark/>
          </w:tcPr>
          <w:p w14:paraId="77D806A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c>
          <w:tcPr>
            <w:tcW w:w="766" w:type="dxa"/>
            <w:tcBorders>
              <w:left w:val="single" w:sz="18" w:space="0" w:color="000000"/>
            </w:tcBorders>
            <w:noWrap/>
            <w:vAlign w:val="center"/>
            <w:hideMark/>
          </w:tcPr>
          <w:p w14:paraId="3584F39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2.28</w:t>
            </w:r>
          </w:p>
        </w:tc>
        <w:tc>
          <w:tcPr>
            <w:tcW w:w="636" w:type="dxa"/>
            <w:tcBorders>
              <w:right w:val="single" w:sz="4" w:space="0" w:color="auto"/>
            </w:tcBorders>
            <w:noWrap/>
            <w:vAlign w:val="center"/>
            <w:hideMark/>
          </w:tcPr>
          <w:p w14:paraId="4880B78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766" w:type="dxa"/>
            <w:tcBorders>
              <w:top w:val="nil"/>
              <w:left w:val="single" w:sz="4" w:space="0" w:color="auto"/>
              <w:bottom w:val="nil"/>
            </w:tcBorders>
            <w:noWrap/>
            <w:vAlign w:val="center"/>
            <w:hideMark/>
          </w:tcPr>
          <w:p w14:paraId="0D0E66B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0.55</w:t>
            </w:r>
          </w:p>
        </w:tc>
        <w:tc>
          <w:tcPr>
            <w:tcW w:w="616" w:type="dxa"/>
            <w:tcBorders>
              <w:top w:val="nil"/>
              <w:bottom w:val="nil"/>
              <w:right w:val="single" w:sz="4" w:space="0" w:color="auto"/>
            </w:tcBorders>
            <w:noWrap/>
            <w:vAlign w:val="center"/>
            <w:hideMark/>
          </w:tcPr>
          <w:p w14:paraId="7C86CFF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0.16</w:t>
            </w:r>
          </w:p>
        </w:tc>
        <w:tc>
          <w:tcPr>
            <w:tcW w:w="766" w:type="dxa"/>
            <w:tcBorders>
              <w:left w:val="single" w:sz="4" w:space="0" w:color="auto"/>
            </w:tcBorders>
            <w:noWrap/>
            <w:vAlign w:val="center"/>
            <w:hideMark/>
          </w:tcPr>
          <w:p w14:paraId="5AE643D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1.23</w:t>
            </w:r>
          </w:p>
        </w:tc>
        <w:tc>
          <w:tcPr>
            <w:tcW w:w="616" w:type="dxa"/>
            <w:tcBorders>
              <w:right w:val="single" w:sz="18" w:space="0" w:color="000000"/>
            </w:tcBorders>
            <w:noWrap/>
            <w:vAlign w:val="center"/>
            <w:hideMark/>
          </w:tcPr>
          <w:p w14:paraId="4EC5D05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0.29</w:t>
            </w:r>
          </w:p>
        </w:tc>
        <w:tc>
          <w:tcPr>
            <w:tcW w:w="766" w:type="dxa"/>
            <w:tcBorders>
              <w:top w:val="nil"/>
              <w:left w:val="single" w:sz="18" w:space="0" w:color="000000"/>
              <w:bottom w:val="nil"/>
            </w:tcBorders>
            <w:noWrap/>
            <w:vAlign w:val="center"/>
            <w:hideMark/>
          </w:tcPr>
          <w:p w14:paraId="15D6AB1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0.18</w:t>
            </w:r>
          </w:p>
        </w:tc>
        <w:tc>
          <w:tcPr>
            <w:tcW w:w="616" w:type="dxa"/>
            <w:tcBorders>
              <w:top w:val="nil"/>
              <w:bottom w:val="nil"/>
              <w:right w:val="single" w:sz="4" w:space="0" w:color="auto"/>
            </w:tcBorders>
            <w:noWrap/>
            <w:vAlign w:val="center"/>
            <w:hideMark/>
          </w:tcPr>
          <w:p w14:paraId="676F6DF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0.84</w:t>
            </w:r>
          </w:p>
        </w:tc>
        <w:tc>
          <w:tcPr>
            <w:tcW w:w="766" w:type="dxa"/>
            <w:tcBorders>
              <w:top w:val="nil"/>
              <w:left w:val="single" w:sz="4" w:space="0" w:color="auto"/>
              <w:bottom w:val="nil"/>
            </w:tcBorders>
            <w:noWrap/>
            <w:vAlign w:val="center"/>
            <w:hideMark/>
          </w:tcPr>
          <w:p w14:paraId="38DBB02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616" w:type="dxa"/>
            <w:tcBorders>
              <w:top w:val="nil"/>
              <w:bottom w:val="nil"/>
              <w:right w:val="single" w:sz="4" w:space="0" w:color="auto"/>
            </w:tcBorders>
            <w:noWrap/>
            <w:vAlign w:val="center"/>
            <w:hideMark/>
          </w:tcPr>
          <w:p w14:paraId="5F01537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616" w:type="dxa"/>
            <w:tcBorders>
              <w:left w:val="single" w:sz="4" w:space="0" w:color="auto"/>
            </w:tcBorders>
            <w:noWrap/>
            <w:vAlign w:val="center"/>
            <w:hideMark/>
          </w:tcPr>
          <w:p w14:paraId="50EC7FE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676" w:type="dxa"/>
            <w:noWrap/>
            <w:vAlign w:val="center"/>
            <w:hideMark/>
          </w:tcPr>
          <w:p w14:paraId="1BF4BD0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0.89</w:t>
            </w:r>
          </w:p>
        </w:tc>
      </w:tr>
      <w:tr w:rsidR="001F4DDE" w:rsidRPr="00C85BEF" w14:paraId="76DF50C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27A6B5A0" w14:textId="77777777" w:rsidR="001F4DDE" w:rsidRPr="00C85BEF" w:rsidRDefault="001F4DDE" w:rsidP="001F4DDE">
            <w:pPr>
              <w:jc w:val="center"/>
              <w:rPr>
                <w:bCs/>
                <w:color w:val="000000"/>
                <w:sz w:val="16"/>
                <w:szCs w:val="16"/>
              </w:rPr>
            </w:pPr>
            <w:r w:rsidRPr="00C85BEF">
              <w:rPr>
                <w:bCs/>
                <w:color w:val="000000"/>
                <w:sz w:val="16"/>
                <w:szCs w:val="16"/>
              </w:rPr>
              <w:t>Switzerland</w:t>
            </w:r>
          </w:p>
        </w:tc>
        <w:tc>
          <w:tcPr>
            <w:tcW w:w="1016" w:type="dxa"/>
            <w:tcBorders>
              <w:top w:val="nil"/>
              <w:bottom w:val="nil"/>
            </w:tcBorders>
            <w:noWrap/>
            <w:vAlign w:val="center"/>
            <w:hideMark/>
          </w:tcPr>
          <w:p w14:paraId="419282E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0.05</w:t>
            </w:r>
          </w:p>
        </w:tc>
        <w:tc>
          <w:tcPr>
            <w:tcW w:w="616" w:type="dxa"/>
            <w:tcBorders>
              <w:top w:val="nil"/>
              <w:bottom w:val="nil"/>
              <w:right w:val="single" w:sz="4" w:space="0" w:color="auto"/>
            </w:tcBorders>
            <w:noWrap/>
            <w:vAlign w:val="center"/>
            <w:hideMark/>
          </w:tcPr>
          <w:p w14:paraId="2CB4D8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top w:val="nil"/>
              <w:left w:val="single" w:sz="4" w:space="0" w:color="auto"/>
              <w:bottom w:val="nil"/>
            </w:tcBorders>
            <w:noWrap/>
            <w:vAlign w:val="center"/>
            <w:hideMark/>
          </w:tcPr>
          <w:p w14:paraId="30E52E2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616" w:type="dxa"/>
            <w:tcBorders>
              <w:top w:val="nil"/>
              <w:bottom w:val="nil"/>
              <w:right w:val="single" w:sz="4" w:space="0" w:color="auto"/>
            </w:tcBorders>
            <w:noWrap/>
            <w:vAlign w:val="center"/>
            <w:hideMark/>
          </w:tcPr>
          <w:p w14:paraId="63289B8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top w:val="nil"/>
              <w:left w:val="single" w:sz="4" w:space="0" w:color="auto"/>
              <w:bottom w:val="nil"/>
            </w:tcBorders>
            <w:noWrap/>
            <w:vAlign w:val="center"/>
            <w:hideMark/>
          </w:tcPr>
          <w:p w14:paraId="27E48D6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0.12</w:t>
            </w:r>
          </w:p>
        </w:tc>
        <w:tc>
          <w:tcPr>
            <w:tcW w:w="616" w:type="dxa"/>
            <w:tcBorders>
              <w:top w:val="nil"/>
              <w:bottom w:val="nil"/>
              <w:right w:val="single" w:sz="18" w:space="0" w:color="000000"/>
            </w:tcBorders>
            <w:noWrap/>
            <w:vAlign w:val="center"/>
            <w:hideMark/>
          </w:tcPr>
          <w:p w14:paraId="0612453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0.88</w:t>
            </w:r>
          </w:p>
        </w:tc>
        <w:tc>
          <w:tcPr>
            <w:tcW w:w="766" w:type="dxa"/>
            <w:tcBorders>
              <w:left w:val="single" w:sz="18" w:space="0" w:color="000000"/>
            </w:tcBorders>
            <w:noWrap/>
            <w:vAlign w:val="center"/>
            <w:hideMark/>
          </w:tcPr>
          <w:p w14:paraId="05F65F2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1.04</w:t>
            </w:r>
          </w:p>
        </w:tc>
        <w:tc>
          <w:tcPr>
            <w:tcW w:w="636" w:type="dxa"/>
            <w:tcBorders>
              <w:right w:val="single" w:sz="4" w:space="0" w:color="auto"/>
            </w:tcBorders>
            <w:noWrap/>
            <w:vAlign w:val="center"/>
            <w:hideMark/>
          </w:tcPr>
          <w:p w14:paraId="57ACD43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0.35</w:t>
            </w:r>
          </w:p>
        </w:tc>
        <w:tc>
          <w:tcPr>
            <w:tcW w:w="766" w:type="dxa"/>
            <w:tcBorders>
              <w:top w:val="nil"/>
              <w:left w:val="single" w:sz="4" w:space="0" w:color="auto"/>
              <w:bottom w:val="nil"/>
            </w:tcBorders>
            <w:noWrap/>
            <w:vAlign w:val="center"/>
            <w:hideMark/>
          </w:tcPr>
          <w:p w14:paraId="1C55867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2.44</w:t>
            </w:r>
          </w:p>
        </w:tc>
        <w:tc>
          <w:tcPr>
            <w:tcW w:w="616" w:type="dxa"/>
            <w:tcBorders>
              <w:top w:val="nil"/>
              <w:bottom w:val="nil"/>
              <w:right w:val="single" w:sz="4" w:space="0" w:color="auto"/>
            </w:tcBorders>
            <w:noWrap/>
            <w:vAlign w:val="center"/>
            <w:hideMark/>
          </w:tcPr>
          <w:p w14:paraId="18153AB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0.09</w:t>
            </w:r>
          </w:p>
        </w:tc>
        <w:tc>
          <w:tcPr>
            <w:tcW w:w="766" w:type="dxa"/>
            <w:tcBorders>
              <w:left w:val="single" w:sz="4" w:space="0" w:color="auto"/>
            </w:tcBorders>
            <w:noWrap/>
            <w:vAlign w:val="center"/>
            <w:hideMark/>
          </w:tcPr>
          <w:p w14:paraId="017A0EA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0.77</w:t>
            </w:r>
          </w:p>
        </w:tc>
        <w:tc>
          <w:tcPr>
            <w:tcW w:w="616" w:type="dxa"/>
            <w:tcBorders>
              <w:right w:val="single" w:sz="18" w:space="0" w:color="000000"/>
            </w:tcBorders>
            <w:noWrap/>
            <w:vAlign w:val="center"/>
            <w:hideMark/>
          </w:tcPr>
          <w:p w14:paraId="4291729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0.47</w:t>
            </w:r>
          </w:p>
        </w:tc>
        <w:tc>
          <w:tcPr>
            <w:tcW w:w="766" w:type="dxa"/>
            <w:tcBorders>
              <w:top w:val="nil"/>
              <w:left w:val="single" w:sz="18" w:space="0" w:color="000000"/>
              <w:bottom w:val="nil"/>
            </w:tcBorders>
            <w:noWrap/>
            <w:vAlign w:val="center"/>
            <w:hideMark/>
          </w:tcPr>
          <w:p w14:paraId="60E5D4B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0.14</w:t>
            </w:r>
          </w:p>
        </w:tc>
        <w:tc>
          <w:tcPr>
            <w:tcW w:w="616" w:type="dxa"/>
            <w:tcBorders>
              <w:top w:val="nil"/>
              <w:bottom w:val="nil"/>
              <w:right w:val="single" w:sz="4" w:space="0" w:color="auto"/>
            </w:tcBorders>
            <w:noWrap/>
            <w:vAlign w:val="center"/>
            <w:hideMark/>
          </w:tcPr>
          <w:p w14:paraId="6C1F195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0.87</w:t>
            </w:r>
          </w:p>
        </w:tc>
        <w:tc>
          <w:tcPr>
            <w:tcW w:w="766" w:type="dxa"/>
            <w:tcBorders>
              <w:top w:val="nil"/>
              <w:left w:val="single" w:sz="4" w:space="0" w:color="auto"/>
              <w:bottom w:val="nil"/>
            </w:tcBorders>
            <w:noWrap/>
            <w:vAlign w:val="center"/>
            <w:hideMark/>
          </w:tcPr>
          <w:p w14:paraId="001C382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616" w:type="dxa"/>
            <w:tcBorders>
              <w:top w:val="nil"/>
              <w:bottom w:val="nil"/>
              <w:right w:val="single" w:sz="4" w:space="0" w:color="auto"/>
            </w:tcBorders>
            <w:noWrap/>
            <w:vAlign w:val="center"/>
            <w:hideMark/>
          </w:tcPr>
          <w:p w14:paraId="55A2513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c>
          <w:tcPr>
            <w:tcW w:w="616" w:type="dxa"/>
            <w:tcBorders>
              <w:left w:val="single" w:sz="4" w:space="0" w:color="auto"/>
            </w:tcBorders>
            <w:noWrap/>
            <w:vAlign w:val="center"/>
            <w:hideMark/>
          </w:tcPr>
          <w:p w14:paraId="4F133F5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676" w:type="dxa"/>
            <w:noWrap/>
            <w:vAlign w:val="center"/>
            <w:hideMark/>
          </w:tcPr>
          <w:p w14:paraId="3070EA7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r>
      <w:tr w:rsidR="001F4DDE" w:rsidRPr="00C85BEF" w14:paraId="4067D734" w14:textId="77777777" w:rsidTr="001F233D">
        <w:trPr>
          <w:trHeight w:val="20"/>
        </w:trPr>
        <w:tc>
          <w:tcPr>
            <w:cnfStyle w:val="001000000000" w:firstRow="0" w:lastRow="0" w:firstColumn="1" w:lastColumn="0" w:oddVBand="0" w:evenVBand="0" w:oddHBand="0" w:evenHBand="0" w:firstRowFirstColumn="0" w:firstRowLastColumn="0" w:lastRowFirstColumn="0" w:lastRowLastColumn="0"/>
            <w:tcW w:w="1630" w:type="dxa"/>
            <w:tcBorders>
              <w:bottom w:val="nil"/>
            </w:tcBorders>
            <w:noWrap/>
            <w:vAlign w:val="center"/>
            <w:hideMark/>
          </w:tcPr>
          <w:p w14:paraId="702B1764" w14:textId="77777777" w:rsidR="001F4DDE" w:rsidRPr="00C85BEF" w:rsidRDefault="001F4DDE" w:rsidP="001F4DDE">
            <w:pPr>
              <w:jc w:val="center"/>
              <w:rPr>
                <w:bCs/>
                <w:color w:val="000000"/>
                <w:sz w:val="16"/>
                <w:szCs w:val="16"/>
              </w:rPr>
            </w:pPr>
            <w:r w:rsidRPr="00C85BEF">
              <w:rPr>
                <w:bCs/>
                <w:color w:val="000000"/>
                <w:sz w:val="16"/>
                <w:szCs w:val="16"/>
              </w:rPr>
              <w:t>UK</w:t>
            </w:r>
          </w:p>
        </w:tc>
        <w:tc>
          <w:tcPr>
            <w:tcW w:w="1016" w:type="dxa"/>
            <w:tcBorders>
              <w:top w:val="nil"/>
              <w:bottom w:val="nil"/>
            </w:tcBorders>
            <w:noWrap/>
            <w:vAlign w:val="center"/>
            <w:hideMark/>
          </w:tcPr>
          <w:p w14:paraId="402D589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0.08</w:t>
            </w:r>
          </w:p>
        </w:tc>
        <w:tc>
          <w:tcPr>
            <w:tcW w:w="616" w:type="dxa"/>
            <w:tcBorders>
              <w:top w:val="nil"/>
              <w:bottom w:val="nil"/>
              <w:right w:val="single" w:sz="4" w:space="0" w:color="auto"/>
            </w:tcBorders>
            <w:noWrap/>
            <w:vAlign w:val="center"/>
            <w:hideMark/>
          </w:tcPr>
          <w:p w14:paraId="26AC0C5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top w:val="nil"/>
              <w:left w:val="single" w:sz="4" w:space="0" w:color="auto"/>
              <w:bottom w:val="nil"/>
            </w:tcBorders>
            <w:noWrap/>
            <w:vAlign w:val="center"/>
            <w:hideMark/>
          </w:tcPr>
          <w:p w14:paraId="316258F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616" w:type="dxa"/>
            <w:tcBorders>
              <w:top w:val="nil"/>
              <w:bottom w:val="nil"/>
              <w:right w:val="single" w:sz="4" w:space="0" w:color="auto"/>
            </w:tcBorders>
            <w:noWrap/>
            <w:vAlign w:val="center"/>
            <w:hideMark/>
          </w:tcPr>
          <w:p w14:paraId="24FCFDF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top w:val="nil"/>
              <w:left w:val="single" w:sz="4" w:space="0" w:color="auto"/>
              <w:bottom w:val="nil"/>
            </w:tcBorders>
            <w:noWrap/>
            <w:vAlign w:val="center"/>
            <w:hideMark/>
          </w:tcPr>
          <w:p w14:paraId="18A8941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18" w:space="0" w:color="000000"/>
            </w:tcBorders>
            <w:noWrap/>
            <w:vAlign w:val="center"/>
            <w:hideMark/>
          </w:tcPr>
          <w:p w14:paraId="16465DF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left w:val="single" w:sz="18" w:space="0" w:color="000000"/>
              <w:bottom w:val="nil"/>
            </w:tcBorders>
            <w:noWrap/>
            <w:vAlign w:val="center"/>
            <w:hideMark/>
          </w:tcPr>
          <w:p w14:paraId="248FD99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0.45</w:t>
            </w:r>
          </w:p>
        </w:tc>
        <w:tc>
          <w:tcPr>
            <w:tcW w:w="636" w:type="dxa"/>
            <w:tcBorders>
              <w:bottom w:val="nil"/>
              <w:right w:val="single" w:sz="4" w:space="0" w:color="auto"/>
            </w:tcBorders>
            <w:noWrap/>
            <w:vAlign w:val="center"/>
            <w:hideMark/>
          </w:tcPr>
          <w:p w14:paraId="3D9B88A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0.61</w:t>
            </w:r>
          </w:p>
        </w:tc>
        <w:tc>
          <w:tcPr>
            <w:tcW w:w="766" w:type="dxa"/>
            <w:tcBorders>
              <w:top w:val="nil"/>
              <w:left w:val="single" w:sz="4" w:space="0" w:color="auto"/>
              <w:bottom w:val="nil"/>
            </w:tcBorders>
            <w:noWrap/>
            <w:vAlign w:val="center"/>
            <w:hideMark/>
          </w:tcPr>
          <w:p w14:paraId="12D5CF0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1.23</w:t>
            </w:r>
          </w:p>
        </w:tc>
        <w:tc>
          <w:tcPr>
            <w:tcW w:w="616" w:type="dxa"/>
            <w:tcBorders>
              <w:top w:val="nil"/>
              <w:bottom w:val="nil"/>
              <w:right w:val="single" w:sz="4" w:space="0" w:color="auto"/>
            </w:tcBorders>
            <w:noWrap/>
            <w:vAlign w:val="center"/>
            <w:hideMark/>
          </w:tcPr>
          <w:p w14:paraId="2F74E68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0.29</w:t>
            </w:r>
          </w:p>
        </w:tc>
        <w:tc>
          <w:tcPr>
            <w:tcW w:w="766" w:type="dxa"/>
            <w:tcBorders>
              <w:left w:val="single" w:sz="4" w:space="0" w:color="auto"/>
              <w:bottom w:val="nil"/>
            </w:tcBorders>
            <w:noWrap/>
            <w:vAlign w:val="center"/>
            <w:hideMark/>
          </w:tcPr>
          <w:p w14:paraId="32BCF42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0.75</w:t>
            </w:r>
          </w:p>
        </w:tc>
        <w:tc>
          <w:tcPr>
            <w:tcW w:w="616" w:type="dxa"/>
            <w:tcBorders>
              <w:bottom w:val="nil"/>
              <w:right w:val="single" w:sz="18" w:space="0" w:color="000000"/>
            </w:tcBorders>
            <w:noWrap/>
            <w:vAlign w:val="center"/>
            <w:hideMark/>
          </w:tcPr>
          <w:p w14:paraId="15F05D7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0.49</w:t>
            </w:r>
          </w:p>
        </w:tc>
        <w:tc>
          <w:tcPr>
            <w:tcW w:w="766" w:type="dxa"/>
            <w:tcBorders>
              <w:top w:val="nil"/>
              <w:left w:val="single" w:sz="18" w:space="0" w:color="000000"/>
              <w:bottom w:val="nil"/>
            </w:tcBorders>
            <w:noWrap/>
            <w:vAlign w:val="center"/>
            <w:hideMark/>
          </w:tcPr>
          <w:p w14:paraId="413E15B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4" w:space="0" w:color="auto"/>
            </w:tcBorders>
            <w:noWrap/>
            <w:vAlign w:val="center"/>
            <w:hideMark/>
          </w:tcPr>
          <w:p w14:paraId="05D2E60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4" w:space="0" w:color="auto"/>
              <w:bottom w:val="nil"/>
            </w:tcBorders>
            <w:noWrap/>
            <w:vAlign w:val="center"/>
            <w:hideMark/>
          </w:tcPr>
          <w:p w14:paraId="06CF02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0.04</w:t>
            </w:r>
          </w:p>
        </w:tc>
        <w:tc>
          <w:tcPr>
            <w:tcW w:w="616" w:type="dxa"/>
            <w:tcBorders>
              <w:top w:val="nil"/>
              <w:bottom w:val="nil"/>
              <w:right w:val="single" w:sz="4" w:space="0" w:color="auto"/>
            </w:tcBorders>
            <w:noWrap/>
            <w:vAlign w:val="center"/>
            <w:hideMark/>
          </w:tcPr>
          <w:p w14:paraId="4EA249B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0.96</w:t>
            </w:r>
          </w:p>
        </w:tc>
        <w:tc>
          <w:tcPr>
            <w:tcW w:w="616" w:type="dxa"/>
            <w:tcBorders>
              <w:left w:val="single" w:sz="4" w:space="0" w:color="auto"/>
              <w:bottom w:val="nil"/>
            </w:tcBorders>
            <w:noWrap/>
            <w:vAlign w:val="center"/>
            <w:hideMark/>
          </w:tcPr>
          <w:p w14:paraId="42F2F7E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0.05</w:t>
            </w:r>
          </w:p>
        </w:tc>
        <w:tc>
          <w:tcPr>
            <w:tcW w:w="676" w:type="dxa"/>
            <w:tcBorders>
              <w:bottom w:val="nil"/>
            </w:tcBorders>
            <w:noWrap/>
            <w:vAlign w:val="center"/>
            <w:hideMark/>
          </w:tcPr>
          <w:p w14:paraId="7E1D2D8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r>
      <w:tr w:rsidR="001F4DDE" w:rsidRPr="00C85BEF" w14:paraId="236EDB33" w14:textId="77777777" w:rsidTr="001F233D">
        <w:trPr>
          <w:trHeight w:val="20"/>
        </w:trPr>
        <w:tc>
          <w:tcPr>
            <w:cnfStyle w:val="001000000000" w:firstRow="0" w:lastRow="0" w:firstColumn="1" w:lastColumn="0" w:oddVBand="0" w:evenVBand="0" w:oddHBand="0" w:evenHBand="0" w:firstRowFirstColumn="0" w:firstRowLastColumn="0" w:lastRowFirstColumn="0" w:lastRowLastColumn="0"/>
            <w:tcW w:w="14248" w:type="dxa"/>
            <w:gridSpan w:val="19"/>
            <w:tcBorders>
              <w:top w:val="nil"/>
              <w:left w:val="nil"/>
              <w:bottom w:val="nil"/>
              <w:right w:val="nil"/>
            </w:tcBorders>
            <w:noWrap/>
            <w:vAlign w:val="center"/>
            <w:hideMark/>
          </w:tcPr>
          <w:p w14:paraId="6AB7ACD8" w14:textId="77777777" w:rsidR="001F4DDE" w:rsidRPr="00C85BEF" w:rsidRDefault="001F4DDE" w:rsidP="001F4DDE">
            <w:pPr>
              <w:rPr>
                <w:color w:val="000000"/>
                <w:sz w:val="16"/>
                <w:szCs w:val="16"/>
              </w:rPr>
            </w:pPr>
            <w:r w:rsidRPr="00C85BEF">
              <w:rPr>
                <w:bCs/>
                <w:color w:val="000000"/>
                <w:sz w:val="16"/>
                <w:szCs w:val="16"/>
              </w:rPr>
              <w:t>Emerging Markets</w:t>
            </w:r>
          </w:p>
        </w:tc>
      </w:tr>
      <w:tr w:rsidR="001F4DDE" w:rsidRPr="00C85BEF" w14:paraId="7A5E20C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6EDBE940" w14:textId="77777777" w:rsidR="001F4DDE" w:rsidRPr="00C85BEF" w:rsidRDefault="001F4DDE" w:rsidP="001F4DDE">
            <w:pPr>
              <w:jc w:val="center"/>
              <w:rPr>
                <w:bCs/>
                <w:color w:val="000000"/>
                <w:sz w:val="16"/>
                <w:szCs w:val="16"/>
              </w:rPr>
            </w:pPr>
            <w:r w:rsidRPr="00C85BEF">
              <w:rPr>
                <w:bCs/>
                <w:color w:val="000000"/>
                <w:sz w:val="16"/>
                <w:szCs w:val="16"/>
              </w:rPr>
              <w:t>Brazil</w:t>
            </w:r>
          </w:p>
        </w:tc>
        <w:tc>
          <w:tcPr>
            <w:tcW w:w="1016" w:type="dxa"/>
            <w:tcBorders>
              <w:top w:val="nil"/>
              <w:bottom w:val="nil"/>
            </w:tcBorders>
            <w:noWrap/>
            <w:vAlign w:val="center"/>
            <w:hideMark/>
          </w:tcPr>
          <w:p w14:paraId="05901F2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4" w:space="0" w:color="auto"/>
            </w:tcBorders>
            <w:noWrap/>
            <w:vAlign w:val="center"/>
            <w:hideMark/>
          </w:tcPr>
          <w:p w14:paraId="0508126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top w:val="nil"/>
              <w:left w:val="single" w:sz="4" w:space="0" w:color="auto"/>
              <w:bottom w:val="nil"/>
            </w:tcBorders>
            <w:noWrap/>
            <w:vAlign w:val="center"/>
            <w:hideMark/>
          </w:tcPr>
          <w:p w14:paraId="21B5ECB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616" w:type="dxa"/>
            <w:tcBorders>
              <w:top w:val="nil"/>
              <w:bottom w:val="nil"/>
              <w:right w:val="single" w:sz="4" w:space="0" w:color="auto"/>
            </w:tcBorders>
            <w:noWrap/>
            <w:vAlign w:val="center"/>
            <w:hideMark/>
          </w:tcPr>
          <w:p w14:paraId="5B468A9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c>
          <w:tcPr>
            <w:tcW w:w="766" w:type="dxa"/>
            <w:tcBorders>
              <w:top w:val="nil"/>
              <w:left w:val="single" w:sz="4" w:space="0" w:color="auto"/>
              <w:bottom w:val="nil"/>
            </w:tcBorders>
            <w:noWrap/>
            <w:vAlign w:val="center"/>
            <w:hideMark/>
          </w:tcPr>
          <w:p w14:paraId="3C3F642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0.26</w:t>
            </w:r>
          </w:p>
        </w:tc>
        <w:tc>
          <w:tcPr>
            <w:tcW w:w="616" w:type="dxa"/>
            <w:tcBorders>
              <w:top w:val="nil"/>
              <w:bottom w:val="nil"/>
              <w:right w:val="single" w:sz="18" w:space="0" w:color="000000"/>
            </w:tcBorders>
            <w:noWrap/>
            <w:vAlign w:val="center"/>
            <w:hideMark/>
          </w:tcPr>
          <w:p w14:paraId="66F0EBF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0.77</w:t>
            </w:r>
          </w:p>
        </w:tc>
        <w:tc>
          <w:tcPr>
            <w:tcW w:w="766" w:type="dxa"/>
            <w:tcBorders>
              <w:left w:val="single" w:sz="18" w:space="0" w:color="000000"/>
            </w:tcBorders>
            <w:noWrap/>
            <w:vAlign w:val="center"/>
            <w:hideMark/>
          </w:tcPr>
          <w:p w14:paraId="4399B32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2.01</w:t>
            </w:r>
          </w:p>
        </w:tc>
        <w:tc>
          <w:tcPr>
            <w:tcW w:w="636" w:type="dxa"/>
            <w:tcBorders>
              <w:right w:val="single" w:sz="4" w:space="0" w:color="auto"/>
            </w:tcBorders>
            <w:noWrap/>
            <w:vAlign w:val="center"/>
            <w:hideMark/>
          </w:tcPr>
          <w:p w14:paraId="7A7BD1F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0.18</w:t>
            </w:r>
          </w:p>
        </w:tc>
        <w:tc>
          <w:tcPr>
            <w:tcW w:w="766" w:type="dxa"/>
            <w:tcBorders>
              <w:top w:val="nil"/>
              <w:left w:val="single" w:sz="4" w:space="0" w:color="auto"/>
              <w:bottom w:val="nil"/>
            </w:tcBorders>
            <w:noWrap/>
            <w:vAlign w:val="center"/>
            <w:hideMark/>
          </w:tcPr>
          <w:p w14:paraId="7B33AE6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16" w:type="dxa"/>
            <w:tcBorders>
              <w:top w:val="nil"/>
              <w:bottom w:val="nil"/>
              <w:right w:val="single" w:sz="4" w:space="0" w:color="auto"/>
            </w:tcBorders>
            <w:noWrap/>
            <w:vAlign w:val="center"/>
            <w:hideMark/>
          </w:tcPr>
          <w:p w14:paraId="08B76B6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0.12</w:t>
            </w:r>
          </w:p>
        </w:tc>
        <w:tc>
          <w:tcPr>
            <w:tcW w:w="766" w:type="dxa"/>
            <w:tcBorders>
              <w:left w:val="single" w:sz="4" w:space="0" w:color="auto"/>
            </w:tcBorders>
            <w:noWrap/>
            <w:vAlign w:val="center"/>
            <w:hideMark/>
          </w:tcPr>
          <w:p w14:paraId="7FA1411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1.66</w:t>
            </w:r>
          </w:p>
        </w:tc>
        <w:tc>
          <w:tcPr>
            <w:tcW w:w="616" w:type="dxa"/>
            <w:tcBorders>
              <w:right w:val="single" w:sz="18" w:space="0" w:color="000000"/>
            </w:tcBorders>
            <w:noWrap/>
            <w:vAlign w:val="center"/>
            <w:hideMark/>
          </w:tcPr>
          <w:p w14:paraId="684AD8E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0.30</w:t>
            </w:r>
          </w:p>
        </w:tc>
        <w:tc>
          <w:tcPr>
            <w:tcW w:w="766" w:type="dxa"/>
            <w:tcBorders>
              <w:top w:val="nil"/>
              <w:left w:val="single" w:sz="18" w:space="0" w:color="000000"/>
              <w:bottom w:val="nil"/>
            </w:tcBorders>
            <w:noWrap/>
            <w:vAlign w:val="center"/>
            <w:hideMark/>
          </w:tcPr>
          <w:p w14:paraId="1A71310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4" w:space="0" w:color="auto"/>
            </w:tcBorders>
            <w:noWrap/>
            <w:vAlign w:val="center"/>
            <w:hideMark/>
          </w:tcPr>
          <w:p w14:paraId="03738C9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top w:val="nil"/>
              <w:left w:val="single" w:sz="4" w:space="0" w:color="auto"/>
              <w:bottom w:val="nil"/>
            </w:tcBorders>
            <w:noWrap/>
            <w:vAlign w:val="center"/>
            <w:hideMark/>
          </w:tcPr>
          <w:p w14:paraId="02E5B15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0.62</w:t>
            </w:r>
          </w:p>
        </w:tc>
        <w:tc>
          <w:tcPr>
            <w:tcW w:w="616" w:type="dxa"/>
            <w:tcBorders>
              <w:top w:val="nil"/>
              <w:bottom w:val="nil"/>
              <w:right w:val="single" w:sz="4" w:space="0" w:color="auto"/>
            </w:tcBorders>
            <w:noWrap/>
            <w:vAlign w:val="center"/>
            <w:hideMark/>
          </w:tcPr>
          <w:p w14:paraId="40D1DFD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0.54</w:t>
            </w:r>
          </w:p>
        </w:tc>
        <w:tc>
          <w:tcPr>
            <w:tcW w:w="616" w:type="dxa"/>
            <w:tcBorders>
              <w:left w:val="single" w:sz="4" w:space="0" w:color="auto"/>
            </w:tcBorders>
            <w:noWrap/>
            <w:vAlign w:val="center"/>
            <w:hideMark/>
          </w:tcPr>
          <w:p w14:paraId="4E85885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676" w:type="dxa"/>
            <w:noWrap/>
            <w:vAlign w:val="center"/>
            <w:hideMark/>
          </w:tcPr>
          <w:p w14:paraId="73CC296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r>
      <w:tr w:rsidR="001F4DDE" w:rsidRPr="00C85BEF" w14:paraId="7DA09301"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081D2906" w14:textId="77777777" w:rsidR="001F4DDE" w:rsidRPr="00C85BEF" w:rsidRDefault="001F4DDE" w:rsidP="001F4DDE">
            <w:pPr>
              <w:jc w:val="center"/>
              <w:rPr>
                <w:bCs/>
                <w:color w:val="000000"/>
                <w:sz w:val="16"/>
                <w:szCs w:val="16"/>
              </w:rPr>
            </w:pPr>
            <w:r w:rsidRPr="00C85BEF">
              <w:rPr>
                <w:bCs/>
                <w:color w:val="000000"/>
                <w:sz w:val="16"/>
                <w:szCs w:val="16"/>
              </w:rPr>
              <w:t>Chile</w:t>
            </w:r>
          </w:p>
        </w:tc>
        <w:tc>
          <w:tcPr>
            <w:tcW w:w="1016" w:type="dxa"/>
            <w:tcBorders>
              <w:top w:val="nil"/>
              <w:bottom w:val="nil"/>
            </w:tcBorders>
            <w:noWrap/>
            <w:vAlign w:val="center"/>
            <w:hideMark/>
          </w:tcPr>
          <w:p w14:paraId="61BB88D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0.43</w:t>
            </w:r>
          </w:p>
        </w:tc>
        <w:tc>
          <w:tcPr>
            <w:tcW w:w="616" w:type="dxa"/>
            <w:tcBorders>
              <w:top w:val="nil"/>
              <w:bottom w:val="nil"/>
              <w:right w:val="single" w:sz="4" w:space="0" w:color="auto"/>
            </w:tcBorders>
            <w:noWrap/>
            <w:vAlign w:val="center"/>
            <w:hideMark/>
          </w:tcPr>
          <w:p w14:paraId="727DB31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0.63</w:t>
            </w:r>
          </w:p>
        </w:tc>
        <w:tc>
          <w:tcPr>
            <w:tcW w:w="766" w:type="dxa"/>
            <w:tcBorders>
              <w:top w:val="nil"/>
              <w:left w:val="single" w:sz="4" w:space="0" w:color="auto"/>
              <w:bottom w:val="nil"/>
            </w:tcBorders>
            <w:noWrap/>
            <w:vAlign w:val="center"/>
            <w:hideMark/>
          </w:tcPr>
          <w:p w14:paraId="5B4D47E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0.37</w:t>
            </w:r>
          </w:p>
        </w:tc>
        <w:tc>
          <w:tcPr>
            <w:tcW w:w="616" w:type="dxa"/>
            <w:tcBorders>
              <w:top w:val="nil"/>
              <w:bottom w:val="nil"/>
              <w:right w:val="single" w:sz="4" w:space="0" w:color="auto"/>
            </w:tcBorders>
            <w:noWrap/>
            <w:vAlign w:val="center"/>
            <w:hideMark/>
          </w:tcPr>
          <w:p w14:paraId="3ECC908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0.69</w:t>
            </w:r>
          </w:p>
        </w:tc>
        <w:tc>
          <w:tcPr>
            <w:tcW w:w="766" w:type="dxa"/>
            <w:tcBorders>
              <w:top w:val="nil"/>
              <w:left w:val="single" w:sz="4" w:space="0" w:color="auto"/>
              <w:bottom w:val="nil"/>
            </w:tcBorders>
            <w:noWrap/>
            <w:vAlign w:val="center"/>
            <w:hideMark/>
          </w:tcPr>
          <w:p w14:paraId="48D197E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0.18</w:t>
            </w:r>
          </w:p>
        </w:tc>
        <w:tc>
          <w:tcPr>
            <w:tcW w:w="616" w:type="dxa"/>
            <w:tcBorders>
              <w:top w:val="nil"/>
              <w:bottom w:val="nil"/>
              <w:right w:val="single" w:sz="18" w:space="0" w:color="000000"/>
            </w:tcBorders>
            <w:noWrap/>
            <w:vAlign w:val="center"/>
            <w:hideMark/>
          </w:tcPr>
          <w:p w14:paraId="2BBD8BB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0.82</w:t>
            </w:r>
          </w:p>
        </w:tc>
        <w:tc>
          <w:tcPr>
            <w:tcW w:w="766" w:type="dxa"/>
            <w:tcBorders>
              <w:left w:val="single" w:sz="18" w:space="0" w:color="000000"/>
            </w:tcBorders>
            <w:noWrap/>
            <w:vAlign w:val="center"/>
            <w:hideMark/>
          </w:tcPr>
          <w:p w14:paraId="21A54BD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4.80</w:t>
            </w:r>
          </w:p>
        </w:tc>
        <w:tc>
          <w:tcPr>
            <w:tcW w:w="636" w:type="dxa"/>
            <w:tcBorders>
              <w:right w:val="single" w:sz="4" w:space="0" w:color="auto"/>
            </w:tcBorders>
            <w:noWrap/>
            <w:vAlign w:val="center"/>
            <w:hideMark/>
          </w:tcPr>
          <w:p w14:paraId="5D5C1E1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0.01</w:t>
            </w:r>
          </w:p>
        </w:tc>
        <w:tc>
          <w:tcPr>
            <w:tcW w:w="766" w:type="dxa"/>
            <w:tcBorders>
              <w:top w:val="nil"/>
              <w:left w:val="single" w:sz="4" w:space="0" w:color="auto"/>
              <w:bottom w:val="nil"/>
            </w:tcBorders>
            <w:noWrap/>
            <w:vAlign w:val="center"/>
            <w:hideMark/>
          </w:tcPr>
          <w:p w14:paraId="31FB837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3.90</w:t>
            </w:r>
          </w:p>
        </w:tc>
        <w:tc>
          <w:tcPr>
            <w:tcW w:w="616" w:type="dxa"/>
            <w:tcBorders>
              <w:top w:val="nil"/>
              <w:bottom w:val="nil"/>
              <w:right w:val="single" w:sz="4" w:space="0" w:color="auto"/>
            </w:tcBorders>
            <w:noWrap/>
            <w:vAlign w:val="center"/>
            <w:hideMark/>
          </w:tcPr>
          <w:p w14:paraId="18F04D8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0.02</w:t>
            </w:r>
          </w:p>
        </w:tc>
        <w:tc>
          <w:tcPr>
            <w:tcW w:w="766" w:type="dxa"/>
            <w:tcBorders>
              <w:left w:val="single" w:sz="4" w:space="0" w:color="auto"/>
            </w:tcBorders>
            <w:noWrap/>
            <w:vAlign w:val="center"/>
            <w:hideMark/>
          </w:tcPr>
          <w:p w14:paraId="55DAAB8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0.76</w:t>
            </w:r>
          </w:p>
        </w:tc>
        <w:tc>
          <w:tcPr>
            <w:tcW w:w="616" w:type="dxa"/>
            <w:tcBorders>
              <w:right w:val="single" w:sz="18" w:space="0" w:color="000000"/>
            </w:tcBorders>
            <w:noWrap/>
            <w:vAlign w:val="center"/>
            <w:hideMark/>
          </w:tcPr>
          <w:p w14:paraId="40F2329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0.46</w:t>
            </w:r>
          </w:p>
        </w:tc>
        <w:tc>
          <w:tcPr>
            <w:tcW w:w="766" w:type="dxa"/>
            <w:tcBorders>
              <w:top w:val="nil"/>
              <w:left w:val="single" w:sz="18" w:space="0" w:color="000000"/>
              <w:bottom w:val="nil"/>
            </w:tcBorders>
            <w:noWrap/>
            <w:vAlign w:val="center"/>
            <w:hideMark/>
          </w:tcPr>
          <w:p w14:paraId="268B32E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0.50</w:t>
            </w:r>
          </w:p>
        </w:tc>
        <w:tc>
          <w:tcPr>
            <w:tcW w:w="616" w:type="dxa"/>
            <w:tcBorders>
              <w:top w:val="nil"/>
              <w:bottom w:val="nil"/>
              <w:right w:val="single" w:sz="4" w:space="0" w:color="auto"/>
            </w:tcBorders>
            <w:noWrap/>
            <w:vAlign w:val="center"/>
            <w:hideMark/>
          </w:tcPr>
          <w:p w14:paraId="452BB6C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0.50</w:t>
            </w:r>
          </w:p>
        </w:tc>
        <w:tc>
          <w:tcPr>
            <w:tcW w:w="766" w:type="dxa"/>
            <w:tcBorders>
              <w:top w:val="nil"/>
              <w:left w:val="single" w:sz="4" w:space="0" w:color="auto"/>
              <w:bottom w:val="nil"/>
            </w:tcBorders>
            <w:noWrap/>
            <w:vAlign w:val="center"/>
            <w:hideMark/>
          </w:tcPr>
          <w:p w14:paraId="390FF6B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1.43</w:t>
            </w:r>
          </w:p>
        </w:tc>
        <w:tc>
          <w:tcPr>
            <w:tcW w:w="616" w:type="dxa"/>
            <w:tcBorders>
              <w:top w:val="nil"/>
              <w:bottom w:val="nil"/>
              <w:right w:val="single" w:sz="4" w:space="0" w:color="auto"/>
            </w:tcBorders>
            <w:noWrap/>
            <w:vAlign w:val="center"/>
            <w:hideMark/>
          </w:tcPr>
          <w:p w14:paraId="34789F1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0.35</w:t>
            </w:r>
          </w:p>
        </w:tc>
        <w:tc>
          <w:tcPr>
            <w:tcW w:w="616" w:type="dxa"/>
            <w:tcBorders>
              <w:left w:val="single" w:sz="4" w:space="0" w:color="auto"/>
            </w:tcBorders>
            <w:noWrap/>
            <w:vAlign w:val="center"/>
            <w:hideMark/>
          </w:tcPr>
          <w:p w14:paraId="127B788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76" w:type="dxa"/>
            <w:noWrap/>
            <w:vAlign w:val="center"/>
            <w:hideMark/>
          </w:tcPr>
          <w:p w14:paraId="25CB26E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r>
      <w:tr w:rsidR="001F4DDE" w:rsidRPr="00C85BEF" w14:paraId="17BB52E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14348FD1" w14:textId="77777777" w:rsidR="001F4DDE" w:rsidRPr="00C85BEF" w:rsidRDefault="001F4DDE" w:rsidP="001F4DDE">
            <w:pPr>
              <w:jc w:val="center"/>
              <w:rPr>
                <w:bCs/>
                <w:color w:val="000000"/>
                <w:sz w:val="16"/>
                <w:szCs w:val="16"/>
              </w:rPr>
            </w:pPr>
            <w:r w:rsidRPr="00C85BEF">
              <w:rPr>
                <w:bCs/>
                <w:color w:val="000000"/>
                <w:sz w:val="16"/>
                <w:szCs w:val="16"/>
              </w:rPr>
              <w:t>China</w:t>
            </w:r>
          </w:p>
        </w:tc>
        <w:tc>
          <w:tcPr>
            <w:tcW w:w="1016" w:type="dxa"/>
            <w:tcBorders>
              <w:top w:val="nil"/>
              <w:bottom w:val="nil"/>
            </w:tcBorders>
            <w:noWrap/>
            <w:vAlign w:val="center"/>
            <w:hideMark/>
          </w:tcPr>
          <w:p w14:paraId="3F7E018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0.75</w:t>
            </w:r>
          </w:p>
        </w:tc>
        <w:tc>
          <w:tcPr>
            <w:tcW w:w="616" w:type="dxa"/>
            <w:tcBorders>
              <w:top w:val="nil"/>
              <w:bottom w:val="nil"/>
              <w:right w:val="single" w:sz="4" w:space="0" w:color="auto"/>
            </w:tcBorders>
            <w:noWrap/>
            <w:vAlign w:val="center"/>
            <w:hideMark/>
          </w:tcPr>
          <w:p w14:paraId="600E094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0.47</w:t>
            </w:r>
          </w:p>
        </w:tc>
        <w:tc>
          <w:tcPr>
            <w:tcW w:w="766" w:type="dxa"/>
            <w:tcBorders>
              <w:top w:val="nil"/>
              <w:left w:val="single" w:sz="4" w:space="0" w:color="auto"/>
              <w:bottom w:val="nil"/>
            </w:tcBorders>
            <w:noWrap/>
            <w:vAlign w:val="center"/>
            <w:hideMark/>
          </w:tcPr>
          <w:p w14:paraId="1588176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0.60</w:t>
            </w:r>
          </w:p>
        </w:tc>
        <w:tc>
          <w:tcPr>
            <w:tcW w:w="616" w:type="dxa"/>
            <w:tcBorders>
              <w:top w:val="nil"/>
              <w:bottom w:val="nil"/>
              <w:right w:val="single" w:sz="4" w:space="0" w:color="auto"/>
            </w:tcBorders>
            <w:noWrap/>
            <w:vAlign w:val="center"/>
            <w:hideMark/>
          </w:tcPr>
          <w:p w14:paraId="20F6C65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0.55</w:t>
            </w:r>
          </w:p>
        </w:tc>
        <w:tc>
          <w:tcPr>
            <w:tcW w:w="766" w:type="dxa"/>
            <w:tcBorders>
              <w:top w:val="nil"/>
              <w:left w:val="single" w:sz="4" w:space="0" w:color="auto"/>
              <w:bottom w:val="nil"/>
            </w:tcBorders>
            <w:noWrap/>
            <w:vAlign w:val="center"/>
            <w:hideMark/>
          </w:tcPr>
          <w:p w14:paraId="36242EC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0.59</w:t>
            </w:r>
          </w:p>
        </w:tc>
        <w:tc>
          <w:tcPr>
            <w:tcW w:w="616" w:type="dxa"/>
            <w:tcBorders>
              <w:top w:val="nil"/>
              <w:bottom w:val="nil"/>
              <w:right w:val="single" w:sz="18" w:space="0" w:color="000000"/>
            </w:tcBorders>
            <w:noWrap/>
            <w:vAlign w:val="center"/>
            <w:hideMark/>
          </w:tcPr>
          <w:p w14:paraId="252472F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0.56</w:t>
            </w:r>
          </w:p>
        </w:tc>
        <w:tc>
          <w:tcPr>
            <w:tcW w:w="766" w:type="dxa"/>
            <w:tcBorders>
              <w:left w:val="single" w:sz="18" w:space="0" w:color="000000"/>
            </w:tcBorders>
            <w:noWrap/>
            <w:vAlign w:val="center"/>
            <w:hideMark/>
          </w:tcPr>
          <w:p w14:paraId="025A8D2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2.66</w:t>
            </w:r>
          </w:p>
        </w:tc>
        <w:tc>
          <w:tcPr>
            <w:tcW w:w="636" w:type="dxa"/>
            <w:tcBorders>
              <w:right w:val="single" w:sz="4" w:space="0" w:color="auto"/>
            </w:tcBorders>
            <w:noWrap/>
            <w:vAlign w:val="center"/>
            <w:hideMark/>
          </w:tcPr>
          <w:p w14:paraId="66E5BF7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766" w:type="dxa"/>
            <w:tcBorders>
              <w:top w:val="nil"/>
              <w:left w:val="single" w:sz="4" w:space="0" w:color="auto"/>
              <w:bottom w:val="nil"/>
            </w:tcBorders>
            <w:noWrap/>
            <w:vAlign w:val="center"/>
            <w:hideMark/>
          </w:tcPr>
          <w:p w14:paraId="16EF688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16" w:type="dxa"/>
            <w:tcBorders>
              <w:top w:val="nil"/>
              <w:bottom w:val="nil"/>
              <w:right w:val="single" w:sz="4" w:space="0" w:color="auto"/>
            </w:tcBorders>
            <w:noWrap/>
            <w:vAlign w:val="center"/>
            <w:hideMark/>
          </w:tcPr>
          <w:p w14:paraId="798A4FF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left w:val="single" w:sz="4" w:space="0" w:color="auto"/>
            </w:tcBorders>
            <w:noWrap/>
            <w:vAlign w:val="center"/>
            <w:hideMark/>
          </w:tcPr>
          <w:p w14:paraId="4A2AD52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2.97</w:t>
            </w:r>
          </w:p>
        </w:tc>
        <w:tc>
          <w:tcPr>
            <w:tcW w:w="616" w:type="dxa"/>
            <w:tcBorders>
              <w:right w:val="single" w:sz="18" w:space="0" w:color="000000"/>
            </w:tcBorders>
            <w:noWrap/>
            <w:vAlign w:val="center"/>
            <w:hideMark/>
          </w:tcPr>
          <w:p w14:paraId="683F2C8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766" w:type="dxa"/>
            <w:tcBorders>
              <w:top w:val="nil"/>
              <w:left w:val="single" w:sz="18" w:space="0" w:color="000000"/>
              <w:bottom w:val="nil"/>
            </w:tcBorders>
            <w:noWrap/>
            <w:vAlign w:val="center"/>
            <w:hideMark/>
          </w:tcPr>
          <w:p w14:paraId="5A9C133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30999BC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0FF97AE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0.06</w:t>
            </w:r>
          </w:p>
        </w:tc>
        <w:tc>
          <w:tcPr>
            <w:tcW w:w="616" w:type="dxa"/>
            <w:tcBorders>
              <w:top w:val="nil"/>
              <w:bottom w:val="nil"/>
              <w:right w:val="single" w:sz="4" w:space="0" w:color="auto"/>
            </w:tcBorders>
            <w:noWrap/>
            <w:vAlign w:val="center"/>
            <w:hideMark/>
          </w:tcPr>
          <w:p w14:paraId="70EDD64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0.94</w:t>
            </w:r>
          </w:p>
        </w:tc>
        <w:tc>
          <w:tcPr>
            <w:tcW w:w="616" w:type="dxa"/>
            <w:tcBorders>
              <w:left w:val="single" w:sz="4" w:space="0" w:color="auto"/>
            </w:tcBorders>
            <w:noWrap/>
            <w:vAlign w:val="center"/>
            <w:hideMark/>
          </w:tcPr>
          <w:p w14:paraId="6F4319A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0.17</w:t>
            </w:r>
          </w:p>
        </w:tc>
        <w:tc>
          <w:tcPr>
            <w:tcW w:w="676" w:type="dxa"/>
            <w:noWrap/>
            <w:vAlign w:val="center"/>
            <w:hideMark/>
          </w:tcPr>
          <w:p w14:paraId="7C3BA87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0.85</w:t>
            </w:r>
          </w:p>
        </w:tc>
      </w:tr>
      <w:tr w:rsidR="001F4DDE" w:rsidRPr="00C85BEF" w14:paraId="5D8EB93F"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0868F24B" w14:textId="77777777" w:rsidR="001F4DDE" w:rsidRPr="00C85BEF" w:rsidRDefault="001F4DDE" w:rsidP="001F4DDE">
            <w:pPr>
              <w:jc w:val="center"/>
              <w:rPr>
                <w:bCs/>
                <w:color w:val="000000"/>
                <w:sz w:val="16"/>
                <w:szCs w:val="16"/>
              </w:rPr>
            </w:pPr>
            <w:r w:rsidRPr="00C85BEF">
              <w:rPr>
                <w:bCs/>
                <w:color w:val="000000"/>
                <w:sz w:val="16"/>
                <w:szCs w:val="16"/>
              </w:rPr>
              <w:t>Colombia</w:t>
            </w:r>
          </w:p>
        </w:tc>
        <w:tc>
          <w:tcPr>
            <w:tcW w:w="1016" w:type="dxa"/>
            <w:tcBorders>
              <w:top w:val="nil"/>
              <w:bottom w:val="nil"/>
            </w:tcBorders>
            <w:noWrap/>
            <w:vAlign w:val="center"/>
            <w:hideMark/>
          </w:tcPr>
          <w:p w14:paraId="3D23D07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2200EE9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18CE321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4" w:space="0" w:color="auto"/>
            </w:tcBorders>
            <w:noWrap/>
            <w:vAlign w:val="center"/>
            <w:hideMark/>
          </w:tcPr>
          <w:p w14:paraId="39651D6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766" w:type="dxa"/>
            <w:tcBorders>
              <w:top w:val="nil"/>
              <w:left w:val="single" w:sz="4" w:space="0" w:color="auto"/>
              <w:bottom w:val="nil"/>
            </w:tcBorders>
            <w:noWrap/>
            <w:vAlign w:val="center"/>
            <w:hideMark/>
          </w:tcPr>
          <w:p w14:paraId="77270D2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18" w:space="0" w:color="000000"/>
            </w:tcBorders>
            <w:noWrap/>
            <w:vAlign w:val="center"/>
            <w:hideMark/>
          </w:tcPr>
          <w:p w14:paraId="3031801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left w:val="single" w:sz="18" w:space="0" w:color="000000"/>
            </w:tcBorders>
            <w:noWrap/>
            <w:vAlign w:val="center"/>
            <w:hideMark/>
          </w:tcPr>
          <w:p w14:paraId="760BDF3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4.04</w:t>
            </w:r>
          </w:p>
        </w:tc>
        <w:tc>
          <w:tcPr>
            <w:tcW w:w="636" w:type="dxa"/>
            <w:tcBorders>
              <w:right w:val="single" w:sz="4" w:space="0" w:color="auto"/>
            </w:tcBorders>
            <w:noWrap/>
            <w:vAlign w:val="center"/>
            <w:hideMark/>
          </w:tcPr>
          <w:p w14:paraId="407F8AF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0.02</w:t>
            </w:r>
          </w:p>
        </w:tc>
        <w:tc>
          <w:tcPr>
            <w:tcW w:w="766" w:type="dxa"/>
            <w:tcBorders>
              <w:top w:val="nil"/>
              <w:left w:val="single" w:sz="4" w:space="0" w:color="auto"/>
              <w:bottom w:val="nil"/>
            </w:tcBorders>
            <w:noWrap/>
            <w:vAlign w:val="center"/>
            <w:hideMark/>
          </w:tcPr>
          <w:p w14:paraId="7803DA5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616" w:type="dxa"/>
            <w:tcBorders>
              <w:top w:val="nil"/>
              <w:bottom w:val="nil"/>
              <w:right w:val="single" w:sz="4" w:space="0" w:color="auto"/>
            </w:tcBorders>
            <w:noWrap/>
            <w:vAlign w:val="center"/>
            <w:hideMark/>
          </w:tcPr>
          <w:p w14:paraId="46DCDC1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left w:val="single" w:sz="4" w:space="0" w:color="auto"/>
            </w:tcBorders>
            <w:noWrap/>
            <w:vAlign w:val="center"/>
            <w:hideMark/>
          </w:tcPr>
          <w:p w14:paraId="21F3D16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1.65</w:t>
            </w:r>
          </w:p>
        </w:tc>
        <w:tc>
          <w:tcPr>
            <w:tcW w:w="616" w:type="dxa"/>
            <w:tcBorders>
              <w:right w:val="single" w:sz="18" w:space="0" w:color="000000"/>
            </w:tcBorders>
            <w:noWrap/>
            <w:vAlign w:val="center"/>
            <w:hideMark/>
          </w:tcPr>
          <w:p w14:paraId="21B4D94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0.30</w:t>
            </w:r>
          </w:p>
        </w:tc>
        <w:tc>
          <w:tcPr>
            <w:tcW w:w="766" w:type="dxa"/>
            <w:tcBorders>
              <w:top w:val="nil"/>
              <w:left w:val="single" w:sz="18" w:space="0" w:color="000000"/>
              <w:bottom w:val="nil"/>
            </w:tcBorders>
            <w:noWrap/>
            <w:vAlign w:val="center"/>
            <w:hideMark/>
          </w:tcPr>
          <w:p w14:paraId="3200142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1.50</w:t>
            </w:r>
          </w:p>
        </w:tc>
        <w:tc>
          <w:tcPr>
            <w:tcW w:w="616" w:type="dxa"/>
            <w:tcBorders>
              <w:top w:val="nil"/>
              <w:bottom w:val="nil"/>
              <w:right w:val="single" w:sz="4" w:space="0" w:color="auto"/>
            </w:tcBorders>
            <w:noWrap/>
            <w:vAlign w:val="center"/>
            <w:hideMark/>
          </w:tcPr>
          <w:p w14:paraId="48118E6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0.28</w:t>
            </w:r>
          </w:p>
        </w:tc>
        <w:tc>
          <w:tcPr>
            <w:tcW w:w="766" w:type="dxa"/>
            <w:tcBorders>
              <w:top w:val="nil"/>
              <w:left w:val="single" w:sz="4" w:space="0" w:color="auto"/>
              <w:bottom w:val="nil"/>
            </w:tcBorders>
            <w:noWrap/>
            <w:vAlign w:val="center"/>
            <w:hideMark/>
          </w:tcPr>
          <w:p w14:paraId="64900F4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2.27</w:t>
            </w:r>
          </w:p>
        </w:tc>
        <w:tc>
          <w:tcPr>
            <w:tcW w:w="616" w:type="dxa"/>
            <w:tcBorders>
              <w:top w:val="nil"/>
              <w:bottom w:val="nil"/>
              <w:right w:val="single" w:sz="4" w:space="0" w:color="auto"/>
            </w:tcBorders>
            <w:noWrap/>
            <w:vAlign w:val="center"/>
            <w:hideMark/>
          </w:tcPr>
          <w:p w14:paraId="05A61FA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616" w:type="dxa"/>
            <w:tcBorders>
              <w:left w:val="single" w:sz="4" w:space="0" w:color="auto"/>
            </w:tcBorders>
            <w:noWrap/>
            <w:vAlign w:val="center"/>
            <w:hideMark/>
          </w:tcPr>
          <w:p w14:paraId="5119513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0.66</w:t>
            </w:r>
          </w:p>
        </w:tc>
        <w:tc>
          <w:tcPr>
            <w:tcW w:w="676" w:type="dxa"/>
            <w:noWrap/>
            <w:vAlign w:val="center"/>
            <w:hideMark/>
          </w:tcPr>
          <w:p w14:paraId="534D750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0.52</w:t>
            </w:r>
          </w:p>
        </w:tc>
      </w:tr>
      <w:tr w:rsidR="001F4DDE" w:rsidRPr="00C85BEF" w14:paraId="50004B53"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476598D4" w14:textId="77777777" w:rsidR="001F4DDE" w:rsidRPr="00C85BEF" w:rsidRDefault="001F4DDE" w:rsidP="001F4DDE">
            <w:pPr>
              <w:jc w:val="center"/>
              <w:rPr>
                <w:bCs/>
                <w:color w:val="000000"/>
                <w:sz w:val="16"/>
                <w:szCs w:val="16"/>
              </w:rPr>
            </w:pPr>
            <w:r w:rsidRPr="00C85BEF">
              <w:rPr>
                <w:bCs/>
                <w:color w:val="000000"/>
                <w:sz w:val="16"/>
                <w:szCs w:val="16"/>
              </w:rPr>
              <w:t>India</w:t>
            </w:r>
          </w:p>
        </w:tc>
        <w:tc>
          <w:tcPr>
            <w:tcW w:w="1016" w:type="dxa"/>
            <w:tcBorders>
              <w:top w:val="nil"/>
              <w:bottom w:val="nil"/>
            </w:tcBorders>
            <w:noWrap/>
            <w:vAlign w:val="center"/>
            <w:hideMark/>
          </w:tcPr>
          <w:p w14:paraId="1FA4C8E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0FBCB94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561CFE2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w:t>
            </w:r>
          </w:p>
        </w:tc>
        <w:tc>
          <w:tcPr>
            <w:tcW w:w="616" w:type="dxa"/>
            <w:tcBorders>
              <w:top w:val="nil"/>
              <w:bottom w:val="nil"/>
              <w:right w:val="single" w:sz="4" w:space="0" w:color="auto"/>
            </w:tcBorders>
            <w:noWrap/>
            <w:vAlign w:val="center"/>
            <w:hideMark/>
          </w:tcPr>
          <w:p w14:paraId="314F402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766" w:type="dxa"/>
            <w:tcBorders>
              <w:top w:val="nil"/>
              <w:left w:val="single" w:sz="4" w:space="0" w:color="auto"/>
              <w:bottom w:val="nil"/>
            </w:tcBorders>
            <w:noWrap/>
            <w:vAlign w:val="center"/>
            <w:hideMark/>
          </w:tcPr>
          <w:p w14:paraId="485D59D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18" w:space="0" w:color="000000"/>
            </w:tcBorders>
            <w:noWrap/>
            <w:vAlign w:val="center"/>
            <w:hideMark/>
          </w:tcPr>
          <w:p w14:paraId="404D152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766" w:type="dxa"/>
            <w:tcBorders>
              <w:left w:val="single" w:sz="18" w:space="0" w:color="000000"/>
            </w:tcBorders>
            <w:noWrap/>
            <w:vAlign w:val="center"/>
            <w:hideMark/>
          </w:tcPr>
          <w:p w14:paraId="683156E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4.04</w:t>
            </w:r>
          </w:p>
        </w:tc>
        <w:tc>
          <w:tcPr>
            <w:tcW w:w="636" w:type="dxa"/>
            <w:tcBorders>
              <w:right w:val="single" w:sz="4" w:space="0" w:color="auto"/>
            </w:tcBorders>
            <w:noWrap/>
            <w:vAlign w:val="center"/>
            <w:hideMark/>
          </w:tcPr>
          <w:p w14:paraId="47DFBEA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0.02</w:t>
            </w:r>
          </w:p>
        </w:tc>
        <w:tc>
          <w:tcPr>
            <w:tcW w:w="766" w:type="dxa"/>
            <w:tcBorders>
              <w:top w:val="nil"/>
              <w:left w:val="single" w:sz="4" w:space="0" w:color="auto"/>
              <w:bottom w:val="nil"/>
            </w:tcBorders>
            <w:noWrap/>
            <w:vAlign w:val="center"/>
            <w:hideMark/>
          </w:tcPr>
          <w:p w14:paraId="6DA2B5C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4.04</w:t>
            </w:r>
          </w:p>
        </w:tc>
        <w:tc>
          <w:tcPr>
            <w:tcW w:w="616" w:type="dxa"/>
            <w:tcBorders>
              <w:top w:val="nil"/>
              <w:bottom w:val="nil"/>
              <w:right w:val="single" w:sz="4" w:space="0" w:color="auto"/>
            </w:tcBorders>
            <w:noWrap/>
            <w:vAlign w:val="center"/>
            <w:hideMark/>
          </w:tcPr>
          <w:p w14:paraId="1623B53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0.02</w:t>
            </w:r>
          </w:p>
        </w:tc>
        <w:tc>
          <w:tcPr>
            <w:tcW w:w="766" w:type="dxa"/>
            <w:tcBorders>
              <w:left w:val="single" w:sz="4" w:space="0" w:color="auto"/>
            </w:tcBorders>
            <w:noWrap/>
            <w:vAlign w:val="center"/>
            <w:hideMark/>
          </w:tcPr>
          <w:p w14:paraId="72EAA08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2.97</w:t>
            </w:r>
          </w:p>
        </w:tc>
        <w:tc>
          <w:tcPr>
            <w:tcW w:w="616" w:type="dxa"/>
            <w:tcBorders>
              <w:right w:val="single" w:sz="18" w:space="0" w:color="000000"/>
            </w:tcBorders>
            <w:noWrap/>
            <w:vAlign w:val="center"/>
            <w:hideMark/>
          </w:tcPr>
          <w:p w14:paraId="2E1CDCF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766" w:type="dxa"/>
            <w:tcBorders>
              <w:top w:val="nil"/>
              <w:left w:val="single" w:sz="18" w:space="0" w:color="000000"/>
              <w:bottom w:val="nil"/>
            </w:tcBorders>
            <w:noWrap/>
            <w:vAlign w:val="center"/>
            <w:hideMark/>
          </w:tcPr>
          <w:p w14:paraId="2456CBA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0.18</w:t>
            </w:r>
          </w:p>
        </w:tc>
        <w:tc>
          <w:tcPr>
            <w:tcW w:w="616" w:type="dxa"/>
            <w:tcBorders>
              <w:top w:val="nil"/>
              <w:bottom w:val="nil"/>
              <w:right w:val="single" w:sz="4" w:space="0" w:color="auto"/>
            </w:tcBorders>
            <w:noWrap/>
            <w:vAlign w:val="center"/>
            <w:hideMark/>
          </w:tcPr>
          <w:p w14:paraId="30CE7A5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0.83</w:t>
            </w:r>
          </w:p>
        </w:tc>
        <w:tc>
          <w:tcPr>
            <w:tcW w:w="766" w:type="dxa"/>
            <w:tcBorders>
              <w:top w:val="nil"/>
              <w:left w:val="single" w:sz="4" w:space="0" w:color="auto"/>
              <w:bottom w:val="nil"/>
            </w:tcBorders>
            <w:noWrap/>
            <w:vAlign w:val="center"/>
            <w:hideMark/>
          </w:tcPr>
          <w:p w14:paraId="7C3729F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0.18</w:t>
            </w:r>
          </w:p>
        </w:tc>
        <w:tc>
          <w:tcPr>
            <w:tcW w:w="616" w:type="dxa"/>
            <w:tcBorders>
              <w:top w:val="nil"/>
              <w:bottom w:val="nil"/>
              <w:right w:val="single" w:sz="4" w:space="0" w:color="auto"/>
            </w:tcBorders>
            <w:noWrap/>
            <w:vAlign w:val="center"/>
            <w:hideMark/>
          </w:tcPr>
          <w:p w14:paraId="6B5135C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0.83</w:t>
            </w:r>
          </w:p>
        </w:tc>
        <w:tc>
          <w:tcPr>
            <w:tcW w:w="616" w:type="dxa"/>
            <w:tcBorders>
              <w:left w:val="single" w:sz="4" w:space="0" w:color="auto"/>
            </w:tcBorders>
            <w:noWrap/>
            <w:vAlign w:val="center"/>
            <w:hideMark/>
          </w:tcPr>
          <w:p w14:paraId="2588FFB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76" w:type="dxa"/>
            <w:noWrap/>
            <w:vAlign w:val="center"/>
            <w:hideMark/>
          </w:tcPr>
          <w:p w14:paraId="13C6E30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r>
      <w:tr w:rsidR="001F4DDE" w:rsidRPr="00C85BEF" w14:paraId="1A3488BA"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36568971" w14:textId="77777777" w:rsidR="001F4DDE" w:rsidRPr="00C85BEF" w:rsidRDefault="001F4DDE" w:rsidP="001F4DDE">
            <w:pPr>
              <w:jc w:val="center"/>
              <w:rPr>
                <w:bCs/>
                <w:color w:val="000000"/>
                <w:sz w:val="16"/>
                <w:szCs w:val="16"/>
              </w:rPr>
            </w:pPr>
            <w:r w:rsidRPr="00C85BEF">
              <w:rPr>
                <w:bCs/>
                <w:color w:val="000000"/>
                <w:sz w:val="16"/>
                <w:szCs w:val="16"/>
              </w:rPr>
              <w:t>Indonesia</w:t>
            </w:r>
          </w:p>
        </w:tc>
        <w:tc>
          <w:tcPr>
            <w:tcW w:w="1016" w:type="dxa"/>
            <w:tcBorders>
              <w:top w:val="nil"/>
              <w:bottom w:val="nil"/>
            </w:tcBorders>
            <w:noWrap/>
            <w:vAlign w:val="center"/>
            <w:hideMark/>
          </w:tcPr>
          <w:p w14:paraId="30E3892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0.56</w:t>
            </w:r>
          </w:p>
        </w:tc>
        <w:tc>
          <w:tcPr>
            <w:tcW w:w="616" w:type="dxa"/>
            <w:tcBorders>
              <w:top w:val="nil"/>
              <w:bottom w:val="nil"/>
              <w:right w:val="single" w:sz="4" w:space="0" w:color="auto"/>
            </w:tcBorders>
            <w:noWrap/>
            <w:vAlign w:val="center"/>
            <w:hideMark/>
          </w:tcPr>
          <w:p w14:paraId="24121DA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0.59</w:t>
            </w:r>
          </w:p>
        </w:tc>
        <w:tc>
          <w:tcPr>
            <w:tcW w:w="766" w:type="dxa"/>
            <w:tcBorders>
              <w:top w:val="nil"/>
              <w:left w:val="single" w:sz="4" w:space="0" w:color="auto"/>
              <w:bottom w:val="nil"/>
            </w:tcBorders>
            <w:noWrap/>
            <w:vAlign w:val="center"/>
            <w:hideMark/>
          </w:tcPr>
          <w:p w14:paraId="660839C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0.65</w:t>
            </w:r>
          </w:p>
        </w:tc>
        <w:tc>
          <w:tcPr>
            <w:tcW w:w="616" w:type="dxa"/>
            <w:tcBorders>
              <w:top w:val="nil"/>
              <w:bottom w:val="nil"/>
              <w:right w:val="single" w:sz="4" w:space="0" w:color="auto"/>
            </w:tcBorders>
            <w:noWrap/>
            <w:vAlign w:val="center"/>
            <w:hideMark/>
          </w:tcPr>
          <w:p w14:paraId="649D644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0.51</w:t>
            </w:r>
          </w:p>
        </w:tc>
        <w:tc>
          <w:tcPr>
            <w:tcW w:w="766" w:type="dxa"/>
            <w:tcBorders>
              <w:top w:val="nil"/>
              <w:left w:val="single" w:sz="4" w:space="0" w:color="auto"/>
              <w:bottom w:val="nil"/>
            </w:tcBorders>
            <w:noWrap/>
            <w:vAlign w:val="center"/>
            <w:hideMark/>
          </w:tcPr>
          <w:p w14:paraId="051CE19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0.38</w:t>
            </w:r>
          </w:p>
        </w:tc>
        <w:tc>
          <w:tcPr>
            <w:tcW w:w="616" w:type="dxa"/>
            <w:tcBorders>
              <w:top w:val="nil"/>
              <w:bottom w:val="nil"/>
              <w:right w:val="single" w:sz="18" w:space="0" w:color="000000"/>
            </w:tcBorders>
            <w:noWrap/>
            <w:vAlign w:val="center"/>
            <w:hideMark/>
          </w:tcPr>
          <w:p w14:paraId="400749F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0.68</w:t>
            </w:r>
          </w:p>
        </w:tc>
        <w:tc>
          <w:tcPr>
            <w:tcW w:w="766" w:type="dxa"/>
            <w:tcBorders>
              <w:left w:val="single" w:sz="18" w:space="0" w:color="000000"/>
            </w:tcBorders>
            <w:noWrap/>
            <w:vAlign w:val="center"/>
            <w:hideMark/>
          </w:tcPr>
          <w:p w14:paraId="72ADD9C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36" w:type="dxa"/>
            <w:tcBorders>
              <w:right w:val="single" w:sz="4" w:space="0" w:color="auto"/>
            </w:tcBorders>
            <w:noWrap/>
            <w:vAlign w:val="center"/>
            <w:hideMark/>
          </w:tcPr>
          <w:p w14:paraId="12889EF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top w:val="nil"/>
              <w:left w:val="single" w:sz="4" w:space="0" w:color="auto"/>
              <w:bottom w:val="nil"/>
            </w:tcBorders>
            <w:noWrap/>
            <w:vAlign w:val="center"/>
            <w:hideMark/>
          </w:tcPr>
          <w:p w14:paraId="1E46D3A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2.48</w:t>
            </w:r>
          </w:p>
        </w:tc>
        <w:tc>
          <w:tcPr>
            <w:tcW w:w="616" w:type="dxa"/>
            <w:tcBorders>
              <w:top w:val="nil"/>
              <w:bottom w:val="nil"/>
              <w:right w:val="single" w:sz="4" w:space="0" w:color="auto"/>
            </w:tcBorders>
            <w:noWrap/>
            <w:vAlign w:val="center"/>
            <w:hideMark/>
          </w:tcPr>
          <w:p w14:paraId="1E318AE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0.09</w:t>
            </w:r>
          </w:p>
        </w:tc>
        <w:tc>
          <w:tcPr>
            <w:tcW w:w="766" w:type="dxa"/>
            <w:tcBorders>
              <w:left w:val="single" w:sz="4" w:space="0" w:color="auto"/>
            </w:tcBorders>
            <w:noWrap/>
            <w:vAlign w:val="center"/>
            <w:hideMark/>
          </w:tcPr>
          <w:p w14:paraId="6DAB6BD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2.48</w:t>
            </w:r>
          </w:p>
        </w:tc>
        <w:tc>
          <w:tcPr>
            <w:tcW w:w="616" w:type="dxa"/>
            <w:tcBorders>
              <w:right w:val="single" w:sz="18" w:space="0" w:color="000000"/>
            </w:tcBorders>
            <w:noWrap/>
            <w:vAlign w:val="center"/>
            <w:hideMark/>
          </w:tcPr>
          <w:p w14:paraId="64558E8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0.09</w:t>
            </w:r>
          </w:p>
        </w:tc>
        <w:tc>
          <w:tcPr>
            <w:tcW w:w="766" w:type="dxa"/>
            <w:tcBorders>
              <w:top w:val="nil"/>
              <w:left w:val="single" w:sz="18" w:space="0" w:color="000000"/>
              <w:bottom w:val="nil"/>
            </w:tcBorders>
            <w:noWrap/>
            <w:vAlign w:val="center"/>
            <w:hideMark/>
          </w:tcPr>
          <w:p w14:paraId="414955C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0.20</w:t>
            </w:r>
          </w:p>
        </w:tc>
        <w:tc>
          <w:tcPr>
            <w:tcW w:w="616" w:type="dxa"/>
            <w:tcBorders>
              <w:top w:val="nil"/>
              <w:bottom w:val="nil"/>
              <w:right w:val="single" w:sz="4" w:space="0" w:color="auto"/>
            </w:tcBorders>
            <w:noWrap/>
            <w:vAlign w:val="center"/>
            <w:hideMark/>
          </w:tcPr>
          <w:p w14:paraId="356C04B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0.82</w:t>
            </w:r>
          </w:p>
        </w:tc>
        <w:tc>
          <w:tcPr>
            <w:tcW w:w="766" w:type="dxa"/>
            <w:tcBorders>
              <w:top w:val="nil"/>
              <w:left w:val="single" w:sz="4" w:space="0" w:color="auto"/>
              <w:bottom w:val="nil"/>
            </w:tcBorders>
            <w:noWrap/>
            <w:vAlign w:val="center"/>
            <w:hideMark/>
          </w:tcPr>
          <w:p w14:paraId="0BFCAE8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0.44</w:t>
            </w:r>
          </w:p>
        </w:tc>
        <w:tc>
          <w:tcPr>
            <w:tcW w:w="616" w:type="dxa"/>
            <w:tcBorders>
              <w:top w:val="nil"/>
              <w:bottom w:val="nil"/>
              <w:right w:val="single" w:sz="4" w:space="0" w:color="auto"/>
            </w:tcBorders>
            <w:noWrap/>
            <w:vAlign w:val="center"/>
            <w:hideMark/>
          </w:tcPr>
          <w:p w14:paraId="77C03BA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0.62</w:t>
            </w:r>
          </w:p>
        </w:tc>
        <w:tc>
          <w:tcPr>
            <w:tcW w:w="616" w:type="dxa"/>
            <w:tcBorders>
              <w:left w:val="single" w:sz="4" w:space="0" w:color="auto"/>
            </w:tcBorders>
            <w:noWrap/>
            <w:vAlign w:val="center"/>
            <w:hideMark/>
          </w:tcPr>
          <w:p w14:paraId="24BE0C0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0.76</w:t>
            </w:r>
          </w:p>
        </w:tc>
        <w:tc>
          <w:tcPr>
            <w:tcW w:w="676" w:type="dxa"/>
            <w:noWrap/>
            <w:vAlign w:val="center"/>
            <w:hideMark/>
          </w:tcPr>
          <w:p w14:paraId="29E03A9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0.47</w:t>
            </w:r>
          </w:p>
        </w:tc>
      </w:tr>
      <w:tr w:rsidR="001F4DDE" w:rsidRPr="00C85BEF" w14:paraId="62C7A747"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6C6E0130" w14:textId="77777777" w:rsidR="001F4DDE" w:rsidRPr="00C85BEF" w:rsidRDefault="001F4DDE" w:rsidP="001F4DDE">
            <w:pPr>
              <w:jc w:val="center"/>
              <w:rPr>
                <w:bCs/>
                <w:color w:val="000000"/>
                <w:sz w:val="16"/>
                <w:szCs w:val="16"/>
              </w:rPr>
            </w:pPr>
            <w:r w:rsidRPr="00C85BEF">
              <w:rPr>
                <w:bCs/>
                <w:color w:val="000000"/>
                <w:sz w:val="16"/>
                <w:szCs w:val="16"/>
              </w:rPr>
              <w:t>Korea</w:t>
            </w:r>
          </w:p>
        </w:tc>
        <w:tc>
          <w:tcPr>
            <w:tcW w:w="1016" w:type="dxa"/>
            <w:tcBorders>
              <w:top w:val="nil"/>
              <w:bottom w:val="nil"/>
            </w:tcBorders>
            <w:noWrap/>
            <w:vAlign w:val="center"/>
            <w:hideMark/>
          </w:tcPr>
          <w:p w14:paraId="5330826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4" w:space="0" w:color="auto"/>
            </w:tcBorders>
            <w:noWrap/>
            <w:vAlign w:val="center"/>
            <w:hideMark/>
          </w:tcPr>
          <w:p w14:paraId="0708705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4" w:space="0" w:color="auto"/>
              <w:bottom w:val="nil"/>
            </w:tcBorders>
            <w:noWrap/>
            <w:vAlign w:val="center"/>
            <w:hideMark/>
          </w:tcPr>
          <w:p w14:paraId="69CA337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4" w:space="0" w:color="auto"/>
            </w:tcBorders>
            <w:noWrap/>
            <w:vAlign w:val="center"/>
            <w:hideMark/>
          </w:tcPr>
          <w:p w14:paraId="0D2513C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4" w:space="0" w:color="auto"/>
              <w:bottom w:val="nil"/>
            </w:tcBorders>
            <w:noWrap/>
            <w:vAlign w:val="center"/>
            <w:hideMark/>
          </w:tcPr>
          <w:p w14:paraId="62739D7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18" w:space="0" w:color="000000"/>
            </w:tcBorders>
            <w:noWrap/>
            <w:vAlign w:val="center"/>
            <w:hideMark/>
          </w:tcPr>
          <w:p w14:paraId="086BD91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left w:val="single" w:sz="18" w:space="0" w:color="000000"/>
            </w:tcBorders>
            <w:noWrap/>
            <w:vAlign w:val="center"/>
            <w:hideMark/>
          </w:tcPr>
          <w:p w14:paraId="2C73DD1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0.73</w:t>
            </w:r>
          </w:p>
        </w:tc>
        <w:tc>
          <w:tcPr>
            <w:tcW w:w="636" w:type="dxa"/>
            <w:tcBorders>
              <w:right w:val="single" w:sz="4" w:space="0" w:color="auto"/>
            </w:tcBorders>
            <w:noWrap/>
            <w:vAlign w:val="center"/>
            <w:hideMark/>
          </w:tcPr>
          <w:p w14:paraId="73F5626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0.49</w:t>
            </w:r>
          </w:p>
        </w:tc>
        <w:tc>
          <w:tcPr>
            <w:tcW w:w="766" w:type="dxa"/>
            <w:tcBorders>
              <w:top w:val="nil"/>
              <w:left w:val="single" w:sz="4" w:space="0" w:color="auto"/>
              <w:bottom w:val="nil"/>
            </w:tcBorders>
            <w:noWrap/>
            <w:vAlign w:val="center"/>
            <w:hideMark/>
          </w:tcPr>
          <w:p w14:paraId="27CC888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0.84</w:t>
            </w:r>
          </w:p>
        </w:tc>
        <w:tc>
          <w:tcPr>
            <w:tcW w:w="616" w:type="dxa"/>
            <w:tcBorders>
              <w:top w:val="nil"/>
              <w:bottom w:val="nil"/>
              <w:right w:val="single" w:sz="4" w:space="0" w:color="auto"/>
            </w:tcBorders>
            <w:noWrap/>
            <w:vAlign w:val="center"/>
            <w:hideMark/>
          </w:tcPr>
          <w:p w14:paraId="6C9E294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0.41</w:t>
            </w:r>
          </w:p>
        </w:tc>
        <w:tc>
          <w:tcPr>
            <w:tcW w:w="766" w:type="dxa"/>
            <w:tcBorders>
              <w:left w:val="single" w:sz="4" w:space="0" w:color="auto"/>
            </w:tcBorders>
            <w:noWrap/>
            <w:vAlign w:val="center"/>
            <w:hideMark/>
          </w:tcPr>
          <w:p w14:paraId="0AA1CC1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0.34</w:t>
            </w:r>
          </w:p>
        </w:tc>
        <w:tc>
          <w:tcPr>
            <w:tcW w:w="616" w:type="dxa"/>
            <w:tcBorders>
              <w:right w:val="single" w:sz="18" w:space="0" w:color="000000"/>
            </w:tcBorders>
            <w:noWrap/>
            <w:vAlign w:val="center"/>
            <w:hideMark/>
          </w:tcPr>
          <w:p w14:paraId="7C1FD67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0.72</w:t>
            </w:r>
          </w:p>
        </w:tc>
        <w:tc>
          <w:tcPr>
            <w:tcW w:w="766" w:type="dxa"/>
            <w:tcBorders>
              <w:top w:val="nil"/>
              <w:left w:val="single" w:sz="18" w:space="0" w:color="000000"/>
              <w:bottom w:val="nil"/>
            </w:tcBorders>
            <w:noWrap/>
            <w:vAlign w:val="center"/>
            <w:hideMark/>
          </w:tcPr>
          <w:p w14:paraId="6C74597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4699255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7C3A3ED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618A905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616" w:type="dxa"/>
            <w:tcBorders>
              <w:left w:val="single" w:sz="4" w:space="0" w:color="auto"/>
            </w:tcBorders>
            <w:noWrap/>
            <w:vAlign w:val="center"/>
            <w:hideMark/>
          </w:tcPr>
          <w:p w14:paraId="1BCFE40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0.25</w:t>
            </w:r>
          </w:p>
        </w:tc>
        <w:tc>
          <w:tcPr>
            <w:tcW w:w="676" w:type="dxa"/>
            <w:noWrap/>
            <w:vAlign w:val="center"/>
            <w:hideMark/>
          </w:tcPr>
          <w:p w14:paraId="116B772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0.77</w:t>
            </w:r>
          </w:p>
        </w:tc>
      </w:tr>
      <w:tr w:rsidR="001F4DDE" w:rsidRPr="00C85BEF" w14:paraId="12654A69"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206935E6" w14:textId="77777777" w:rsidR="001F4DDE" w:rsidRPr="00C85BEF" w:rsidRDefault="001F4DDE" w:rsidP="001F4DDE">
            <w:pPr>
              <w:jc w:val="center"/>
              <w:rPr>
                <w:bCs/>
                <w:color w:val="000000"/>
                <w:sz w:val="16"/>
                <w:szCs w:val="16"/>
              </w:rPr>
            </w:pPr>
            <w:r w:rsidRPr="00C85BEF">
              <w:rPr>
                <w:bCs/>
                <w:color w:val="000000"/>
                <w:sz w:val="16"/>
                <w:szCs w:val="16"/>
              </w:rPr>
              <w:t>Malaysia</w:t>
            </w:r>
          </w:p>
        </w:tc>
        <w:tc>
          <w:tcPr>
            <w:tcW w:w="1016" w:type="dxa"/>
            <w:tcBorders>
              <w:top w:val="nil"/>
              <w:bottom w:val="nil"/>
            </w:tcBorders>
            <w:noWrap/>
            <w:vAlign w:val="center"/>
            <w:hideMark/>
          </w:tcPr>
          <w:p w14:paraId="7F4569A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0.26</w:t>
            </w:r>
          </w:p>
        </w:tc>
        <w:tc>
          <w:tcPr>
            <w:tcW w:w="616" w:type="dxa"/>
            <w:tcBorders>
              <w:top w:val="nil"/>
              <w:bottom w:val="nil"/>
              <w:right w:val="single" w:sz="4" w:space="0" w:color="auto"/>
            </w:tcBorders>
            <w:noWrap/>
            <w:vAlign w:val="center"/>
            <w:hideMark/>
          </w:tcPr>
          <w:p w14:paraId="24F244B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0.77</w:t>
            </w:r>
          </w:p>
        </w:tc>
        <w:tc>
          <w:tcPr>
            <w:tcW w:w="766" w:type="dxa"/>
            <w:tcBorders>
              <w:top w:val="nil"/>
              <w:left w:val="single" w:sz="4" w:space="0" w:color="auto"/>
              <w:bottom w:val="nil"/>
            </w:tcBorders>
            <w:noWrap/>
            <w:vAlign w:val="center"/>
            <w:hideMark/>
          </w:tcPr>
          <w:p w14:paraId="7D430AC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0.27</w:t>
            </w:r>
          </w:p>
        </w:tc>
        <w:tc>
          <w:tcPr>
            <w:tcW w:w="616" w:type="dxa"/>
            <w:tcBorders>
              <w:top w:val="nil"/>
              <w:bottom w:val="nil"/>
              <w:right w:val="single" w:sz="4" w:space="0" w:color="auto"/>
            </w:tcBorders>
            <w:noWrap/>
            <w:vAlign w:val="center"/>
            <w:hideMark/>
          </w:tcPr>
          <w:p w14:paraId="1002510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0.76</w:t>
            </w:r>
          </w:p>
        </w:tc>
        <w:tc>
          <w:tcPr>
            <w:tcW w:w="766" w:type="dxa"/>
            <w:tcBorders>
              <w:top w:val="nil"/>
              <w:left w:val="single" w:sz="4" w:space="0" w:color="auto"/>
              <w:bottom w:val="nil"/>
            </w:tcBorders>
            <w:noWrap/>
            <w:vAlign w:val="center"/>
            <w:hideMark/>
          </w:tcPr>
          <w:p w14:paraId="43EAA15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0.12</w:t>
            </w:r>
          </w:p>
        </w:tc>
        <w:tc>
          <w:tcPr>
            <w:tcW w:w="616" w:type="dxa"/>
            <w:tcBorders>
              <w:top w:val="nil"/>
              <w:bottom w:val="nil"/>
              <w:right w:val="single" w:sz="18" w:space="0" w:color="000000"/>
            </w:tcBorders>
            <w:noWrap/>
            <w:vAlign w:val="center"/>
            <w:hideMark/>
          </w:tcPr>
          <w:p w14:paraId="1B3CDB8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0.88</w:t>
            </w:r>
          </w:p>
        </w:tc>
        <w:tc>
          <w:tcPr>
            <w:tcW w:w="766" w:type="dxa"/>
            <w:tcBorders>
              <w:left w:val="single" w:sz="18" w:space="0" w:color="000000"/>
            </w:tcBorders>
            <w:noWrap/>
            <w:vAlign w:val="center"/>
            <w:hideMark/>
          </w:tcPr>
          <w:p w14:paraId="08BF929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3.75</w:t>
            </w:r>
          </w:p>
        </w:tc>
        <w:tc>
          <w:tcPr>
            <w:tcW w:w="636" w:type="dxa"/>
            <w:tcBorders>
              <w:right w:val="single" w:sz="4" w:space="0" w:color="auto"/>
            </w:tcBorders>
            <w:noWrap/>
            <w:vAlign w:val="center"/>
            <w:hideMark/>
          </w:tcPr>
          <w:p w14:paraId="38680AB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0.03</w:t>
            </w:r>
          </w:p>
        </w:tc>
        <w:tc>
          <w:tcPr>
            <w:tcW w:w="766" w:type="dxa"/>
            <w:tcBorders>
              <w:top w:val="nil"/>
              <w:left w:val="single" w:sz="4" w:space="0" w:color="auto"/>
              <w:bottom w:val="nil"/>
            </w:tcBorders>
            <w:noWrap/>
            <w:vAlign w:val="center"/>
            <w:hideMark/>
          </w:tcPr>
          <w:p w14:paraId="0A70EAF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2.04</w:t>
            </w:r>
          </w:p>
        </w:tc>
        <w:tc>
          <w:tcPr>
            <w:tcW w:w="616" w:type="dxa"/>
            <w:tcBorders>
              <w:top w:val="nil"/>
              <w:bottom w:val="nil"/>
              <w:right w:val="single" w:sz="4" w:space="0" w:color="auto"/>
            </w:tcBorders>
            <w:noWrap/>
            <w:vAlign w:val="center"/>
            <w:hideMark/>
          </w:tcPr>
          <w:p w14:paraId="28F3250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0.12</w:t>
            </w:r>
          </w:p>
        </w:tc>
        <w:tc>
          <w:tcPr>
            <w:tcW w:w="766" w:type="dxa"/>
            <w:tcBorders>
              <w:left w:val="single" w:sz="4" w:space="0" w:color="auto"/>
            </w:tcBorders>
            <w:noWrap/>
            <w:vAlign w:val="center"/>
            <w:hideMark/>
          </w:tcPr>
          <w:p w14:paraId="12E05DD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2.27</w:t>
            </w:r>
          </w:p>
        </w:tc>
        <w:tc>
          <w:tcPr>
            <w:tcW w:w="616" w:type="dxa"/>
            <w:tcBorders>
              <w:right w:val="single" w:sz="18" w:space="0" w:color="000000"/>
            </w:tcBorders>
            <w:noWrap/>
            <w:vAlign w:val="center"/>
            <w:hideMark/>
          </w:tcPr>
          <w:p w14:paraId="447C512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766" w:type="dxa"/>
            <w:tcBorders>
              <w:top w:val="nil"/>
              <w:left w:val="single" w:sz="18" w:space="0" w:color="000000"/>
              <w:bottom w:val="nil"/>
            </w:tcBorders>
            <w:noWrap/>
            <w:vAlign w:val="center"/>
            <w:hideMark/>
          </w:tcPr>
          <w:p w14:paraId="7042156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0.41</w:t>
            </w:r>
          </w:p>
        </w:tc>
        <w:tc>
          <w:tcPr>
            <w:tcW w:w="616" w:type="dxa"/>
            <w:tcBorders>
              <w:top w:val="nil"/>
              <w:bottom w:val="nil"/>
              <w:right w:val="single" w:sz="4" w:space="0" w:color="auto"/>
            </w:tcBorders>
            <w:noWrap/>
            <w:vAlign w:val="center"/>
            <w:hideMark/>
          </w:tcPr>
          <w:p w14:paraId="323C71F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0.65</w:t>
            </w:r>
          </w:p>
        </w:tc>
        <w:tc>
          <w:tcPr>
            <w:tcW w:w="766" w:type="dxa"/>
            <w:tcBorders>
              <w:top w:val="nil"/>
              <w:left w:val="single" w:sz="4" w:space="0" w:color="auto"/>
              <w:bottom w:val="nil"/>
            </w:tcBorders>
            <w:noWrap/>
            <w:vAlign w:val="center"/>
            <w:hideMark/>
          </w:tcPr>
          <w:p w14:paraId="53EC6D9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0.24</w:t>
            </w:r>
          </w:p>
        </w:tc>
        <w:tc>
          <w:tcPr>
            <w:tcW w:w="616" w:type="dxa"/>
            <w:tcBorders>
              <w:top w:val="nil"/>
              <w:bottom w:val="nil"/>
              <w:right w:val="single" w:sz="4" w:space="0" w:color="auto"/>
            </w:tcBorders>
            <w:noWrap/>
            <w:vAlign w:val="center"/>
            <w:hideMark/>
          </w:tcPr>
          <w:p w14:paraId="30350C6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0.78</w:t>
            </w:r>
          </w:p>
        </w:tc>
        <w:tc>
          <w:tcPr>
            <w:tcW w:w="616" w:type="dxa"/>
            <w:tcBorders>
              <w:left w:val="single" w:sz="4" w:space="0" w:color="auto"/>
            </w:tcBorders>
            <w:noWrap/>
            <w:vAlign w:val="center"/>
            <w:hideMark/>
          </w:tcPr>
          <w:p w14:paraId="7E2A91E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76" w:type="dxa"/>
            <w:noWrap/>
            <w:vAlign w:val="center"/>
            <w:hideMark/>
          </w:tcPr>
          <w:p w14:paraId="422B4E3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r>
      <w:tr w:rsidR="001F4DDE" w:rsidRPr="00C85BEF" w14:paraId="042A73AE"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52E4663A" w14:textId="77777777" w:rsidR="001F4DDE" w:rsidRPr="00C85BEF" w:rsidRDefault="001F4DDE" w:rsidP="001F4DDE">
            <w:pPr>
              <w:jc w:val="center"/>
              <w:rPr>
                <w:bCs/>
                <w:color w:val="000000"/>
                <w:sz w:val="16"/>
                <w:szCs w:val="16"/>
              </w:rPr>
            </w:pPr>
            <w:r w:rsidRPr="00C85BEF">
              <w:rPr>
                <w:bCs/>
                <w:color w:val="000000"/>
                <w:sz w:val="16"/>
                <w:szCs w:val="16"/>
              </w:rPr>
              <w:t>Mexico</w:t>
            </w:r>
          </w:p>
        </w:tc>
        <w:tc>
          <w:tcPr>
            <w:tcW w:w="1016" w:type="dxa"/>
            <w:tcBorders>
              <w:top w:val="nil"/>
              <w:bottom w:val="nil"/>
            </w:tcBorders>
            <w:noWrap/>
            <w:vAlign w:val="center"/>
            <w:hideMark/>
          </w:tcPr>
          <w:p w14:paraId="1F328ED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0.14</w:t>
            </w:r>
          </w:p>
        </w:tc>
        <w:tc>
          <w:tcPr>
            <w:tcW w:w="616" w:type="dxa"/>
            <w:tcBorders>
              <w:top w:val="nil"/>
              <w:bottom w:val="nil"/>
              <w:right w:val="single" w:sz="4" w:space="0" w:color="auto"/>
            </w:tcBorders>
            <w:noWrap/>
            <w:vAlign w:val="center"/>
            <w:hideMark/>
          </w:tcPr>
          <w:p w14:paraId="719FC5A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0.86</w:t>
            </w:r>
          </w:p>
        </w:tc>
        <w:tc>
          <w:tcPr>
            <w:tcW w:w="766" w:type="dxa"/>
            <w:tcBorders>
              <w:top w:val="nil"/>
              <w:left w:val="single" w:sz="4" w:space="0" w:color="auto"/>
              <w:bottom w:val="nil"/>
            </w:tcBorders>
            <w:noWrap/>
            <w:vAlign w:val="center"/>
            <w:hideMark/>
          </w:tcPr>
          <w:p w14:paraId="196E337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4" w:space="0" w:color="auto"/>
            </w:tcBorders>
            <w:noWrap/>
            <w:vAlign w:val="center"/>
            <w:hideMark/>
          </w:tcPr>
          <w:p w14:paraId="33B9450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766" w:type="dxa"/>
            <w:tcBorders>
              <w:top w:val="nil"/>
              <w:left w:val="single" w:sz="4" w:space="0" w:color="auto"/>
              <w:bottom w:val="nil"/>
            </w:tcBorders>
            <w:noWrap/>
            <w:vAlign w:val="center"/>
            <w:hideMark/>
          </w:tcPr>
          <w:p w14:paraId="659B085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0.26</w:t>
            </w:r>
          </w:p>
        </w:tc>
        <w:tc>
          <w:tcPr>
            <w:tcW w:w="616" w:type="dxa"/>
            <w:tcBorders>
              <w:top w:val="nil"/>
              <w:bottom w:val="nil"/>
              <w:right w:val="single" w:sz="18" w:space="0" w:color="000000"/>
            </w:tcBorders>
            <w:noWrap/>
            <w:vAlign w:val="center"/>
            <w:hideMark/>
          </w:tcPr>
          <w:p w14:paraId="079C052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0.77</w:t>
            </w:r>
          </w:p>
        </w:tc>
        <w:tc>
          <w:tcPr>
            <w:tcW w:w="766" w:type="dxa"/>
            <w:tcBorders>
              <w:left w:val="single" w:sz="18" w:space="0" w:color="000000"/>
            </w:tcBorders>
            <w:noWrap/>
            <w:vAlign w:val="center"/>
            <w:hideMark/>
          </w:tcPr>
          <w:p w14:paraId="077E028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2.27</w:t>
            </w:r>
          </w:p>
        </w:tc>
        <w:tc>
          <w:tcPr>
            <w:tcW w:w="636" w:type="dxa"/>
            <w:tcBorders>
              <w:right w:val="single" w:sz="4" w:space="0" w:color="auto"/>
            </w:tcBorders>
            <w:noWrap/>
            <w:vAlign w:val="center"/>
            <w:hideMark/>
          </w:tcPr>
          <w:p w14:paraId="0832F33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0.11</w:t>
            </w:r>
          </w:p>
        </w:tc>
        <w:tc>
          <w:tcPr>
            <w:tcW w:w="766" w:type="dxa"/>
            <w:tcBorders>
              <w:top w:val="nil"/>
              <w:left w:val="single" w:sz="4" w:space="0" w:color="auto"/>
              <w:bottom w:val="nil"/>
            </w:tcBorders>
            <w:noWrap/>
            <w:vAlign w:val="center"/>
            <w:hideMark/>
          </w:tcPr>
          <w:p w14:paraId="25A880F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2.48</w:t>
            </w:r>
          </w:p>
        </w:tc>
        <w:tc>
          <w:tcPr>
            <w:tcW w:w="616" w:type="dxa"/>
            <w:tcBorders>
              <w:top w:val="nil"/>
              <w:bottom w:val="nil"/>
              <w:right w:val="single" w:sz="4" w:space="0" w:color="auto"/>
            </w:tcBorders>
            <w:noWrap/>
            <w:vAlign w:val="center"/>
            <w:hideMark/>
          </w:tcPr>
          <w:p w14:paraId="4C680EE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0.09</w:t>
            </w:r>
          </w:p>
        </w:tc>
        <w:tc>
          <w:tcPr>
            <w:tcW w:w="766" w:type="dxa"/>
            <w:tcBorders>
              <w:left w:val="single" w:sz="4" w:space="0" w:color="auto"/>
            </w:tcBorders>
            <w:noWrap/>
            <w:vAlign w:val="center"/>
            <w:hideMark/>
          </w:tcPr>
          <w:p w14:paraId="4F10438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0.34</w:t>
            </w:r>
          </w:p>
        </w:tc>
        <w:tc>
          <w:tcPr>
            <w:tcW w:w="616" w:type="dxa"/>
            <w:tcBorders>
              <w:right w:val="single" w:sz="18" w:space="0" w:color="000000"/>
            </w:tcBorders>
            <w:noWrap/>
            <w:vAlign w:val="center"/>
            <w:hideMark/>
          </w:tcPr>
          <w:p w14:paraId="3DFA7D5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0.72</w:t>
            </w:r>
          </w:p>
        </w:tc>
        <w:tc>
          <w:tcPr>
            <w:tcW w:w="766" w:type="dxa"/>
            <w:tcBorders>
              <w:top w:val="nil"/>
              <w:left w:val="single" w:sz="18" w:space="0" w:color="000000"/>
              <w:bottom w:val="nil"/>
            </w:tcBorders>
            <w:noWrap/>
            <w:vAlign w:val="center"/>
            <w:hideMark/>
          </w:tcPr>
          <w:p w14:paraId="4DA62A8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0.16</w:t>
            </w:r>
          </w:p>
        </w:tc>
        <w:tc>
          <w:tcPr>
            <w:tcW w:w="616" w:type="dxa"/>
            <w:tcBorders>
              <w:top w:val="nil"/>
              <w:bottom w:val="nil"/>
              <w:right w:val="single" w:sz="4" w:space="0" w:color="auto"/>
            </w:tcBorders>
            <w:noWrap/>
            <w:vAlign w:val="center"/>
            <w:hideMark/>
          </w:tcPr>
          <w:p w14:paraId="7ABB177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0.85</w:t>
            </w:r>
          </w:p>
        </w:tc>
        <w:tc>
          <w:tcPr>
            <w:tcW w:w="766" w:type="dxa"/>
            <w:tcBorders>
              <w:top w:val="nil"/>
              <w:left w:val="single" w:sz="4" w:space="0" w:color="auto"/>
              <w:bottom w:val="nil"/>
            </w:tcBorders>
            <w:noWrap/>
            <w:vAlign w:val="center"/>
            <w:hideMark/>
          </w:tcPr>
          <w:p w14:paraId="767F616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0.58</w:t>
            </w:r>
          </w:p>
        </w:tc>
        <w:tc>
          <w:tcPr>
            <w:tcW w:w="616" w:type="dxa"/>
            <w:tcBorders>
              <w:top w:val="nil"/>
              <w:bottom w:val="nil"/>
              <w:right w:val="single" w:sz="4" w:space="0" w:color="auto"/>
            </w:tcBorders>
            <w:noWrap/>
            <w:vAlign w:val="center"/>
            <w:hideMark/>
          </w:tcPr>
          <w:p w14:paraId="0FC8A95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0.58</w:t>
            </w:r>
          </w:p>
        </w:tc>
        <w:tc>
          <w:tcPr>
            <w:tcW w:w="616" w:type="dxa"/>
            <w:tcBorders>
              <w:left w:val="single" w:sz="4" w:space="0" w:color="auto"/>
            </w:tcBorders>
            <w:noWrap/>
            <w:vAlign w:val="center"/>
            <w:hideMark/>
          </w:tcPr>
          <w:p w14:paraId="2014A73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0.14</w:t>
            </w:r>
          </w:p>
        </w:tc>
        <w:tc>
          <w:tcPr>
            <w:tcW w:w="676" w:type="dxa"/>
            <w:noWrap/>
            <w:vAlign w:val="center"/>
            <w:hideMark/>
          </w:tcPr>
          <w:p w14:paraId="535F256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0.87</w:t>
            </w:r>
          </w:p>
        </w:tc>
      </w:tr>
      <w:tr w:rsidR="001F4DDE" w:rsidRPr="00C85BEF" w14:paraId="5BE6981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6BA48179" w14:textId="77777777" w:rsidR="001F4DDE" w:rsidRPr="00C85BEF" w:rsidRDefault="001F4DDE" w:rsidP="001F4DDE">
            <w:pPr>
              <w:jc w:val="center"/>
              <w:rPr>
                <w:bCs/>
                <w:color w:val="000000"/>
                <w:sz w:val="16"/>
                <w:szCs w:val="16"/>
              </w:rPr>
            </w:pPr>
            <w:r w:rsidRPr="00C85BEF">
              <w:rPr>
                <w:bCs/>
                <w:color w:val="000000"/>
                <w:sz w:val="16"/>
                <w:szCs w:val="16"/>
              </w:rPr>
              <w:t>Philippines</w:t>
            </w:r>
          </w:p>
        </w:tc>
        <w:tc>
          <w:tcPr>
            <w:tcW w:w="1016" w:type="dxa"/>
            <w:tcBorders>
              <w:top w:val="nil"/>
              <w:bottom w:val="nil"/>
            </w:tcBorders>
            <w:noWrap/>
            <w:vAlign w:val="center"/>
            <w:hideMark/>
          </w:tcPr>
          <w:p w14:paraId="2107DFB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2.28</w:t>
            </w:r>
          </w:p>
        </w:tc>
        <w:tc>
          <w:tcPr>
            <w:tcW w:w="616" w:type="dxa"/>
            <w:tcBorders>
              <w:top w:val="nil"/>
              <w:bottom w:val="nil"/>
              <w:right w:val="single" w:sz="4" w:space="0" w:color="auto"/>
            </w:tcBorders>
            <w:noWrap/>
            <w:vAlign w:val="center"/>
            <w:hideMark/>
          </w:tcPr>
          <w:p w14:paraId="461D4FF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766" w:type="dxa"/>
            <w:tcBorders>
              <w:top w:val="nil"/>
              <w:left w:val="single" w:sz="4" w:space="0" w:color="auto"/>
              <w:bottom w:val="nil"/>
            </w:tcBorders>
            <w:noWrap/>
            <w:vAlign w:val="center"/>
            <w:hideMark/>
          </w:tcPr>
          <w:p w14:paraId="6D914ED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2.27</w:t>
            </w:r>
          </w:p>
        </w:tc>
        <w:tc>
          <w:tcPr>
            <w:tcW w:w="616" w:type="dxa"/>
            <w:tcBorders>
              <w:top w:val="nil"/>
              <w:bottom w:val="nil"/>
              <w:right w:val="single" w:sz="4" w:space="0" w:color="auto"/>
            </w:tcBorders>
            <w:noWrap/>
            <w:vAlign w:val="center"/>
            <w:hideMark/>
          </w:tcPr>
          <w:p w14:paraId="7A8B142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0.10</w:t>
            </w:r>
          </w:p>
        </w:tc>
        <w:tc>
          <w:tcPr>
            <w:tcW w:w="766" w:type="dxa"/>
            <w:tcBorders>
              <w:top w:val="nil"/>
              <w:left w:val="single" w:sz="4" w:space="0" w:color="auto"/>
              <w:bottom w:val="nil"/>
            </w:tcBorders>
            <w:noWrap/>
            <w:vAlign w:val="center"/>
            <w:hideMark/>
          </w:tcPr>
          <w:p w14:paraId="4490177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1.58</w:t>
            </w:r>
          </w:p>
        </w:tc>
        <w:tc>
          <w:tcPr>
            <w:tcW w:w="616" w:type="dxa"/>
            <w:tcBorders>
              <w:top w:val="nil"/>
              <w:bottom w:val="nil"/>
              <w:right w:val="single" w:sz="18" w:space="0" w:color="000000"/>
            </w:tcBorders>
            <w:noWrap/>
            <w:vAlign w:val="center"/>
            <w:hideMark/>
          </w:tcPr>
          <w:p w14:paraId="66E13C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0.21</w:t>
            </w:r>
          </w:p>
        </w:tc>
        <w:tc>
          <w:tcPr>
            <w:tcW w:w="766" w:type="dxa"/>
            <w:tcBorders>
              <w:left w:val="single" w:sz="18" w:space="0" w:color="000000"/>
            </w:tcBorders>
            <w:noWrap/>
            <w:vAlign w:val="center"/>
            <w:hideMark/>
          </w:tcPr>
          <w:p w14:paraId="69DD8F0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2.87</w:t>
            </w:r>
          </w:p>
        </w:tc>
        <w:tc>
          <w:tcPr>
            <w:tcW w:w="636" w:type="dxa"/>
            <w:tcBorders>
              <w:right w:val="single" w:sz="4" w:space="0" w:color="auto"/>
            </w:tcBorders>
            <w:noWrap/>
            <w:vAlign w:val="center"/>
            <w:hideMark/>
          </w:tcPr>
          <w:p w14:paraId="73C5895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766" w:type="dxa"/>
            <w:tcBorders>
              <w:top w:val="nil"/>
              <w:left w:val="single" w:sz="4" w:space="0" w:color="auto"/>
              <w:bottom w:val="nil"/>
            </w:tcBorders>
            <w:noWrap/>
            <w:vAlign w:val="center"/>
            <w:hideMark/>
          </w:tcPr>
          <w:p w14:paraId="7C31A69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2.97</w:t>
            </w:r>
          </w:p>
        </w:tc>
        <w:tc>
          <w:tcPr>
            <w:tcW w:w="616" w:type="dxa"/>
            <w:tcBorders>
              <w:top w:val="nil"/>
              <w:bottom w:val="nil"/>
              <w:right w:val="single" w:sz="4" w:space="0" w:color="auto"/>
            </w:tcBorders>
            <w:noWrap/>
            <w:vAlign w:val="center"/>
            <w:hideMark/>
          </w:tcPr>
          <w:p w14:paraId="17D1CC4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0.04</w:t>
            </w:r>
          </w:p>
        </w:tc>
        <w:tc>
          <w:tcPr>
            <w:tcW w:w="766" w:type="dxa"/>
            <w:tcBorders>
              <w:left w:val="single" w:sz="4" w:space="0" w:color="auto"/>
            </w:tcBorders>
            <w:noWrap/>
            <w:vAlign w:val="center"/>
            <w:hideMark/>
          </w:tcPr>
          <w:p w14:paraId="6695666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0.05</w:t>
            </w:r>
          </w:p>
        </w:tc>
        <w:tc>
          <w:tcPr>
            <w:tcW w:w="616" w:type="dxa"/>
            <w:tcBorders>
              <w:right w:val="single" w:sz="18" w:space="0" w:color="000000"/>
            </w:tcBorders>
            <w:noWrap/>
            <w:vAlign w:val="center"/>
            <w:hideMark/>
          </w:tcPr>
          <w:p w14:paraId="0C873FC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top w:val="nil"/>
              <w:left w:val="single" w:sz="18" w:space="0" w:color="000000"/>
              <w:bottom w:val="nil"/>
            </w:tcBorders>
            <w:noWrap/>
            <w:vAlign w:val="center"/>
            <w:hideMark/>
          </w:tcPr>
          <w:p w14:paraId="3BA5DF5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65764C6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065EA51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0.11</w:t>
            </w:r>
          </w:p>
        </w:tc>
        <w:tc>
          <w:tcPr>
            <w:tcW w:w="616" w:type="dxa"/>
            <w:tcBorders>
              <w:top w:val="nil"/>
              <w:bottom w:val="nil"/>
              <w:right w:val="single" w:sz="4" w:space="0" w:color="auto"/>
            </w:tcBorders>
            <w:noWrap/>
            <w:vAlign w:val="center"/>
            <w:hideMark/>
          </w:tcPr>
          <w:p w14:paraId="77EF9B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0.89</w:t>
            </w:r>
          </w:p>
        </w:tc>
        <w:tc>
          <w:tcPr>
            <w:tcW w:w="616" w:type="dxa"/>
            <w:tcBorders>
              <w:left w:val="single" w:sz="4" w:space="0" w:color="auto"/>
            </w:tcBorders>
            <w:noWrap/>
            <w:vAlign w:val="center"/>
            <w:hideMark/>
          </w:tcPr>
          <w:p w14:paraId="3E302FC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0.19</w:t>
            </w:r>
          </w:p>
        </w:tc>
        <w:tc>
          <w:tcPr>
            <w:tcW w:w="676" w:type="dxa"/>
            <w:noWrap/>
            <w:vAlign w:val="center"/>
            <w:hideMark/>
          </w:tcPr>
          <w:p w14:paraId="59A64D0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0.83</w:t>
            </w:r>
          </w:p>
        </w:tc>
      </w:tr>
      <w:tr w:rsidR="001F4DDE" w:rsidRPr="00C85BEF" w14:paraId="297FF394"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3865257C" w14:textId="77777777" w:rsidR="001F4DDE" w:rsidRPr="00C85BEF" w:rsidRDefault="001F4DDE" w:rsidP="001F4DDE">
            <w:pPr>
              <w:jc w:val="center"/>
              <w:rPr>
                <w:bCs/>
                <w:color w:val="000000"/>
                <w:sz w:val="16"/>
                <w:szCs w:val="16"/>
              </w:rPr>
            </w:pPr>
            <w:r w:rsidRPr="00C85BEF">
              <w:rPr>
                <w:bCs/>
                <w:color w:val="000000"/>
                <w:sz w:val="16"/>
                <w:szCs w:val="16"/>
              </w:rPr>
              <w:t>Russia</w:t>
            </w:r>
          </w:p>
        </w:tc>
        <w:tc>
          <w:tcPr>
            <w:tcW w:w="1016" w:type="dxa"/>
            <w:tcBorders>
              <w:top w:val="nil"/>
              <w:bottom w:val="nil"/>
            </w:tcBorders>
            <w:noWrap/>
            <w:vAlign w:val="center"/>
            <w:hideMark/>
          </w:tcPr>
          <w:p w14:paraId="1B5BE74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4" w:space="0" w:color="auto"/>
            </w:tcBorders>
            <w:noWrap/>
            <w:vAlign w:val="center"/>
            <w:hideMark/>
          </w:tcPr>
          <w:p w14:paraId="2FC56C5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top w:val="nil"/>
              <w:left w:val="single" w:sz="4" w:space="0" w:color="auto"/>
              <w:bottom w:val="nil"/>
            </w:tcBorders>
            <w:noWrap/>
            <w:vAlign w:val="center"/>
            <w:hideMark/>
          </w:tcPr>
          <w:p w14:paraId="43D9E04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0.05</w:t>
            </w:r>
          </w:p>
        </w:tc>
        <w:tc>
          <w:tcPr>
            <w:tcW w:w="616" w:type="dxa"/>
            <w:tcBorders>
              <w:top w:val="nil"/>
              <w:bottom w:val="nil"/>
              <w:right w:val="single" w:sz="4" w:space="0" w:color="auto"/>
            </w:tcBorders>
            <w:noWrap/>
            <w:vAlign w:val="center"/>
            <w:hideMark/>
          </w:tcPr>
          <w:p w14:paraId="187DF71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top w:val="nil"/>
              <w:left w:val="single" w:sz="4" w:space="0" w:color="auto"/>
              <w:bottom w:val="nil"/>
            </w:tcBorders>
            <w:noWrap/>
            <w:vAlign w:val="center"/>
            <w:hideMark/>
          </w:tcPr>
          <w:p w14:paraId="337DB58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nil"/>
              <w:right w:val="single" w:sz="18" w:space="0" w:color="000000"/>
            </w:tcBorders>
            <w:noWrap/>
            <w:vAlign w:val="center"/>
            <w:hideMark/>
          </w:tcPr>
          <w:p w14:paraId="78AACDE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766" w:type="dxa"/>
            <w:tcBorders>
              <w:left w:val="single" w:sz="18" w:space="0" w:color="000000"/>
            </w:tcBorders>
            <w:noWrap/>
            <w:vAlign w:val="center"/>
            <w:hideMark/>
          </w:tcPr>
          <w:p w14:paraId="4BA9A4B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1.04</w:t>
            </w:r>
          </w:p>
        </w:tc>
        <w:tc>
          <w:tcPr>
            <w:tcW w:w="636" w:type="dxa"/>
            <w:tcBorders>
              <w:right w:val="single" w:sz="4" w:space="0" w:color="auto"/>
            </w:tcBorders>
            <w:noWrap/>
            <w:vAlign w:val="center"/>
            <w:hideMark/>
          </w:tcPr>
          <w:p w14:paraId="4620776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0.35</w:t>
            </w:r>
          </w:p>
        </w:tc>
        <w:tc>
          <w:tcPr>
            <w:tcW w:w="766" w:type="dxa"/>
            <w:tcBorders>
              <w:top w:val="nil"/>
              <w:left w:val="single" w:sz="4" w:space="0" w:color="auto"/>
              <w:bottom w:val="nil"/>
            </w:tcBorders>
            <w:noWrap/>
            <w:vAlign w:val="center"/>
            <w:hideMark/>
          </w:tcPr>
          <w:p w14:paraId="6691F82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1.50</w:t>
            </w:r>
          </w:p>
        </w:tc>
        <w:tc>
          <w:tcPr>
            <w:tcW w:w="616" w:type="dxa"/>
            <w:tcBorders>
              <w:top w:val="nil"/>
              <w:bottom w:val="nil"/>
              <w:right w:val="single" w:sz="4" w:space="0" w:color="auto"/>
            </w:tcBorders>
            <w:noWrap/>
            <w:vAlign w:val="center"/>
            <w:hideMark/>
          </w:tcPr>
          <w:p w14:paraId="08EA819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0.28</w:t>
            </w:r>
          </w:p>
        </w:tc>
        <w:tc>
          <w:tcPr>
            <w:tcW w:w="766" w:type="dxa"/>
            <w:tcBorders>
              <w:left w:val="single" w:sz="4" w:space="0" w:color="auto"/>
            </w:tcBorders>
            <w:noWrap/>
            <w:vAlign w:val="center"/>
            <w:hideMark/>
          </w:tcPr>
          <w:p w14:paraId="277A038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0.59</w:t>
            </w:r>
          </w:p>
        </w:tc>
        <w:tc>
          <w:tcPr>
            <w:tcW w:w="616" w:type="dxa"/>
            <w:tcBorders>
              <w:right w:val="single" w:sz="18" w:space="0" w:color="000000"/>
            </w:tcBorders>
            <w:noWrap/>
            <w:vAlign w:val="center"/>
            <w:hideMark/>
          </w:tcPr>
          <w:p w14:paraId="0EE70A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0.57</w:t>
            </w:r>
          </w:p>
        </w:tc>
        <w:tc>
          <w:tcPr>
            <w:tcW w:w="766" w:type="dxa"/>
            <w:tcBorders>
              <w:top w:val="nil"/>
              <w:left w:val="single" w:sz="18" w:space="0" w:color="000000"/>
              <w:bottom w:val="nil"/>
            </w:tcBorders>
            <w:noWrap/>
            <w:vAlign w:val="center"/>
            <w:hideMark/>
          </w:tcPr>
          <w:p w14:paraId="508D4E6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0.28</w:t>
            </w:r>
          </w:p>
        </w:tc>
        <w:tc>
          <w:tcPr>
            <w:tcW w:w="616" w:type="dxa"/>
            <w:tcBorders>
              <w:top w:val="nil"/>
              <w:bottom w:val="nil"/>
              <w:right w:val="single" w:sz="4" w:space="0" w:color="auto"/>
            </w:tcBorders>
            <w:noWrap/>
            <w:vAlign w:val="center"/>
            <w:hideMark/>
          </w:tcPr>
          <w:p w14:paraId="58062E5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0.74</w:t>
            </w:r>
          </w:p>
        </w:tc>
        <w:tc>
          <w:tcPr>
            <w:tcW w:w="766" w:type="dxa"/>
            <w:tcBorders>
              <w:top w:val="nil"/>
              <w:left w:val="single" w:sz="4" w:space="0" w:color="auto"/>
              <w:bottom w:val="nil"/>
            </w:tcBorders>
            <w:noWrap/>
            <w:vAlign w:val="center"/>
            <w:hideMark/>
          </w:tcPr>
          <w:p w14:paraId="002DC1A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0.15</w:t>
            </w:r>
          </w:p>
        </w:tc>
        <w:tc>
          <w:tcPr>
            <w:tcW w:w="616" w:type="dxa"/>
            <w:tcBorders>
              <w:top w:val="nil"/>
              <w:bottom w:val="nil"/>
              <w:right w:val="single" w:sz="4" w:space="0" w:color="auto"/>
            </w:tcBorders>
            <w:noWrap/>
            <w:vAlign w:val="center"/>
            <w:hideMark/>
          </w:tcPr>
          <w:p w14:paraId="766A5CD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0.86</w:t>
            </w:r>
          </w:p>
        </w:tc>
        <w:tc>
          <w:tcPr>
            <w:tcW w:w="616" w:type="dxa"/>
            <w:tcBorders>
              <w:left w:val="single" w:sz="4" w:space="0" w:color="auto"/>
            </w:tcBorders>
            <w:noWrap/>
            <w:vAlign w:val="center"/>
            <w:hideMark/>
          </w:tcPr>
          <w:p w14:paraId="69794B2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0.05</w:t>
            </w:r>
          </w:p>
        </w:tc>
        <w:tc>
          <w:tcPr>
            <w:tcW w:w="676" w:type="dxa"/>
            <w:noWrap/>
            <w:vAlign w:val="center"/>
            <w:hideMark/>
          </w:tcPr>
          <w:p w14:paraId="6D45CAB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r>
      <w:tr w:rsidR="001F4DDE" w:rsidRPr="00C85BEF" w14:paraId="50EB77AD"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2CB047B6" w14:textId="77777777" w:rsidR="001F4DDE" w:rsidRPr="00C85BEF" w:rsidRDefault="001F4DDE" w:rsidP="001F4DDE">
            <w:pPr>
              <w:jc w:val="center"/>
              <w:rPr>
                <w:bCs/>
                <w:color w:val="000000"/>
                <w:sz w:val="16"/>
                <w:szCs w:val="16"/>
              </w:rPr>
            </w:pPr>
            <w:r w:rsidRPr="00C85BEF">
              <w:rPr>
                <w:bCs/>
                <w:color w:val="000000"/>
                <w:sz w:val="16"/>
                <w:szCs w:val="16"/>
              </w:rPr>
              <w:t>South Africa</w:t>
            </w:r>
          </w:p>
        </w:tc>
        <w:tc>
          <w:tcPr>
            <w:tcW w:w="1016" w:type="dxa"/>
            <w:tcBorders>
              <w:top w:val="nil"/>
              <w:bottom w:val="nil"/>
            </w:tcBorders>
            <w:noWrap/>
            <w:vAlign w:val="center"/>
            <w:hideMark/>
          </w:tcPr>
          <w:p w14:paraId="01BBEDE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0.13</w:t>
            </w:r>
          </w:p>
        </w:tc>
        <w:tc>
          <w:tcPr>
            <w:tcW w:w="616" w:type="dxa"/>
            <w:tcBorders>
              <w:top w:val="nil"/>
              <w:bottom w:val="nil"/>
              <w:right w:val="single" w:sz="4" w:space="0" w:color="auto"/>
            </w:tcBorders>
            <w:noWrap/>
            <w:vAlign w:val="center"/>
            <w:hideMark/>
          </w:tcPr>
          <w:p w14:paraId="21A1A5A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0.87</w:t>
            </w:r>
          </w:p>
        </w:tc>
        <w:tc>
          <w:tcPr>
            <w:tcW w:w="766" w:type="dxa"/>
            <w:tcBorders>
              <w:top w:val="nil"/>
              <w:left w:val="single" w:sz="4" w:space="0" w:color="auto"/>
              <w:bottom w:val="nil"/>
            </w:tcBorders>
            <w:noWrap/>
            <w:vAlign w:val="center"/>
            <w:hideMark/>
          </w:tcPr>
          <w:p w14:paraId="515C09F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0.05</w:t>
            </w:r>
          </w:p>
        </w:tc>
        <w:tc>
          <w:tcPr>
            <w:tcW w:w="616" w:type="dxa"/>
            <w:tcBorders>
              <w:top w:val="nil"/>
              <w:bottom w:val="nil"/>
              <w:right w:val="single" w:sz="4" w:space="0" w:color="auto"/>
            </w:tcBorders>
            <w:noWrap/>
            <w:vAlign w:val="center"/>
            <w:hideMark/>
          </w:tcPr>
          <w:p w14:paraId="52F7894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0.95</w:t>
            </w:r>
          </w:p>
        </w:tc>
        <w:tc>
          <w:tcPr>
            <w:tcW w:w="766" w:type="dxa"/>
            <w:tcBorders>
              <w:top w:val="nil"/>
              <w:left w:val="single" w:sz="4" w:space="0" w:color="auto"/>
              <w:bottom w:val="nil"/>
            </w:tcBorders>
            <w:noWrap/>
            <w:vAlign w:val="center"/>
            <w:hideMark/>
          </w:tcPr>
          <w:p w14:paraId="7D5AFB6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0.07</w:t>
            </w:r>
          </w:p>
        </w:tc>
        <w:tc>
          <w:tcPr>
            <w:tcW w:w="616" w:type="dxa"/>
            <w:tcBorders>
              <w:top w:val="nil"/>
              <w:bottom w:val="nil"/>
              <w:right w:val="single" w:sz="18" w:space="0" w:color="000000"/>
            </w:tcBorders>
            <w:noWrap/>
            <w:vAlign w:val="center"/>
            <w:hideMark/>
          </w:tcPr>
          <w:p w14:paraId="266B939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0.93</w:t>
            </w:r>
          </w:p>
        </w:tc>
        <w:tc>
          <w:tcPr>
            <w:tcW w:w="766" w:type="dxa"/>
            <w:tcBorders>
              <w:left w:val="single" w:sz="18" w:space="0" w:color="000000"/>
            </w:tcBorders>
            <w:noWrap/>
            <w:vAlign w:val="center"/>
            <w:hideMark/>
          </w:tcPr>
          <w:p w14:paraId="080A7E7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0.59</w:t>
            </w:r>
          </w:p>
        </w:tc>
        <w:tc>
          <w:tcPr>
            <w:tcW w:w="636" w:type="dxa"/>
            <w:tcBorders>
              <w:right w:val="single" w:sz="4" w:space="0" w:color="auto"/>
            </w:tcBorders>
            <w:noWrap/>
            <w:vAlign w:val="center"/>
            <w:hideMark/>
          </w:tcPr>
          <w:p w14:paraId="15A1ACC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0.56</w:t>
            </w:r>
          </w:p>
        </w:tc>
        <w:tc>
          <w:tcPr>
            <w:tcW w:w="766" w:type="dxa"/>
            <w:tcBorders>
              <w:top w:val="nil"/>
              <w:left w:val="single" w:sz="4" w:space="0" w:color="auto"/>
              <w:bottom w:val="nil"/>
            </w:tcBorders>
            <w:noWrap/>
            <w:vAlign w:val="center"/>
            <w:hideMark/>
          </w:tcPr>
          <w:p w14:paraId="766E7EE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0.79</w:t>
            </w:r>
          </w:p>
        </w:tc>
        <w:tc>
          <w:tcPr>
            <w:tcW w:w="616" w:type="dxa"/>
            <w:tcBorders>
              <w:top w:val="nil"/>
              <w:bottom w:val="nil"/>
              <w:right w:val="single" w:sz="4" w:space="0" w:color="auto"/>
            </w:tcBorders>
            <w:noWrap/>
            <w:vAlign w:val="center"/>
            <w:hideMark/>
          </w:tcPr>
          <w:p w14:paraId="08071C4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0.40</w:t>
            </w:r>
          </w:p>
        </w:tc>
        <w:tc>
          <w:tcPr>
            <w:tcW w:w="766" w:type="dxa"/>
            <w:tcBorders>
              <w:left w:val="single" w:sz="4" w:space="0" w:color="auto"/>
            </w:tcBorders>
            <w:noWrap/>
            <w:vAlign w:val="center"/>
            <w:hideMark/>
          </w:tcPr>
          <w:p w14:paraId="13D426F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1.31</w:t>
            </w:r>
          </w:p>
        </w:tc>
        <w:tc>
          <w:tcPr>
            <w:tcW w:w="616" w:type="dxa"/>
            <w:tcBorders>
              <w:right w:val="single" w:sz="18" w:space="0" w:color="000000"/>
            </w:tcBorders>
            <w:noWrap/>
            <w:vAlign w:val="center"/>
            <w:hideMark/>
          </w:tcPr>
          <w:p w14:paraId="4CE75F1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0.27</w:t>
            </w:r>
          </w:p>
        </w:tc>
        <w:tc>
          <w:tcPr>
            <w:tcW w:w="766" w:type="dxa"/>
            <w:tcBorders>
              <w:top w:val="nil"/>
              <w:left w:val="single" w:sz="18" w:space="0" w:color="000000"/>
              <w:bottom w:val="nil"/>
            </w:tcBorders>
            <w:noWrap/>
            <w:vAlign w:val="center"/>
            <w:hideMark/>
          </w:tcPr>
          <w:p w14:paraId="6336F5C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0.09</w:t>
            </w:r>
          </w:p>
        </w:tc>
        <w:tc>
          <w:tcPr>
            <w:tcW w:w="616" w:type="dxa"/>
            <w:tcBorders>
              <w:top w:val="nil"/>
              <w:bottom w:val="nil"/>
              <w:right w:val="single" w:sz="4" w:space="0" w:color="auto"/>
            </w:tcBorders>
            <w:noWrap/>
            <w:vAlign w:val="center"/>
            <w:hideMark/>
          </w:tcPr>
          <w:p w14:paraId="4E7EBA2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0.91</w:t>
            </w:r>
          </w:p>
        </w:tc>
        <w:tc>
          <w:tcPr>
            <w:tcW w:w="766" w:type="dxa"/>
            <w:tcBorders>
              <w:top w:val="nil"/>
              <w:left w:val="single" w:sz="4" w:space="0" w:color="auto"/>
              <w:bottom w:val="nil"/>
            </w:tcBorders>
            <w:noWrap/>
            <w:vAlign w:val="center"/>
            <w:hideMark/>
          </w:tcPr>
          <w:p w14:paraId="6EB7C66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0.02</w:t>
            </w:r>
          </w:p>
        </w:tc>
        <w:tc>
          <w:tcPr>
            <w:tcW w:w="616" w:type="dxa"/>
            <w:tcBorders>
              <w:top w:val="nil"/>
              <w:bottom w:val="nil"/>
              <w:right w:val="single" w:sz="4" w:space="0" w:color="auto"/>
            </w:tcBorders>
            <w:noWrap/>
            <w:vAlign w:val="center"/>
            <w:hideMark/>
          </w:tcPr>
          <w:p w14:paraId="1B442B2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0.98</w:t>
            </w:r>
          </w:p>
        </w:tc>
        <w:tc>
          <w:tcPr>
            <w:tcW w:w="616" w:type="dxa"/>
            <w:tcBorders>
              <w:left w:val="single" w:sz="4" w:space="0" w:color="auto"/>
            </w:tcBorders>
            <w:noWrap/>
            <w:vAlign w:val="center"/>
            <w:hideMark/>
          </w:tcPr>
          <w:p w14:paraId="21382BD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676" w:type="dxa"/>
            <w:noWrap/>
            <w:vAlign w:val="center"/>
            <w:hideMark/>
          </w:tcPr>
          <w:p w14:paraId="02F6CB8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r>
      <w:tr w:rsidR="001F4DDE" w:rsidRPr="00C85BEF" w14:paraId="3D1CBE8C"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745AFC11" w14:textId="77777777" w:rsidR="001F4DDE" w:rsidRPr="00C85BEF" w:rsidRDefault="001F4DDE" w:rsidP="001F4DDE">
            <w:pPr>
              <w:jc w:val="center"/>
              <w:rPr>
                <w:bCs/>
                <w:color w:val="000000"/>
                <w:sz w:val="16"/>
                <w:szCs w:val="16"/>
              </w:rPr>
            </w:pPr>
            <w:r w:rsidRPr="00C85BEF">
              <w:rPr>
                <w:bCs/>
                <w:color w:val="000000"/>
                <w:sz w:val="16"/>
                <w:szCs w:val="16"/>
              </w:rPr>
              <w:t>Taiwan</w:t>
            </w:r>
          </w:p>
        </w:tc>
        <w:tc>
          <w:tcPr>
            <w:tcW w:w="1016" w:type="dxa"/>
            <w:tcBorders>
              <w:top w:val="nil"/>
              <w:bottom w:val="nil"/>
            </w:tcBorders>
            <w:noWrap/>
            <w:vAlign w:val="center"/>
            <w:hideMark/>
          </w:tcPr>
          <w:p w14:paraId="61850F4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0.08</w:t>
            </w:r>
          </w:p>
        </w:tc>
        <w:tc>
          <w:tcPr>
            <w:tcW w:w="616" w:type="dxa"/>
            <w:tcBorders>
              <w:top w:val="nil"/>
              <w:bottom w:val="nil"/>
              <w:right w:val="single" w:sz="4" w:space="0" w:color="auto"/>
            </w:tcBorders>
            <w:noWrap/>
            <w:vAlign w:val="center"/>
            <w:hideMark/>
          </w:tcPr>
          <w:p w14:paraId="48A942B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top w:val="nil"/>
              <w:left w:val="single" w:sz="4" w:space="0" w:color="auto"/>
              <w:bottom w:val="nil"/>
            </w:tcBorders>
            <w:noWrap/>
            <w:vAlign w:val="center"/>
            <w:hideMark/>
          </w:tcPr>
          <w:p w14:paraId="2071010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4" w:space="0" w:color="auto"/>
            </w:tcBorders>
            <w:noWrap/>
            <w:vAlign w:val="center"/>
            <w:hideMark/>
          </w:tcPr>
          <w:p w14:paraId="2A4068B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nil"/>
            </w:tcBorders>
            <w:noWrap/>
            <w:vAlign w:val="center"/>
            <w:hideMark/>
          </w:tcPr>
          <w:p w14:paraId="03FF11A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nil"/>
              <w:right w:val="single" w:sz="18" w:space="0" w:color="000000"/>
            </w:tcBorders>
            <w:noWrap/>
            <w:vAlign w:val="center"/>
            <w:hideMark/>
          </w:tcPr>
          <w:p w14:paraId="6B54D1D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left w:val="single" w:sz="18" w:space="0" w:color="000000"/>
            </w:tcBorders>
            <w:noWrap/>
            <w:vAlign w:val="center"/>
            <w:hideMark/>
          </w:tcPr>
          <w:p w14:paraId="3003ECD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0.14</w:t>
            </w:r>
          </w:p>
        </w:tc>
        <w:tc>
          <w:tcPr>
            <w:tcW w:w="636" w:type="dxa"/>
            <w:tcBorders>
              <w:right w:val="single" w:sz="4" w:space="0" w:color="auto"/>
            </w:tcBorders>
            <w:noWrap/>
            <w:vAlign w:val="center"/>
            <w:hideMark/>
          </w:tcPr>
          <w:p w14:paraId="21A1E12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0.87</w:t>
            </w:r>
          </w:p>
        </w:tc>
        <w:tc>
          <w:tcPr>
            <w:tcW w:w="766" w:type="dxa"/>
            <w:tcBorders>
              <w:top w:val="nil"/>
              <w:left w:val="single" w:sz="4" w:space="0" w:color="auto"/>
              <w:bottom w:val="nil"/>
            </w:tcBorders>
            <w:noWrap/>
            <w:vAlign w:val="center"/>
            <w:hideMark/>
          </w:tcPr>
          <w:p w14:paraId="5A466D7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0.14</w:t>
            </w:r>
          </w:p>
        </w:tc>
        <w:tc>
          <w:tcPr>
            <w:tcW w:w="616" w:type="dxa"/>
            <w:tcBorders>
              <w:top w:val="nil"/>
              <w:bottom w:val="nil"/>
              <w:right w:val="single" w:sz="4" w:space="0" w:color="auto"/>
            </w:tcBorders>
            <w:noWrap/>
            <w:vAlign w:val="center"/>
            <w:hideMark/>
          </w:tcPr>
          <w:p w14:paraId="5AE2CDE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0.87</w:t>
            </w:r>
          </w:p>
        </w:tc>
        <w:tc>
          <w:tcPr>
            <w:tcW w:w="766" w:type="dxa"/>
            <w:tcBorders>
              <w:left w:val="single" w:sz="4" w:space="0" w:color="auto"/>
            </w:tcBorders>
            <w:noWrap/>
            <w:vAlign w:val="center"/>
            <w:hideMark/>
          </w:tcPr>
          <w:p w14:paraId="4A01853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0.19</w:t>
            </w:r>
          </w:p>
        </w:tc>
        <w:tc>
          <w:tcPr>
            <w:tcW w:w="616" w:type="dxa"/>
            <w:tcBorders>
              <w:right w:val="single" w:sz="18" w:space="0" w:color="000000"/>
            </w:tcBorders>
            <w:noWrap/>
            <w:vAlign w:val="center"/>
            <w:hideMark/>
          </w:tcPr>
          <w:p w14:paraId="37612DB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0.83</w:t>
            </w:r>
          </w:p>
        </w:tc>
        <w:tc>
          <w:tcPr>
            <w:tcW w:w="766" w:type="dxa"/>
            <w:tcBorders>
              <w:top w:val="nil"/>
              <w:left w:val="single" w:sz="18" w:space="0" w:color="000000"/>
              <w:bottom w:val="nil"/>
            </w:tcBorders>
            <w:noWrap/>
            <w:vAlign w:val="center"/>
            <w:hideMark/>
          </w:tcPr>
          <w:p w14:paraId="26243E1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0.08</w:t>
            </w:r>
          </w:p>
        </w:tc>
        <w:tc>
          <w:tcPr>
            <w:tcW w:w="616" w:type="dxa"/>
            <w:tcBorders>
              <w:top w:val="nil"/>
              <w:bottom w:val="nil"/>
              <w:right w:val="single" w:sz="4" w:space="0" w:color="auto"/>
            </w:tcBorders>
            <w:noWrap/>
            <w:vAlign w:val="center"/>
            <w:hideMark/>
          </w:tcPr>
          <w:p w14:paraId="576EEC6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0.92</w:t>
            </w:r>
          </w:p>
        </w:tc>
        <w:tc>
          <w:tcPr>
            <w:tcW w:w="766" w:type="dxa"/>
            <w:tcBorders>
              <w:top w:val="nil"/>
              <w:left w:val="single" w:sz="4" w:space="0" w:color="auto"/>
              <w:bottom w:val="nil"/>
            </w:tcBorders>
            <w:noWrap/>
            <w:vAlign w:val="center"/>
            <w:hideMark/>
          </w:tcPr>
          <w:p w14:paraId="5570AC9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0.10</w:t>
            </w:r>
          </w:p>
        </w:tc>
        <w:tc>
          <w:tcPr>
            <w:tcW w:w="616" w:type="dxa"/>
            <w:tcBorders>
              <w:top w:val="nil"/>
              <w:bottom w:val="nil"/>
              <w:right w:val="single" w:sz="4" w:space="0" w:color="auto"/>
            </w:tcBorders>
            <w:noWrap/>
            <w:vAlign w:val="center"/>
            <w:hideMark/>
          </w:tcPr>
          <w:p w14:paraId="5E9945D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0.90</w:t>
            </w:r>
          </w:p>
        </w:tc>
        <w:tc>
          <w:tcPr>
            <w:tcW w:w="616" w:type="dxa"/>
            <w:tcBorders>
              <w:left w:val="single" w:sz="4" w:space="0" w:color="auto"/>
            </w:tcBorders>
            <w:noWrap/>
            <w:vAlign w:val="center"/>
            <w:hideMark/>
          </w:tcPr>
          <w:p w14:paraId="391A0D8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0.41</w:t>
            </w:r>
          </w:p>
        </w:tc>
        <w:tc>
          <w:tcPr>
            <w:tcW w:w="676" w:type="dxa"/>
            <w:noWrap/>
            <w:vAlign w:val="center"/>
            <w:hideMark/>
          </w:tcPr>
          <w:p w14:paraId="37867AA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0.65</w:t>
            </w:r>
          </w:p>
        </w:tc>
      </w:tr>
      <w:tr w:rsidR="001F4DDE" w:rsidRPr="00C85BEF" w14:paraId="43CF35E6"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12C6E531" w14:textId="77777777" w:rsidR="001F4DDE" w:rsidRPr="00C85BEF" w:rsidRDefault="001F4DDE" w:rsidP="001F4DDE">
            <w:pPr>
              <w:jc w:val="center"/>
              <w:rPr>
                <w:bCs/>
                <w:color w:val="000000"/>
                <w:sz w:val="16"/>
                <w:szCs w:val="16"/>
              </w:rPr>
            </w:pPr>
            <w:r w:rsidRPr="00C85BEF">
              <w:rPr>
                <w:bCs/>
                <w:color w:val="000000"/>
                <w:sz w:val="16"/>
                <w:szCs w:val="16"/>
              </w:rPr>
              <w:t>Thailand</w:t>
            </w:r>
          </w:p>
        </w:tc>
        <w:tc>
          <w:tcPr>
            <w:tcW w:w="1016" w:type="dxa"/>
            <w:tcBorders>
              <w:top w:val="nil"/>
              <w:bottom w:val="nil"/>
            </w:tcBorders>
            <w:noWrap/>
            <w:vAlign w:val="center"/>
            <w:hideMark/>
          </w:tcPr>
          <w:p w14:paraId="7353449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0.85</w:t>
            </w:r>
          </w:p>
        </w:tc>
        <w:tc>
          <w:tcPr>
            <w:tcW w:w="616" w:type="dxa"/>
            <w:tcBorders>
              <w:top w:val="nil"/>
              <w:bottom w:val="nil"/>
              <w:right w:val="single" w:sz="4" w:space="0" w:color="auto"/>
            </w:tcBorders>
            <w:noWrap/>
            <w:vAlign w:val="center"/>
            <w:hideMark/>
          </w:tcPr>
          <w:p w14:paraId="5C7B531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0.40</w:t>
            </w:r>
          </w:p>
        </w:tc>
        <w:tc>
          <w:tcPr>
            <w:tcW w:w="766" w:type="dxa"/>
            <w:tcBorders>
              <w:top w:val="nil"/>
              <w:left w:val="single" w:sz="4" w:space="0" w:color="auto"/>
              <w:bottom w:val="nil"/>
            </w:tcBorders>
            <w:noWrap/>
            <w:vAlign w:val="center"/>
            <w:hideMark/>
          </w:tcPr>
          <w:p w14:paraId="0230359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0.82</w:t>
            </w:r>
          </w:p>
        </w:tc>
        <w:tc>
          <w:tcPr>
            <w:tcW w:w="616" w:type="dxa"/>
            <w:tcBorders>
              <w:top w:val="nil"/>
              <w:bottom w:val="nil"/>
              <w:right w:val="single" w:sz="4" w:space="0" w:color="auto"/>
            </w:tcBorders>
            <w:noWrap/>
            <w:vAlign w:val="center"/>
            <w:hideMark/>
          </w:tcPr>
          <w:p w14:paraId="0E83875E"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0.43</w:t>
            </w:r>
          </w:p>
        </w:tc>
        <w:tc>
          <w:tcPr>
            <w:tcW w:w="766" w:type="dxa"/>
            <w:tcBorders>
              <w:top w:val="nil"/>
              <w:left w:val="single" w:sz="4" w:space="0" w:color="auto"/>
              <w:bottom w:val="nil"/>
            </w:tcBorders>
            <w:noWrap/>
            <w:vAlign w:val="center"/>
            <w:hideMark/>
          </w:tcPr>
          <w:p w14:paraId="66ECE18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0.35</w:t>
            </w:r>
          </w:p>
        </w:tc>
        <w:tc>
          <w:tcPr>
            <w:tcW w:w="616" w:type="dxa"/>
            <w:tcBorders>
              <w:top w:val="nil"/>
              <w:bottom w:val="nil"/>
              <w:right w:val="single" w:sz="18" w:space="0" w:color="000000"/>
            </w:tcBorders>
            <w:noWrap/>
            <w:vAlign w:val="center"/>
            <w:hideMark/>
          </w:tcPr>
          <w:p w14:paraId="2894508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0.70</w:t>
            </w:r>
          </w:p>
        </w:tc>
        <w:tc>
          <w:tcPr>
            <w:tcW w:w="766" w:type="dxa"/>
            <w:tcBorders>
              <w:left w:val="single" w:sz="18" w:space="0" w:color="000000"/>
            </w:tcBorders>
            <w:noWrap/>
            <w:vAlign w:val="center"/>
            <w:hideMark/>
          </w:tcPr>
          <w:p w14:paraId="5CE33BF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1.52</w:t>
            </w:r>
          </w:p>
        </w:tc>
        <w:tc>
          <w:tcPr>
            <w:tcW w:w="636" w:type="dxa"/>
            <w:tcBorders>
              <w:right w:val="single" w:sz="4" w:space="0" w:color="auto"/>
            </w:tcBorders>
            <w:noWrap/>
            <w:vAlign w:val="center"/>
            <w:hideMark/>
          </w:tcPr>
          <w:p w14:paraId="1481420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0.25</w:t>
            </w:r>
          </w:p>
        </w:tc>
        <w:tc>
          <w:tcPr>
            <w:tcW w:w="766" w:type="dxa"/>
            <w:tcBorders>
              <w:top w:val="nil"/>
              <w:left w:val="single" w:sz="4" w:space="0" w:color="auto"/>
              <w:bottom w:val="nil"/>
            </w:tcBorders>
            <w:noWrap/>
            <w:vAlign w:val="center"/>
            <w:hideMark/>
          </w:tcPr>
          <w:p w14:paraId="3DCF270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1.54</w:t>
            </w:r>
          </w:p>
        </w:tc>
        <w:tc>
          <w:tcPr>
            <w:tcW w:w="616" w:type="dxa"/>
            <w:tcBorders>
              <w:top w:val="nil"/>
              <w:bottom w:val="nil"/>
              <w:right w:val="single" w:sz="4" w:space="0" w:color="auto"/>
            </w:tcBorders>
            <w:noWrap/>
            <w:vAlign w:val="center"/>
            <w:hideMark/>
          </w:tcPr>
          <w:p w14:paraId="4F19875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0.23</w:t>
            </w:r>
          </w:p>
        </w:tc>
        <w:tc>
          <w:tcPr>
            <w:tcW w:w="766" w:type="dxa"/>
            <w:tcBorders>
              <w:left w:val="single" w:sz="4" w:space="0" w:color="auto"/>
            </w:tcBorders>
            <w:noWrap/>
            <w:vAlign w:val="center"/>
            <w:hideMark/>
          </w:tcPr>
          <w:p w14:paraId="216922B7"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1.84</w:t>
            </w:r>
          </w:p>
        </w:tc>
        <w:tc>
          <w:tcPr>
            <w:tcW w:w="616" w:type="dxa"/>
            <w:tcBorders>
              <w:right w:val="single" w:sz="18" w:space="0" w:color="000000"/>
            </w:tcBorders>
            <w:noWrap/>
            <w:vAlign w:val="center"/>
            <w:hideMark/>
          </w:tcPr>
          <w:p w14:paraId="59659CB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0.19</w:t>
            </w:r>
          </w:p>
        </w:tc>
        <w:tc>
          <w:tcPr>
            <w:tcW w:w="766" w:type="dxa"/>
            <w:tcBorders>
              <w:top w:val="nil"/>
              <w:left w:val="single" w:sz="18" w:space="0" w:color="000000"/>
              <w:bottom w:val="nil"/>
            </w:tcBorders>
            <w:noWrap/>
            <w:vAlign w:val="center"/>
            <w:hideMark/>
          </w:tcPr>
          <w:p w14:paraId="2A3A41A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0.27</w:t>
            </w:r>
          </w:p>
        </w:tc>
        <w:tc>
          <w:tcPr>
            <w:tcW w:w="616" w:type="dxa"/>
            <w:tcBorders>
              <w:top w:val="nil"/>
              <w:bottom w:val="nil"/>
              <w:right w:val="single" w:sz="4" w:space="0" w:color="auto"/>
            </w:tcBorders>
            <w:noWrap/>
            <w:vAlign w:val="center"/>
            <w:hideMark/>
          </w:tcPr>
          <w:p w14:paraId="17F61C82"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0.76</w:t>
            </w:r>
          </w:p>
        </w:tc>
        <w:tc>
          <w:tcPr>
            <w:tcW w:w="766" w:type="dxa"/>
            <w:tcBorders>
              <w:top w:val="nil"/>
              <w:left w:val="single" w:sz="4" w:space="0" w:color="auto"/>
              <w:bottom w:val="nil"/>
            </w:tcBorders>
            <w:noWrap/>
            <w:vAlign w:val="center"/>
            <w:hideMark/>
          </w:tcPr>
          <w:p w14:paraId="57B0637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0.43</w:t>
            </w:r>
          </w:p>
        </w:tc>
        <w:tc>
          <w:tcPr>
            <w:tcW w:w="616" w:type="dxa"/>
            <w:tcBorders>
              <w:top w:val="nil"/>
              <w:bottom w:val="nil"/>
              <w:right w:val="single" w:sz="4" w:space="0" w:color="auto"/>
            </w:tcBorders>
            <w:noWrap/>
            <w:vAlign w:val="center"/>
            <w:hideMark/>
          </w:tcPr>
          <w:p w14:paraId="24E4CDE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0.63</w:t>
            </w:r>
          </w:p>
        </w:tc>
        <w:tc>
          <w:tcPr>
            <w:tcW w:w="616" w:type="dxa"/>
            <w:tcBorders>
              <w:left w:val="single" w:sz="4" w:space="0" w:color="auto"/>
            </w:tcBorders>
            <w:noWrap/>
            <w:vAlign w:val="center"/>
            <w:hideMark/>
          </w:tcPr>
          <w:p w14:paraId="78BD0D6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1.66</w:t>
            </w:r>
          </w:p>
        </w:tc>
        <w:tc>
          <w:tcPr>
            <w:tcW w:w="676" w:type="dxa"/>
            <w:noWrap/>
            <w:vAlign w:val="center"/>
            <w:hideMark/>
          </w:tcPr>
          <w:p w14:paraId="07B848D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0.20</w:t>
            </w:r>
          </w:p>
        </w:tc>
      </w:tr>
      <w:tr w:rsidR="001F4DDE" w:rsidRPr="00C85BEF" w14:paraId="243453A8" w14:textId="77777777" w:rsidTr="001F4DDE">
        <w:trPr>
          <w:trHeight w:val="20"/>
        </w:trPr>
        <w:tc>
          <w:tcPr>
            <w:cnfStyle w:val="001000000000" w:firstRow="0" w:lastRow="0" w:firstColumn="1" w:lastColumn="0" w:oddVBand="0" w:evenVBand="0" w:oddHBand="0" w:evenHBand="0" w:firstRowFirstColumn="0" w:firstRowLastColumn="0" w:lastRowFirstColumn="0" w:lastRowLastColumn="0"/>
            <w:tcW w:w="1630" w:type="dxa"/>
            <w:noWrap/>
            <w:vAlign w:val="center"/>
            <w:hideMark/>
          </w:tcPr>
          <w:p w14:paraId="7F539191" w14:textId="77777777" w:rsidR="001F4DDE" w:rsidRPr="00C85BEF" w:rsidRDefault="001F4DDE" w:rsidP="001F4DDE">
            <w:pPr>
              <w:jc w:val="center"/>
              <w:rPr>
                <w:bCs/>
                <w:color w:val="000000"/>
                <w:sz w:val="16"/>
                <w:szCs w:val="16"/>
              </w:rPr>
            </w:pPr>
            <w:r w:rsidRPr="00C85BEF">
              <w:rPr>
                <w:bCs/>
                <w:color w:val="000000"/>
                <w:sz w:val="16"/>
                <w:szCs w:val="16"/>
              </w:rPr>
              <w:t>Turkey</w:t>
            </w:r>
          </w:p>
        </w:tc>
        <w:tc>
          <w:tcPr>
            <w:tcW w:w="1016" w:type="dxa"/>
            <w:tcBorders>
              <w:top w:val="nil"/>
              <w:bottom w:val="single" w:sz="12" w:space="0" w:color="000000"/>
            </w:tcBorders>
            <w:noWrap/>
            <w:vAlign w:val="center"/>
            <w:hideMark/>
          </w:tcPr>
          <w:p w14:paraId="44045FC9"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single" w:sz="12" w:space="0" w:color="000000"/>
              <w:right w:val="single" w:sz="4" w:space="0" w:color="auto"/>
            </w:tcBorders>
            <w:noWrap/>
            <w:vAlign w:val="center"/>
            <w:hideMark/>
          </w:tcPr>
          <w:p w14:paraId="76DB827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single" w:sz="12" w:space="0" w:color="000000"/>
            </w:tcBorders>
            <w:noWrap/>
            <w:vAlign w:val="center"/>
            <w:hideMark/>
          </w:tcPr>
          <w:p w14:paraId="5E286D3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single" w:sz="12" w:space="0" w:color="000000"/>
              <w:right w:val="single" w:sz="4" w:space="0" w:color="auto"/>
            </w:tcBorders>
            <w:noWrap/>
            <w:vAlign w:val="center"/>
            <w:hideMark/>
          </w:tcPr>
          <w:p w14:paraId="4FF29F23"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single" w:sz="12" w:space="0" w:color="000000"/>
            </w:tcBorders>
            <w:noWrap/>
            <w:vAlign w:val="center"/>
            <w:hideMark/>
          </w:tcPr>
          <w:p w14:paraId="29CFD87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single" w:sz="12" w:space="0" w:color="000000"/>
              <w:right w:val="single" w:sz="18" w:space="0" w:color="000000"/>
            </w:tcBorders>
            <w:noWrap/>
            <w:vAlign w:val="center"/>
            <w:hideMark/>
          </w:tcPr>
          <w:p w14:paraId="25B0CD9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left w:val="single" w:sz="18" w:space="0" w:color="000000"/>
              <w:bottom w:val="single" w:sz="12" w:space="0" w:color="000000"/>
            </w:tcBorders>
            <w:noWrap/>
            <w:vAlign w:val="center"/>
            <w:hideMark/>
          </w:tcPr>
          <w:p w14:paraId="0ACACFDA"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0.78</w:t>
            </w:r>
          </w:p>
        </w:tc>
        <w:tc>
          <w:tcPr>
            <w:tcW w:w="636" w:type="dxa"/>
            <w:tcBorders>
              <w:bottom w:val="single" w:sz="12" w:space="0" w:color="000000"/>
              <w:right w:val="single" w:sz="4" w:space="0" w:color="auto"/>
            </w:tcBorders>
            <w:noWrap/>
            <w:vAlign w:val="center"/>
            <w:hideMark/>
          </w:tcPr>
          <w:p w14:paraId="21949D10"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0.44</w:t>
            </w:r>
          </w:p>
        </w:tc>
        <w:tc>
          <w:tcPr>
            <w:tcW w:w="766" w:type="dxa"/>
            <w:tcBorders>
              <w:top w:val="nil"/>
              <w:left w:val="single" w:sz="4" w:space="0" w:color="auto"/>
              <w:bottom w:val="single" w:sz="12" w:space="0" w:color="000000"/>
            </w:tcBorders>
            <w:noWrap/>
            <w:vAlign w:val="center"/>
            <w:hideMark/>
          </w:tcPr>
          <w:p w14:paraId="5D5A317F"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0.66</w:t>
            </w:r>
          </w:p>
        </w:tc>
        <w:tc>
          <w:tcPr>
            <w:tcW w:w="616" w:type="dxa"/>
            <w:tcBorders>
              <w:top w:val="nil"/>
              <w:bottom w:val="single" w:sz="12" w:space="0" w:color="000000"/>
              <w:right w:val="single" w:sz="4" w:space="0" w:color="auto"/>
            </w:tcBorders>
            <w:noWrap/>
            <w:vAlign w:val="center"/>
            <w:hideMark/>
          </w:tcPr>
          <w:p w14:paraId="6829C84D"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0.51</w:t>
            </w:r>
          </w:p>
        </w:tc>
        <w:tc>
          <w:tcPr>
            <w:tcW w:w="766" w:type="dxa"/>
            <w:tcBorders>
              <w:left w:val="single" w:sz="4" w:space="0" w:color="auto"/>
              <w:bottom w:val="single" w:sz="12" w:space="0" w:color="000000"/>
            </w:tcBorders>
            <w:noWrap/>
            <w:vAlign w:val="center"/>
            <w:hideMark/>
          </w:tcPr>
          <w:p w14:paraId="25F612C8"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0.14</w:t>
            </w:r>
          </w:p>
        </w:tc>
        <w:tc>
          <w:tcPr>
            <w:tcW w:w="616" w:type="dxa"/>
            <w:tcBorders>
              <w:bottom w:val="single" w:sz="12" w:space="0" w:color="000000"/>
              <w:right w:val="single" w:sz="18" w:space="0" w:color="000000"/>
            </w:tcBorders>
            <w:noWrap/>
            <w:vAlign w:val="center"/>
            <w:hideMark/>
          </w:tcPr>
          <w:p w14:paraId="6C3B5034"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0.87</w:t>
            </w:r>
          </w:p>
        </w:tc>
        <w:tc>
          <w:tcPr>
            <w:tcW w:w="766" w:type="dxa"/>
            <w:tcBorders>
              <w:top w:val="nil"/>
              <w:left w:val="single" w:sz="18" w:space="0" w:color="000000"/>
              <w:bottom w:val="single" w:sz="12" w:space="0" w:color="000000"/>
            </w:tcBorders>
            <w:noWrap/>
            <w:vAlign w:val="center"/>
            <w:hideMark/>
          </w:tcPr>
          <w:p w14:paraId="3A80DB05"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16" w:type="dxa"/>
            <w:tcBorders>
              <w:top w:val="nil"/>
              <w:bottom w:val="single" w:sz="12" w:space="0" w:color="000000"/>
              <w:right w:val="single" w:sz="4" w:space="0" w:color="auto"/>
            </w:tcBorders>
            <w:noWrap/>
            <w:vAlign w:val="center"/>
            <w:hideMark/>
          </w:tcPr>
          <w:p w14:paraId="7C5F19AB"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c>
          <w:tcPr>
            <w:tcW w:w="766" w:type="dxa"/>
            <w:tcBorders>
              <w:top w:val="nil"/>
              <w:left w:val="single" w:sz="4" w:space="0" w:color="auto"/>
              <w:bottom w:val="single" w:sz="12" w:space="0" w:color="000000"/>
            </w:tcBorders>
            <w:noWrap/>
            <w:vAlign w:val="center"/>
            <w:hideMark/>
          </w:tcPr>
          <w:p w14:paraId="6768A09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0.03</w:t>
            </w:r>
          </w:p>
        </w:tc>
        <w:tc>
          <w:tcPr>
            <w:tcW w:w="616" w:type="dxa"/>
            <w:tcBorders>
              <w:top w:val="nil"/>
              <w:bottom w:val="single" w:sz="12" w:space="0" w:color="000000"/>
              <w:right w:val="single" w:sz="4" w:space="0" w:color="auto"/>
            </w:tcBorders>
            <w:noWrap/>
            <w:vAlign w:val="center"/>
            <w:hideMark/>
          </w:tcPr>
          <w:p w14:paraId="33E4C6CC"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0.97</w:t>
            </w:r>
          </w:p>
        </w:tc>
        <w:tc>
          <w:tcPr>
            <w:tcW w:w="616" w:type="dxa"/>
            <w:tcBorders>
              <w:left w:val="single" w:sz="4" w:space="0" w:color="auto"/>
            </w:tcBorders>
            <w:noWrap/>
            <w:vAlign w:val="center"/>
            <w:hideMark/>
          </w:tcPr>
          <w:p w14:paraId="6AAB5E11"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C85BEF">
              <w:rPr>
                <w:bCs/>
                <w:color w:val="000000"/>
                <w:sz w:val="16"/>
                <w:szCs w:val="16"/>
              </w:rPr>
              <w:t>0.01</w:t>
            </w:r>
          </w:p>
        </w:tc>
        <w:tc>
          <w:tcPr>
            <w:tcW w:w="676" w:type="dxa"/>
            <w:noWrap/>
            <w:vAlign w:val="center"/>
            <w:hideMark/>
          </w:tcPr>
          <w:p w14:paraId="4B44A9D6" w14:textId="77777777" w:rsidR="001F4DDE" w:rsidRPr="00C85BEF"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C85BEF">
              <w:rPr>
                <w:color w:val="000000"/>
                <w:sz w:val="16"/>
                <w:szCs w:val="16"/>
              </w:rPr>
              <w:t>0.99</w:t>
            </w:r>
          </w:p>
        </w:tc>
      </w:tr>
    </w:tbl>
    <w:p w14:paraId="067A1081" w14:textId="77777777" w:rsidR="001F4DDE" w:rsidRPr="000E6048" w:rsidRDefault="001F4DDE" w:rsidP="001F4DDE">
      <w:pPr>
        <w:spacing w:line="240" w:lineRule="auto"/>
        <w:ind w:right="-454"/>
        <w:rPr>
          <w:rFonts w:ascii="Times New Roman" w:hAnsi="Times New Roman"/>
          <w:sz w:val="18"/>
          <w:szCs w:val="18"/>
        </w:rPr>
      </w:pPr>
      <w:r w:rsidRPr="000E6048">
        <w:rPr>
          <w:rFonts w:ascii="Times New Roman" w:hAnsi="Times New Roman"/>
          <w:sz w:val="18"/>
          <w:szCs w:val="18"/>
        </w:rPr>
        <w:t xml:space="preserve">Notes: This table shows the </w:t>
      </w:r>
      <w:r w:rsidR="00044AD7">
        <w:rPr>
          <w:rFonts w:ascii="Times New Roman" w:hAnsi="Times New Roman"/>
          <w:sz w:val="18"/>
          <w:szCs w:val="18"/>
        </w:rPr>
        <w:t>F-statistics and p</w:t>
      </w:r>
      <w:r w:rsidRPr="000E6048">
        <w:rPr>
          <w:rFonts w:ascii="Times New Roman" w:hAnsi="Times New Roman"/>
          <w:sz w:val="18"/>
          <w:szCs w:val="18"/>
        </w:rPr>
        <w:t xml:space="preserve">-values from the </w:t>
      </w:r>
      <w:r>
        <w:rPr>
          <w:rFonts w:ascii="Times New Roman" w:hAnsi="Times New Roman"/>
          <w:sz w:val="18"/>
          <w:szCs w:val="18"/>
        </w:rPr>
        <w:t xml:space="preserve">Wald tests for </w:t>
      </w:r>
      <w:r w:rsidRPr="000E6048">
        <w:rPr>
          <w:rFonts w:ascii="Times New Roman" w:hAnsi="Times New Roman"/>
          <w:sz w:val="18"/>
          <w:szCs w:val="18"/>
        </w:rPr>
        <w:t>Mean-Variance Spanning to test the null hypothesis that the replicating portfolios, D1, D2 and D3 span the foreign country index for the three sub-periods.  If spanning is not rejected, the addition of the foreign country index does not shift the mean variance frontier and there is no significant diversification benefit to be gained by investing overseas.</w:t>
      </w:r>
    </w:p>
    <w:p w14:paraId="13D7C862" w14:textId="77777777" w:rsidR="001F4DDE" w:rsidRDefault="001F4DDE" w:rsidP="005817F4">
      <w:pPr>
        <w:pStyle w:val="Caption"/>
        <w:sectPr w:rsidR="001F4DDE" w:rsidSect="001F4DDE">
          <w:pgSz w:w="15840" w:h="12240" w:orient="landscape" w:code="1"/>
          <w:pgMar w:top="1440" w:right="1440" w:bottom="1440" w:left="1440" w:header="709" w:footer="709" w:gutter="0"/>
          <w:cols w:space="708"/>
          <w:docGrid w:linePitch="360"/>
        </w:sectPr>
      </w:pPr>
      <w:bookmarkStart w:id="29" w:name="_Ref377636586"/>
    </w:p>
    <w:p w14:paraId="582F0ED3" w14:textId="77777777" w:rsidR="001F4DDE" w:rsidRPr="00991889" w:rsidRDefault="008E6C2C" w:rsidP="005817F4">
      <w:pPr>
        <w:pStyle w:val="Caption"/>
      </w:pPr>
      <w:bookmarkStart w:id="30" w:name="_Ref384643651"/>
      <w:bookmarkStart w:id="31" w:name="_Toc383428913"/>
      <w:bookmarkEnd w:id="29"/>
      <w:r w:rsidRPr="00991889">
        <w:lastRenderedPageBreak/>
        <w:t xml:space="preserve">Table </w:t>
      </w:r>
      <w:r w:rsidR="00CD4B7C">
        <w:fldChar w:fldCharType="begin"/>
      </w:r>
      <w:r w:rsidR="00CD4B7C">
        <w:instrText xml:space="preserve"> SEQ Table \* ARABIC </w:instrText>
      </w:r>
      <w:r w:rsidR="00CD4B7C">
        <w:fldChar w:fldCharType="separate"/>
      </w:r>
      <w:r w:rsidR="00A0607E">
        <w:rPr>
          <w:noProof/>
        </w:rPr>
        <w:t>11</w:t>
      </w:r>
      <w:r w:rsidR="00CD4B7C">
        <w:rPr>
          <w:noProof/>
        </w:rPr>
        <w:fldChar w:fldCharType="end"/>
      </w:r>
      <w:bookmarkEnd w:id="30"/>
      <w:r w:rsidRPr="00991889">
        <w:t xml:space="preserve"> </w:t>
      </w:r>
      <w:r w:rsidR="001F4DDE" w:rsidRPr="00991889">
        <w:t>Further MVS Results</w:t>
      </w:r>
      <w:bookmarkEnd w:id="31"/>
    </w:p>
    <w:tbl>
      <w:tblPr>
        <w:tblStyle w:val="TableClassic1"/>
        <w:tblW w:w="0" w:type="auto"/>
        <w:tblLook w:val="04A0" w:firstRow="1" w:lastRow="0" w:firstColumn="1" w:lastColumn="0" w:noHBand="0" w:noVBand="1"/>
      </w:tblPr>
      <w:tblGrid>
        <w:gridCol w:w="1621"/>
        <w:gridCol w:w="932"/>
        <w:gridCol w:w="760"/>
        <w:gridCol w:w="1186"/>
        <w:gridCol w:w="969"/>
        <w:gridCol w:w="932"/>
        <w:gridCol w:w="760"/>
        <w:gridCol w:w="932"/>
        <w:gridCol w:w="760"/>
        <w:gridCol w:w="1186"/>
        <w:gridCol w:w="969"/>
        <w:gridCol w:w="926"/>
        <w:gridCol w:w="766"/>
      </w:tblGrid>
      <w:tr w:rsidR="001F4DDE" w:rsidRPr="001E0DBA" w14:paraId="7F9EB21B" w14:textId="77777777" w:rsidTr="001F4DD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13"/>
            <w:noWrap/>
            <w:vAlign w:val="center"/>
            <w:hideMark/>
          </w:tcPr>
          <w:p w14:paraId="20588979" w14:textId="77777777" w:rsidR="001F4DDE" w:rsidRPr="001E0DBA" w:rsidRDefault="001F4DDE" w:rsidP="001F4DDE">
            <w:pPr>
              <w:jc w:val="center"/>
              <w:rPr>
                <w:color w:val="000000"/>
                <w:sz w:val="18"/>
                <w:szCs w:val="18"/>
              </w:rPr>
            </w:pPr>
            <w:r w:rsidRPr="001E0DBA">
              <w:rPr>
                <w:color w:val="000000"/>
                <w:sz w:val="18"/>
                <w:szCs w:val="18"/>
              </w:rPr>
              <w:t>2003-2007</w:t>
            </w:r>
          </w:p>
        </w:tc>
      </w:tr>
      <w:tr w:rsidR="001F4DDE" w:rsidRPr="001E0DBA" w14:paraId="1969B8B5"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23BD22" w14:textId="77777777" w:rsidR="001F4DDE" w:rsidRPr="001E0DBA" w:rsidRDefault="001F4DDE" w:rsidP="001F4DDE">
            <w:pPr>
              <w:jc w:val="center"/>
              <w:rPr>
                <w:color w:val="000000"/>
                <w:sz w:val="18"/>
                <w:szCs w:val="18"/>
              </w:rPr>
            </w:pPr>
          </w:p>
        </w:tc>
        <w:tc>
          <w:tcPr>
            <w:tcW w:w="0" w:type="auto"/>
            <w:gridSpan w:val="6"/>
            <w:tcBorders>
              <w:top w:val="nil"/>
              <w:bottom w:val="nil"/>
              <w:right w:val="single" w:sz="4" w:space="0" w:color="auto"/>
            </w:tcBorders>
            <w:noWrap/>
            <w:vAlign w:val="center"/>
            <w:hideMark/>
          </w:tcPr>
          <w:p w14:paraId="241B76A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Stepwise 0.20 threshold</w:t>
            </w:r>
          </w:p>
        </w:tc>
        <w:tc>
          <w:tcPr>
            <w:tcW w:w="0" w:type="auto"/>
            <w:gridSpan w:val="6"/>
            <w:tcBorders>
              <w:left w:val="single" w:sz="4" w:space="0" w:color="auto"/>
            </w:tcBorders>
            <w:noWrap/>
            <w:vAlign w:val="center"/>
            <w:hideMark/>
          </w:tcPr>
          <w:p w14:paraId="4CA2B79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OLS Regression</w:t>
            </w:r>
          </w:p>
        </w:tc>
      </w:tr>
      <w:tr w:rsidR="001F4DDE" w:rsidRPr="001E0DBA" w14:paraId="55C81A24"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DFA89C" w14:textId="77777777" w:rsidR="001F4DDE" w:rsidRPr="001E0DBA" w:rsidRDefault="001F4DDE" w:rsidP="001F4DDE">
            <w:pPr>
              <w:jc w:val="center"/>
              <w:rPr>
                <w:bCs/>
                <w:color w:val="000000"/>
                <w:sz w:val="18"/>
                <w:szCs w:val="18"/>
              </w:rPr>
            </w:pPr>
          </w:p>
        </w:tc>
        <w:tc>
          <w:tcPr>
            <w:tcW w:w="1692" w:type="dxa"/>
            <w:gridSpan w:val="2"/>
            <w:tcBorders>
              <w:top w:val="nil"/>
              <w:bottom w:val="nil"/>
              <w:right w:val="single" w:sz="4" w:space="0" w:color="auto"/>
            </w:tcBorders>
            <w:noWrap/>
            <w:vAlign w:val="center"/>
            <w:hideMark/>
          </w:tcPr>
          <w:p w14:paraId="2A542CA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D1</w:t>
            </w:r>
          </w:p>
        </w:tc>
        <w:tc>
          <w:tcPr>
            <w:tcW w:w="2155" w:type="dxa"/>
            <w:gridSpan w:val="2"/>
            <w:tcBorders>
              <w:top w:val="nil"/>
              <w:left w:val="single" w:sz="4" w:space="0" w:color="auto"/>
              <w:bottom w:val="nil"/>
              <w:right w:val="single" w:sz="4" w:space="0" w:color="auto"/>
            </w:tcBorders>
            <w:noWrap/>
            <w:vAlign w:val="center"/>
            <w:hideMark/>
          </w:tcPr>
          <w:p w14:paraId="7A41130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D2</w:t>
            </w:r>
          </w:p>
        </w:tc>
        <w:tc>
          <w:tcPr>
            <w:tcW w:w="1692" w:type="dxa"/>
            <w:gridSpan w:val="2"/>
            <w:tcBorders>
              <w:top w:val="nil"/>
              <w:left w:val="single" w:sz="4" w:space="0" w:color="auto"/>
              <w:bottom w:val="nil"/>
              <w:right w:val="single" w:sz="4" w:space="0" w:color="auto"/>
            </w:tcBorders>
            <w:noWrap/>
            <w:vAlign w:val="center"/>
            <w:hideMark/>
          </w:tcPr>
          <w:p w14:paraId="2D83B4A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D3</w:t>
            </w:r>
          </w:p>
        </w:tc>
        <w:tc>
          <w:tcPr>
            <w:tcW w:w="1692" w:type="dxa"/>
            <w:gridSpan w:val="2"/>
            <w:tcBorders>
              <w:left w:val="single" w:sz="4" w:space="0" w:color="auto"/>
              <w:right w:val="single" w:sz="4" w:space="0" w:color="auto"/>
            </w:tcBorders>
            <w:noWrap/>
            <w:vAlign w:val="center"/>
            <w:hideMark/>
          </w:tcPr>
          <w:p w14:paraId="30B6650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D1</w:t>
            </w:r>
          </w:p>
        </w:tc>
        <w:tc>
          <w:tcPr>
            <w:tcW w:w="2155" w:type="dxa"/>
            <w:gridSpan w:val="2"/>
            <w:tcBorders>
              <w:top w:val="nil"/>
              <w:left w:val="single" w:sz="4" w:space="0" w:color="auto"/>
              <w:bottom w:val="nil"/>
              <w:right w:val="single" w:sz="4" w:space="0" w:color="auto"/>
            </w:tcBorders>
            <w:noWrap/>
            <w:vAlign w:val="center"/>
            <w:hideMark/>
          </w:tcPr>
          <w:p w14:paraId="604E88C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D2</w:t>
            </w:r>
          </w:p>
        </w:tc>
        <w:tc>
          <w:tcPr>
            <w:tcW w:w="1692" w:type="dxa"/>
            <w:gridSpan w:val="2"/>
            <w:tcBorders>
              <w:left w:val="single" w:sz="4" w:space="0" w:color="auto"/>
            </w:tcBorders>
            <w:noWrap/>
            <w:vAlign w:val="center"/>
            <w:hideMark/>
          </w:tcPr>
          <w:p w14:paraId="3FE1D57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D3</w:t>
            </w:r>
          </w:p>
        </w:tc>
      </w:tr>
      <w:tr w:rsidR="001F4DDE" w:rsidRPr="001E0DBA" w14:paraId="04E07C4C"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9FA8F9" w14:textId="77777777" w:rsidR="001F4DDE" w:rsidRPr="00FE195B" w:rsidRDefault="001F4DDE" w:rsidP="001F4DDE">
            <w:pPr>
              <w:jc w:val="center"/>
              <w:rPr>
                <w:bCs/>
                <w:i/>
                <w:color w:val="000000"/>
                <w:sz w:val="18"/>
                <w:szCs w:val="18"/>
              </w:rPr>
            </w:pPr>
            <w:r w:rsidRPr="00FE195B">
              <w:rPr>
                <w:bCs/>
                <w:i/>
                <w:color w:val="000000"/>
                <w:sz w:val="18"/>
                <w:szCs w:val="18"/>
              </w:rPr>
              <w:t>Developed Markets</w:t>
            </w:r>
          </w:p>
        </w:tc>
        <w:tc>
          <w:tcPr>
            <w:tcW w:w="0" w:type="auto"/>
            <w:tcBorders>
              <w:top w:val="nil"/>
              <w:bottom w:val="nil"/>
            </w:tcBorders>
            <w:noWrap/>
            <w:vAlign w:val="center"/>
            <w:hideMark/>
          </w:tcPr>
          <w:p w14:paraId="202246C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F-statistic</w:t>
            </w:r>
          </w:p>
        </w:tc>
        <w:tc>
          <w:tcPr>
            <w:tcW w:w="0" w:type="auto"/>
            <w:tcBorders>
              <w:top w:val="nil"/>
              <w:bottom w:val="nil"/>
              <w:right w:val="single" w:sz="4" w:space="0" w:color="auto"/>
            </w:tcBorders>
            <w:noWrap/>
            <w:vAlign w:val="center"/>
            <w:hideMark/>
          </w:tcPr>
          <w:p w14:paraId="5E011BF9" w14:textId="77777777" w:rsidR="001F4DDE" w:rsidRPr="001E0DBA"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1E0DBA">
              <w:rPr>
                <w:color w:val="000000"/>
                <w:sz w:val="18"/>
                <w:szCs w:val="18"/>
              </w:rPr>
              <w:t>-value</w:t>
            </w:r>
          </w:p>
        </w:tc>
        <w:tc>
          <w:tcPr>
            <w:tcW w:w="0" w:type="auto"/>
            <w:tcBorders>
              <w:top w:val="nil"/>
              <w:left w:val="single" w:sz="4" w:space="0" w:color="auto"/>
              <w:bottom w:val="nil"/>
            </w:tcBorders>
            <w:noWrap/>
            <w:vAlign w:val="center"/>
            <w:hideMark/>
          </w:tcPr>
          <w:p w14:paraId="6B9B12B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F-statistic</w:t>
            </w:r>
          </w:p>
        </w:tc>
        <w:tc>
          <w:tcPr>
            <w:tcW w:w="0" w:type="auto"/>
            <w:tcBorders>
              <w:top w:val="nil"/>
              <w:bottom w:val="nil"/>
              <w:right w:val="single" w:sz="4" w:space="0" w:color="auto"/>
            </w:tcBorders>
            <w:noWrap/>
            <w:vAlign w:val="center"/>
            <w:hideMark/>
          </w:tcPr>
          <w:p w14:paraId="37291E71" w14:textId="77777777" w:rsidR="001F4DDE" w:rsidRPr="001E0DBA"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1E0DBA">
              <w:rPr>
                <w:color w:val="000000"/>
                <w:sz w:val="18"/>
                <w:szCs w:val="18"/>
              </w:rPr>
              <w:t>-value</w:t>
            </w:r>
          </w:p>
        </w:tc>
        <w:tc>
          <w:tcPr>
            <w:tcW w:w="0" w:type="auto"/>
            <w:tcBorders>
              <w:top w:val="nil"/>
              <w:left w:val="single" w:sz="4" w:space="0" w:color="auto"/>
              <w:bottom w:val="nil"/>
            </w:tcBorders>
            <w:noWrap/>
            <w:vAlign w:val="center"/>
            <w:hideMark/>
          </w:tcPr>
          <w:p w14:paraId="3F819E8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F-statistic</w:t>
            </w:r>
          </w:p>
        </w:tc>
        <w:tc>
          <w:tcPr>
            <w:tcW w:w="0" w:type="auto"/>
            <w:tcBorders>
              <w:top w:val="nil"/>
              <w:bottom w:val="nil"/>
              <w:right w:val="single" w:sz="4" w:space="0" w:color="auto"/>
            </w:tcBorders>
            <w:noWrap/>
            <w:vAlign w:val="center"/>
            <w:hideMark/>
          </w:tcPr>
          <w:p w14:paraId="6AAC8EB1" w14:textId="77777777" w:rsidR="001F4DDE" w:rsidRPr="001E0DBA"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1E0DBA">
              <w:rPr>
                <w:color w:val="000000"/>
                <w:sz w:val="18"/>
                <w:szCs w:val="18"/>
              </w:rPr>
              <w:t>-value</w:t>
            </w:r>
          </w:p>
        </w:tc>
        <w:tc>
          <w:tcPr>
            <w:tcW w:w="0" w:type="auto"/>
            <w:tcBorders>
              <w:left w:val="single" w:sz="4" w:space="0" w:color="auto"/>
            </w:tcBorders>
            <w:noWrap/>
            <w:vAlign w:val="center"/>
            <w:hideMark/>
          </w:tcPr>
          <w:p w14:paraId="78EB05B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F-statistic</w:t>
            </w:r>
          </w:p>
        </w:tc>
        <w:tc>
          <w:tcPr>
            <w:tcW w:w="0" w:type="auto"/>
            <w:tcBorders>
              <w:right w:val="single" w:sz="4" w:space="0" w:color="auto"/>
            </w:tcBorders>
            <w:noWrap/>
            <w:vAlign w:val="center"/>
            <w:hideMark/>
          </w:tcPr>
          <w:p w14:paraId="6B4779D9" w14:textId="77777777" w:rsidR="001F4DDE" w:rsidRPr="001E0DBA"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1E0DBA">
              <w:rPr>
                <w:color w:val="000000"/>
                <w:sz w:val="18"/>
                <w:szCs w:val="18"/>
              </w:rPr>
              <w:t>-value</w:t>
            </w:r>
          </w:p>
        </w:tc>
        <w:tc>
          <w:tcPr>
            <w:tcW w:w="0" w:type="auto"/>
            <w:tcBorders>
              <w:top w:val="nil"/>
              <w:left w:val="single" w:sz="4" w:space="0" w:color="auto"/>
              <w:bottom w:val="nil"/>
            </w:tcBorders>
            <w:noWrap/>
            <w:vAlign w:val="center"/>
            <w:hideMark/>
          </w:tcPr>
          <w:p w14:paraId="301A6C8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F-statistic</w:t>
            </w:r>
          </w:p>
        </w:tc>
        <w:tc>
          <w:tcPr>
            <w:tcW w:w="0" w:type="auto"/>
            <w:tcBorders>
              <w:top w:val="nil"/>
              <w:bottom w:val="nil"/>
              <w:right w:val="single" w:sz="4" w:space="0" w:color="auto"/>
            </w:tcBorders>
            <w:noWrap/>
            <w:vAlign w:val="center"/>
            <w:hideMark/>
          </w:tcPr>
          <w:p w14:paraId="00C3144D" w14:textId="77777777" w:rsidR="001F4DDE" w:rsidRPr="001E0DBA"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1E0DBA">
              <w:rPr>
                <w:color w:val="000000"/>
                <w:sz w:val="18"/>
                <w:szCs w:val="18"/>
              </w:rPr>
              <w:t>-value</w:t>
            </w:r>
          </w:p>
        </w:tc>
        <w:tc>
          <w:tcPr>
            <w:tcW w:w="0" w:type="auto"/>
            <w:tcBorders>
              <w:left w:val="single" w:sz="4" w:space="0" w:color="auto"/>
            </w:tcBorders>
            <w:noWrap/>
            <w:vAlign w:val="center"/>
            <w:hideMark/>
          </w:tcPr>
          <w:p w14:paraId="56EE6E7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F-statistic</w:t>
            </w:r>
          </w:p>
        </w:tc>
        <w:tc>
          <w:tcPr>
            <w:tcW w:w="0" w:type="auto"/>
            <w:noWrap/>
            <w:vAlign w:val="center"/>
            <w:hideMark/>
          </w:tcPr>
          <w:p w14:paraId="1411AB2C" w14:textId="77777777" w:rsidR="001F4DDE" w:rsidRPr="001E0DBA" w:rsidRDefault="00044AD7"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w:t>
            </w:r>
            <w:r w:rsidR="001F4DDE" w:rsidRPr="001E0DBA">
              <w:rPr>
                <w:color w:val="000000"/>
                <w:sz w:val="18"/>
                <w:szCs w:val="18"/>
              </w:rPr>
              <w:t>-value</w:t>
            </w:r>
          </w:p>
        </w:tc>
      </w:tr>
      <w:tr w:rsidR="001F4DDE" w:rsidRPr="001E0DBA" w14:paraId="29C49166"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0D23C3" w14:textId="77777777" w:rsidR="001F4DDE" w:rsidRPr="001E0DBA" w:rsidRDefault="001F4DDE" w:rsidP="001F4DDE">
            <w:pPr>
              <w:jc w:val="center"/>
              <w:rPr>
                <w:bCs/>
                <w:color w:val="000000"/>
                <w:sz w:val="18"/>
                <w:szCs w:val="18"/>
              </w:rPr>
            </w:pPr>
            <w:r w:rsidRPr="001E0DBA">
              <w:rPr>
                <w:bCs/>
                <w:color w:val="000000"/>
                <w:sz w:val="18"/>
                <w:szCs w:val="18"/>
              </w:rPr>
              <w:t>Australia</w:t>
            </w:r>
          </w:p>
        </w:tc>
        <w:tc>
          <w:tcPr>
            <w:tcW w:w="0" w:type="auto"/>
            <w:tcBorders>
              <w:top w:val="nil"/>
              <w:bottom w:val="nil"/>
            </w:tcBorders>
            <w:noWrap/>
            <w:vAlign w:val="center"/>
            <w:hideMark/>
          </w:tcPr>
          <w:p w14:paraId="1A21B38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3.5</w:t>
            </w:r>
          </w:p>
        </w:tc>
        <w:tc>
          <w:tcPr>
            <w:tcW w:w="0" w:type="auto"/>
            <w:tcBorders>
              <w:top w:val="nil"/>
              <w:bottom w:val="nil"/>
              <w:right w:val="single" w:sz="4" w:space="0" w:color="auto"/>
            </w:tcBorders>
            <w:noWrap/>
            <w:vAlign w:val="center"/>
            <w:hideMark/>
          </w:tcPr>
          <w:p w14:paraId="19F0102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29A8ECDB"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top w:val="nil"/>
              <w:bottom w:val="nil"/>
              <w:right w:val="single" w:sz="4" w:space="0" w:color="auto"/>
            </w:tcBorders>
            <w:noWrap/>
            <w:vAlign w:val="center"/>
            <w:hideMark/>
          </w:tcPr>
          <w:p w14:paraId="50935FFB"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nil"/>
            </w:tcBorders>
            <w:noWrap/>
            <w:vAlign w:val="center"/>
            <w:hideMark/>
          </w:tcPr>
          <w:p w14:paraId="40D5F28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6AC616C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4C64EC8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3.4</w:t>
            </w:r>
          </w:p>
        </w:tc>
        <w:tc>
          <w:tcPr>
            <w:tcW w:w="0" w:type="auto"/>
            <w:tcBorders>
              <w:right w:val="single" w:sz="4" w:space="0" w:color="auto"/>
            </w:tcBorders>
            <w:noWrap/>
            <w:vAlign w:val="center"/>
            <w:hideMark/>
          </w:tcPr>
          <w:p w14:paraId="56D2798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nil"/>
            </w:tcBorders>
            <w:noWrap/>
            <w:vAlign w:val="center"/>
            <w:hideMark/>
          </w:tcPr>
          <w:p w14:paraId="638C969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23791BC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left w:val="single" w:sz="4" w:space="0" w:color="auto"/>
            </w:tcBorders>
            <w:noWrap/>
            <w:vAlign w:val="center"/>
            <w:hideMark/>
          </w:tcPr>
          <w:p w14:paraId="782C939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6126D4F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463F657A"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0ABA16" w14:textId="77777777" w:rsidR="001F4DDE" w:rsidRPr="001E0DBA" w:rsidRDefault="001F4DDE" w:rsidP="001F4DDE">
            <w:pPr>
              <w:jc w:val="center"/>
              <w:rPr>
                <w:bCs/>
                <w:color w:val="000000"/>
                <w:sz w:val="18"/>
                <w:szCs w:val="18"/>
              </w:rPr>
            </w:pPr>
            <w:r w:rsidRPr="001E0DBA">
              <w:rPr>
                <w:bCs/>
                <w:color w:val="000000"/>
                <w:sz w:val="18"/>
                <w:szCs w:val="18"/>
              </w:rPr>
              <w:t>Austria</w:t>
            </w:r>
          </w:p>
        </w:tc>
        <w:tc>
          <w:tcPr>
            <w:tcW w:w="0" w:type="auto"/>
            <w:tcBorders>
              <w:top w:val="nil"/>
              <w:bottom w:val="nil"/>
            </w:tcBorders>
            <w:noWrap/>
            <w:vAlign w:val="center"/>
            <w:hideMark/>
          </w:tcPr>
          <w:p w14:paraId="3791DB7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2.96</w:t>
            </w:r>
          </w:p>
        </w:tc>
        <w:tc>
          <w:tcPr>
            <w:tcW w:w="0" w:type="auto"/>
            <w:tcBorders>
              <w:top w:val="nil"/>
              <w:bottom w:val="nil"/>
              <w:right w:val="single" w:sz="4" w:space="0" w:color="auto"/>
            </w:tcBorders>
            <w:noWrap/>
            <w:vAlign w:val="center"/>
            <w:hideMark/>
          </w:tcPr>
          <w:p w14:paraId="719E7A9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0.05</w:t>
            </w:r>
          </w:p>
        </w:tc>
        <w:tc>
          <w:tcPr>
            <w:tcW w:w="0" w:type="auto"/>
            <w:tcBorders>
              <w:top w:val="nil"/>
              <w:left w:val="single" w:sz="4" w:space="0" w:color="auto"/>
              <w:bottom w:val="nil"/>
            </w:tcBorders>
            <w:noWrap/>
            <w:vAlign w:val="center"/>
            <w:hideMark/>
          </w:tcPr>
          <w:p w14:paraId="67D0E7F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545EC55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52C49A2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5B5BA3D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65A838E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2.96</w:t>
            </w:r>
          </w:p>
        </w:tc>
        <w:tc>
          <w:tcPr>
            <w:tcW w:w="0" w:type="auto"/>
            <w:tcBorders>
              <w:right w:val="single" w:sz="4" w:space="0" w:color="auto"/>
            </w:tcBorders>
            <w:noWrap/>
            <w:vAlign w:val="center"/>
            <w:hideMark/>
          </w:tcPr>
          <w:p w14:paraId="019AF32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0.05</w:t>
            </w:r>
          </w:p>
        </w:tc>
        <w:tc>
          <w:tcPr>
            <w:tcW w:w="0" w:type="auto"/>
            <w:tcBorders>
              <w:top w:val="nil"/>
              <w:left w:val="single" w:sz="4" w:space="0" w:color="auto"/>
              <w:bottom w:val="nil"/>
            </w:tcBorders>
            <w:noWrap/>
            <w:vAlign w:val="center"/>
            <w:hideMark/>
          </w:tcPr>
          <w:p w14:paraId="306F93E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4389281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7FD390F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726C77D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564ED2A5"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924CD78" w14:textId="77777777" w:rsidR="001F4DDE" w:rsidRPr="001E0DBA" w:rsidRDefault="001F4DDE" w:rsidP="001F4DDE">
            <w:pPr>
              <w:jc w:val="center"/>
              <w:rPr>
                <w:bCs/>
                <w:color w:val="000000"/>
                <w:sz w:val="18"/>
                <w:szCs w:val="18"/>
              </w:rPr>
            </w:pPr>
            <w:r w:rsidRPr="001E0DBA">
              <w:rPr>
                <w:bCs/>
                <w:color w:val="000000"/>
                <w:sz w:val="18"/>
                <w:szCs w:val="18"/>
              </w:rPr>
              <w:t>Belgium</w:t>
            </w:r>
          </w:p>
        </w:tc>
        <w:tc>
          <w:tcPr>
            <w:tcW w:w="0" w:type="auto"/>
            <w:tcBorders>
              <w:top w:val="nil"/>
              <w:bottom w:val="nil"/>
            </w:tcBorders>
            <w:noWrap/>
            <w:vAlign w:val="center"/>
            <w:hideMark/>
          </w:tcPr>
          <w:p w14:paraId="63EB276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1.94</w:t>
            </w:r>
          </w:p>
        </w:tc>
        <w:tc>
          <w:tcPr>
            <w:tcW w:w="0" w:type="auto"/>
            <w:tcBorders>
              <w:top w:val="nil"/>
              <w:bottom w:val="nil"/>
              <w:right w:val="single" w:sz="4" w:space="0" w:color="auto"/>
            </w:tcBorders>
            <w:noWrap/>
            <w:vAlign w:val="center"/>
            <w:hideMark/>
          </w:tcPr>
          <w:p w14:paraId="4F532D6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0.15</w:t>
            </w:r>
          </w:p>
        </w:tc>
        <w:tc>
          <w:tcPr>
            <w:tcW w:w="0" w:type="auto"/>
            <w:tcBorders>
              <w:top w:val="nil"/>
              <w:left w:val="single" w:sz="4" w:space="0" w:color="auto"/>
              <w:bottom w:val="nil"/>
            </w:tcBorders>
            <w:noWrap/>
            <w:vAlign w:val="center"/>
            <w:hideMark/>
          </w:tcPr>
          <w:p w14:paraId="450093F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0" w:type="auto"/>
            <w:tcBorders>
              <w:top w:val="nil"/>
              <w:bottom w:val="nil"/>
              <w:right w:val="single" w:sz="4" w:space="0" w:color="auto"/>
            </w:tcBorders>
            <w:noWrap/>
            <w:vAlign w:val="center"/>
            <w:hideMark/>
          </w:tcPr>
          <w:p w14:paraId="423A422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5007B11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5220EB8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53F7D09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1.68</w:t>
            </w:r>
          </w:p>
        </w:tc>
        <w:tc>
          <w:tcPr>
            <w:tcW w:w="0" w:type="auto"/>
            <w:tcBorders>
              <w:right w:val="single" w:sz="4" w:space="0" w:color="auto"/>
            </w:tcBorders>
            <w:noWrap/>
            <w:vAlign w:val="center"/>
            <w:hideMark/>
          </w:tcPr>
          <w:p w14:paraId="650AF09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0.19</w:t>
            </w:r>
          </w:p>
        </w:tc>
        <w:tc>
          <w:tcPr>
            <w:tcW w:w="0" w:type="auto"/>
            <w:tcBorders>
              <w:top w:val="nil"/>
              <w:left w:val="single" w:sz="4" w:space="0" w:color="auto"/>
              <w:bottom w:val="nil"/>
            </w:tcBorders>
            <w:noWrap/>
            <w:vAlign w:val="center"/>
            <w:hideMark/>
          </w:tcPr>
          <w:p w14:paraId="6FBC139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0" w:type="auto"/>
            <w:tcBorders>
              <w:top w:val="nil"/>
              <w:bottom w:val="nil"/>
              <w:right w:val="single" w:sz="4" w:space="0" w:color="auto"/>
            </w:tcBorders>
            <w:noWrap/>
            <w:vAlign w:val="center"/>
            <w:hideMark/>
          </w:tcPr>
          <w:p w14:paraId="1D47653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5701AF3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76AC97F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2A2C1C9A"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F3DDC8" w14:textId="77777777" w:rsidR="001F4DDE" w:rsidRPr="001E0DBA" w:rsidRDefault="001F4DDE" w:rsidP="001F4DDE">
            <w:pPr>
              <w:jc w:val="center"/>
              <w:rPr>
                <w:bCs/>
                <w:color w:val="000000"/>
                <w:sz w:val="18"/>
                <w:szCs w:val="18"/>
              </w:rPr>
            </w:pPr>
            <w:r w:rsidRPr="001E0DBA">
              <w:rPr>
                <w:bCs/>
                <w:color w:val="000000"/>
                <w:sz w:val="18"/>
                <w:szCs w:val="18"/>
              </w:rPr>
              <w:t>Canada</w:t>
            </w:r>
          </w:p>
        </w:tc>
        <w:tc>
          <w:tcPr>
            <w:tcW w:w="0" w:type="auto"/>
            <w:tcBorders>
              <w:top w:val="nil"/>
              <w:bottom w:val="nil"/>
            </w:tcBorders>
            <w:noWrap/>
            <w:vAlign w:val="center"/>
            <w:hideMark/>
          </w:tcPr>
          <w:p w14:paraId="2E90135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684256E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540CD08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0AA7D6F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63EF272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68BE30C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636216C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right w:val="single" w:sz="4" w:space="0" w:color="auto"/>
            </w:tcBorders>
            <w:noWrap/>
            <w:vAlign w:val="center"/>
            <w:hideMark/>
          </w:tcPr>
          <w:p w14:paraId="4511FF3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5E785F5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top w:val="nil"/>
              <w:bottom w:val="nil"/>
              <w:right w:val="single" w:sz="4" w:space="0" w:color="auto"/>
            </w:tcBorders>
            <w:noWrap/>
            <w:vAlign w:val="center"/>
            <w:hideMark/>
          </w:tcPr>
          <w:p w14:paraId="4AEE19D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left w:val="single" w:sz="4" w:space="0" w:color="auto"/>
            </w:tcBorders>
            <w:noWrap/>
            <w:vAlign w:val="center"/>
            <w:hideMark/>
          </w:tcPr>
          <w:p w14:paraId="2B63394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18986A2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654B6035"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5204A7" w14:textId="77777777" w:rsidR="001F4DDE" w:rsidRPr="001E0DBA" w:rsidRDefault="001F4DDE" w:rsidP="001F4DDE">
            <w:pPr>
              <w:jc w:val="center"/>
              <w:rPr>
                <w:bCs/>
                <w:color w:val="000000"/>
                <w:sz w:val="18"/>
                <w:szCs w:val="18"/>
              </w:rPr>
            </w:pPr>
            <w:r w:rsidRPr="001E0DBA">
              <w:rPr>
                <w:bCs/>
                <w:color w:val="000000"/>
                <w:sz w:val="18"/>
                <w:szCs w:val="18"/>
              </w:rPr>
              <w:t>Denmark</w:t>
            </w:r>
          </w:p>
        </w:tc>
        <w:tc>
          <w:tcPr>
            <w:tcW w:w="0" w:type="auto"/>
            <w:tcBorders>
              <w:top w:val="nil"/>
              <w:bottom w:val="nil"/>
            </w:tcBorders>
            <w:noWrap/>
            <w:vAlign w:val="center"/>
            <w:hideMark/>
          </w:tcPr>
          <w:p w14:paraId="5A896A2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64BA8B8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63876B5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top w:val="nil"/>
              <w:bottom w:val="nil"/>
              <w:right w:val="single" w:sz="4" w:space="0" w:color="auto"/>
            </w:tcBorders>
            <w:noWrap/>
            <w:vAlign w:val="center"/>
            <w:hideMark/>
          </w:tcPr>
          <w:p w14:paraId="5D2DFCB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top w:val="nil"/>
              <w:left w:val="single" w:sz="4" w:space="0" w:color="auto"/>
              <w:bottom w:val="nil"/>
            </w:tcBorders>
            <w:noWrap/>
            <w:vAlign w:val="center"/>
            <w:hideMark/>
          </w:tcPr>
          <w:p w14:paraId="4845BC7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365C315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09DCD59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right w:val="single" w:sz="4" w:space="0" w:color="auto"/>
            </w:tcBorders>
            <w:noWrap/>
            <w:vAlign w:val="center"/>
            <w:hideMark/>
          </w:tcPr>
          <w:p w14:paraId="77FA70D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nil"/>
            </w:tcBorders>
            <w:noWrap/>
            <w:vAlign w:val="center"/>
            <w:hideMark/>
          </w:tcPr>
          <w:p w14:paraId="5DC805C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5D919D8B"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left w:val="single" w:sz="4" w:space="0" w:color="auto"/>
            </w:tcBorders>
            <w:noWrap/>
            <w:vAlign w:val="center"/>
            <w:hideMark/>
          </w:tcPr>
          <w:p w14:paraId="3655D4E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15D69CD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53F35912"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7B6C060" w14:textId="77777777" w:rsidR="001F4DDE" w:rsidRPr="001E0DBA" w:rsidRDefault="001F4DDE" w:rsidP="001F4DDE">
            <w:pPr>
              <w:jc w:val="center"/>
              <w:rPr>
                <w:bCs/>
                <w:color w:val="000000"/>
                <w:sz w:val="18"/>
                <w:szCs w:val="18"/>
              </w:rPr>
            </w:pPr>
            <w:r w:rsidRPr="001E0DBA">
              <w:rPr>
                <w:bCs/>
                <w:color w:val="000000"/>
                <w:sz w:val="18"/>
                <w:szCs w:val="18"/>
              </w:rPr>
              <w:t>Germany</w:t>
            </w:r>
          </w:p>
        </w:tc>
        <w:tc>
          <w:tcPr>
            <w:tcW w:w="0" w:type="auto"/>
            <w:tcBorders>
              <w:top w:val="nil"/>
              <w:bottom w:val="nil"/>
            </w:tcBorders>
            <w:noWrap/>
            <w:vAlign w:val="center"/>
            <w:hideMark/>
          </w:tcPr>
          <w:p w14:paraId="58FEE4A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0" w:type="auto"/>
            <w:tcBorders>
              <w:top w:val="nil"/>
              <w:bottom w:val="nil"/>
              <w:right w:val="single" w:sz="4" w:space="0" w:color="auto"/>
            </w:tcBorders>
            <w:noWrap/>
            <w:vAlign w:val="center"/>
            <w:hideMark/>
          </w:tcPr>
          <w:p w14:paraId="459713A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4FDA4CA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2.79</w:t>
            </w:r>
          </w:p>
        </w:tc>
        <w:tc>
          <w:tcPr>
            <w:tcW w:w="0" w:type="auto"/>
            <w:tcBorders>
              <w:top w:val="nil"/>
              <w:bottom w:val="nil"/>
              <w:right w:val="single" w:sz="4" w:space="0" w:color="auto"/>
            </w:tcBorders>
            <w:noWrap/>
            <w:vAlign w:val="center"/>
            <w:hideMark/>
          </w:tcPr>
          <w:p w14:paraId="04BB921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top w:val="nil"/>
              <w:left w:val="single" w:sz="4" w:space="0" w:color="auto"/>
              <w:bottom w:val="nil"/>
            </w:tcBorders>
            <w:noWrap/>
            <w:vAlign w:val="center"/>
            <w:hideMark/>
          </w:tcPr>
          <w:p w14:paraId="2AE033A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762A697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541C748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right w:val="single" w:sz="4" w:space="0" w:color="auto"/>
            </w:tcBorders>
            <w:noWrap/>
            <w:vAlign w:val="center"/>
            <w:hideMark/>
          </w:tcPr>
          <w:p w14:paraId="62AF8D1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03C4F66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2.79</w:t>
            </w:r>
          </w:p>
        </w:tc>
        <w:tc>
          <w:tcPr>
            <w:tcW w:w="0" w:type="auto"/>
            <w:tcBorders>
              <w:top w:val="nil"/>
              <w:bottom w:val="nil"/>
              <w:right w:val="single" w:sz="4" w:space="0" w:color="auto"/>
            </w:tcBorders>
            <w:noWrap/>
            <w:vAlign w:val="center"/>
            <w:hideMark/>
          </w:tcPr>
          <w:p w14:paraId="362DFD6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left w:val="single" w:sz="4" w:space="0" w:color="auto"/>
            </w:tcBorders>
            <w:noWrap/>
            <w:vAlign w:val="center"/>
            <w:hideMark/>
          </w:tcPr>
          <w:p w14:paraId="1D600BE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08B647F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17E1B2E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ACE3ED" w14:textId="77777777" w:rsidR="001F4DDE" w:rsidRPr="001E0DBA" w:rsidRDefault="001F4DDE" w:rsidP="001F4DDE">
            <w:pPr>
              <w:jc w:val="center"/>
              <w:rPr>
                <w:bCs/>
                <w:color w:val="000000"/>
                <w:sz w:val="18"/>
                <w:szCs w:val="18"/>
              </w:rPr>
            </w:pPr>
            <w:r w:rsidRPr="001E0DBA">
              <w:rPr>
                <w:bCs/>
                <w:color w:val="000000"/>
                <w:sz w:val="18"/>
                <w:szCs w:val="18"/>
              </w:rPr>
              <w:t>Hong Kong</w:t>
            </w:r>
          </w:p>
        </w:tc>
        <w:tc>
          <w:tcPr>
            <w:tcW w:w="0" w:type="auto"/>
            <w:tcBorders>
              <w:top w:val="nil"/>
              <w:bottom w:val="nil"/>
            </w:tcBorders>
            <w:noWrap/>
            <w:vAlign w:val="center"/>
            <w:hideMark/>
          </w:tcPr>
          <w:p w14:paraId="38B0D38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2.46</w:t>
            </w:r>
          </w:p>
        </w:tc>
        <w:tc>
          <w:tcPr>
            <w:tcW w:w="0" w:type="auto"/>
            <w:tcBorders>
              <w:top w:val="nil"/>
              <w:bottom w:val="nil"/>
              <w:right w:val="single" w:sz="4" w:space="0" w:color="auto"/>
            </w:tcBorders>
            <w:noWrap/>
            <w:vAlign w:val="center"/>
            <w:hideMark/>
          </w:tcPr>
          <w:p w14:paraId="72AF2F5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0.07</w:t>
            </w:r>
          </w:p>
        </w:tc>
        <w:tc>
          <w:tcPr>
            <w:tcW w:w="0" w:type="auto"/>
            <w:tcBorders>
              <w:top w:val="nil"/>
              <w:left w:val="single" w:sz="4" w:space="0" w:color="auto"/>
              <w:bottom w:val="nil"/>
            </w:tcBorders>
            <w:noWrap/>
            <w:vAlign w:val="center"/>
            <w:hideMark/>
          </w:tcPr>
          <w:p w14:paraId="45B7116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1B22F09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26747A5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5D8733C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26D9312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2.42</w:t>
            </w:r>
          </w:p>
        </w:tc>
        <w:tc>
          <w:tcPr>
            <w:tcW w:w="0" w:type="auto"/>
            <w:tcBorders>
              <w:right w:val="single" w:sz="4" w:space="0" w:color="auto"/>
            </w:tcBorders>
            <w:noWrap/>
            <w:vAlign w:val="center"/>
            <w:hideMark/>
          </w:tcPr>
          <w:p w14:paraId="753F8E4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0.09</w:t>
            </w:r>
          </w:p>
        </w:tc>
        <w:tc>
          <w:tcPr>
            <w:tcW w:w="0" w:type="auto"/>
            <w:tcBorders>
              <w:top w:val="nil"/>
              <w:left w:val="single" w:sz="4" w:space="0" w:color="auto"/>
              <w:bottom w:val="nil"/>
            </w:tcBorders>
            <w:noWrap/>
            <w:vAlign w:val="center"/>
            <w:hideMark/>
          </w:tcPr>
          <w:p w14:paraId="2242A70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720E214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231FEFB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1B3D408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028B531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99B178" w14:textId="77777777" w:rsidR="001F4DDE" w:rsidRPr="001E0DBA" w:rsidRDefault="001F4DDE" w:rsidP="001F4DDE">
            <w:pPr>
              <w:jc w:val="center"/>
              <w:rPr>
                <w:bCs/>
                <w:color w:val="000000"/>
                <w:sz w:val="18"/>
                <w:szCs w:val="18"/>
              </w:rPr>
            </w:pPr>
            <w:r w:rsidRPr="001E0DBA">
              <w:rPr>
                <w:bCs/>
                <w:color w:val="000000"/>
                <w:sz w:val="18"/>
                <w:szCs w:val="18"/>
              </w:rPr>
              <w:t>Portugal</w:t>
            </w:r>
          </w:p>
        </w:tc>
        <w:tc>
          <w:tcPr>
            <w:tcW w:w="0" w:type="auto"/>
            <w:tcBorders>
              <w:top w:val="nil"/>
              <w:bottom w:val="nil"/>
            </w:tcBorders>
            <w:noWrap/>
            <w:vAlign w:val="center"/>
            <w:hideMark/>
          </w:tcPr>
          <w:p w14:paraId="4B3A291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3.28</w:t>
            </w:r>
          </w:p>
        </w:tc>
        <w:tc>
          <w:tcPr>
            <w:tcW w:w="0" w:type="auto"/>
            <w:tcBorders>
              <w:top w:val="nil"/>
              <w:bottom w:val="nil"/>
              <w:right w:val="single" w:sz="4" w:space="0" w:color="auto"/>
            </w:tcBorders>
            <w:noWrap/>
            <w:vAlign w:val="center"/>
            <w:hideMark/>
          </w:tcPr>
          <w:p w14:paraId="1147A27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0431594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2.49</w:t>
            </w:r>
          </w:p>
        </w:tc>
        <w:tc>
          <w:tcPr>
            <w:tcW w:w="0" w:type="auto"/>
            <w:tcBorders>
              <w:top w:val="nil"/>
              <w:bottom w:val="nil"/>
              <w:right w:val="single" w:sz="4" w:space="0" w:color="auto"/>
            </w:tcBorders>
            <w:noWrap/>
            <w:vAlign w:val="center"/>
            <w:hideMark/>
          </w:tcPr>
          <w:p w14:paraId="743B81D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0.08</w:t>
            </w:r>
          </w:p>
        </w:tc>
        <w:tc>
          <w:tcPr>
            <w:tcW w:w="0" w:type="auto"/>
            <w:tcBorders>
              <w:top w:val="nil"/>
              <w:left w:val="single" w:sz="4" w:space="0" w:color="auto"/>
              <w:bottom w:val="nil"/>
            </w:tcBorders>
            <w:noWrap/>
            <w:vAlign w:val="center"/>
            <w:hideMark/>
          </w:tcPr>
          <w:p w14:paraId="29EFF42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75769C7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625C62D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right w:val="single" w:sz="4" w:space="0" w:color="auto"/>
            </w:tcBorders>
            <w:noWrap/>
            <w:vAlign w:val="center"/>
            <w:hideMark/>
          </w:tcPr>
          <w:p w14:paraId="0D485FD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nil"/>
            </w:tcBorders>
            <w:noWrap/>
            <w:vAlign w:val="center"/>
            <w:hideMark/>
          </w:tcPr>
          <w:p w14:paraId="2C90B7F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2.49</w:t>
            </w:r>
          </w:p>
        </w:tc>
        <w:tc>
          <w:tcPr>
            <w:tcW w:w="0" w:type="auto"/>
            <w:tcBorders>
              <w:top w:val="nil"/>
              <w:bottom w:val="nil"/>
              <w:right w:val="single" w:sz="4" w:space="0" w:color="auto"/>
            </w:tcBorders>
            <w:noWrap/>
            <w:vAlign w:val="center"/>
            <w:hideMark/>
          </w:tcPr>
          <w:p w14:paraId="46EEF6F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0.08</w:t>
            </w:r>
          </w:p>
        </w:tc>
        <w:tc>
          <w:tcPr>
            <w:tcW w:w="0" w:type="auto"/>
            <w:tcBorders>
              <w:left w:val="single" w:sz="4" w:space="0" w:color="auto"/>
            </w:tcBorders>
            <w:noWrap/>
            <w:vAlign w:val="center"/>
            <w:hideMark/>
          </w:tcPr>
          <w:p w14:paraId="5885595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0EC04E5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30309109"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FFD5F3" w14:textId="77777777" w:rsidR="001F4DDE" w:rsidRPr="001E0DBA" w:rsidRDefault="001F4DDE" w:rsidP="001F4DDE">
            <w:pPr>
              <w:jc w:val="center"/>
              <w:rPr>
                <w:bCs/>
                <w:color w:val="000000"/>
                <w:sz w:val="18"/>
                <w:szCs w:val="18"/>
              </w:rPr>
            </w:pPr>
            <w:r w:rsidRPr="001E0DBA">
              <w:rPr>
                <w:bCs/>
                <w:color w:val="000000"/>
                <w:sz w:val="18"/>
                <w:szCs w:val="18"/>
              </w:rPr>
              <w:t>Singapore</w:t>
            </w:r>
          </w:p>
        </w:tc>
        <w:tc>
          <w:tcPr>
            <w:tcW w:w="0" w:type="auto"/>
            <w:tcBorders>
              <w:top w:val="nil"/>
              <w:bottom w:val="nil"/>
            </w:tcBorders>
            <w:noWrap/>
            <w:vAlign w:val="center"/>
            <w:hideMark/>
          </w:tcPr>
          <w:p w14:paraId="32BFAC6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3.27</w:t>
            </w:r>
          </w:p>
        </w:tc>
        <w:tc>
          <w:tcPr>
            <w:tcW w:w="0" w:type="auto"/>
            <w:tcBorders>
              <w:top w:val="nil"/>
              <w:bottom w:val="nil"/>
              <w:right w:val="single" w:sz="4" w:space="0" w:color="auto"/>
            </w:tcBorders>
            <w:noWrap/>
            <w:vAlign w:val="center"/>
            <w:hideMark/>
          </w:tcPr>
          <w:p w14:paraId="7E452C0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3EB6EF1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2.79</w:t>
            </w:r>
          </w:p>
        </w:tc>
        <w:tc>
          <w:tcPr>
            <w:tcW w:w="0" w:type="auto"/>
            <w:tcBorders>
              <w:top w:val="nil"/>
              <w:bottom w:val="nil"/>
              <w:right w:val="single" w:sz="4" w:space="0" w:color="auto"/>
            </w:tcBorders>
            <w:noWrap/>
            <w:vAlign w:val="center"/>
            <w:hideMark/>
          </w:tcPr>
          <w:p w14:paraId="0B00455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top w:val="nil"/>
              <w:left w:val="single" w:sz="4" w:space="0" w:color="auto"/>
              <w:bottom w:val="nil"/>
            </w:tcBorders>
            <w:noWrap/>
            <w:vAlign w:val="center"/>
            <w:hideMark/>
          </w:tcPr>
          <w:p w14:paraId="2471D71B"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3E55E3E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0013E3A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2.79</w:t>
            </w:r>
          </w:p>
        </w:tc>
        <w:tc>
          <w:tcPr>
            <w:tcW w:w="0" w:type="auto"/>
            <w:tcBorders>
              <w:right w:val="single" w:sz="4" w:space="0" w:color="auto"/>
            </w:tcBorders>
            <w:noWrap/>
            <w:vAlign w:val="center"/>
            <w:hideMark/>
          </w:tcPr>
          <w:p w14:paraId="1610C73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top w:val="nil"/>
              <w:left w:val="single" w:sz="4" w:space="0" w:color="auto"/>
              <w:bottom w:val="nil"/>
            </w:tcBorders>
            <w:noWrap/>
            <w:vAlign w:val="center"/>
            <w:hideMark/>
          </w:tcPr>
          <w:p w14:paraId="1CB6A0F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2.79</w:t>
            </w:r>
          </w:p>
        </w:tc>
        <w:tc>
          <w:tcPr>
            <w:tcW w:w="0" w:type="auto"/>
            <w:tcBorders>
              <w:top w:val="nil"/>
              <w:bottom w:val="nil"/>
              <w:right w:val="single" w:sz="4" w:space="0" w:color="auto"/>
            </w:tcBorders>
            <w:noWrap/>
            <w:vAlign w:val="center"/>
            <w:hideMark/>
          </w:tcPr>
          <w:p w14:paraId="254AA02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left w:val="single" w:sz="4" w:space="0" w:color="auto"/>
            </w:tcBorders>
            <w:noWrap/>
            <w:vAlign w:val="center"/>
            <w:hideMark/>
          </w:tcPr>
          <w:p w14:paraId="3AEFFB0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237DE7C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226BFBFC"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38C968" w14:textId="77777777" w:rsidR="001F4DDE" w:rsidRPr="001E0DBA" w:rsidRDefault="001F4DDE" w:rsidP="001F4DDE">
            <w:pPr>
              <w:jc w:val="center"/>
              <w:rPr>
                <w:bCs/>
                <w:color w:val="000000"/>
                <w:sz w:val="18"/>
                <w:szCs w:val="18"/>
              </w:rPr>
            </w:pPr>
            <w:r w:rsidRPr="001E0DBA">
              <w:rPr>
                <w:bCs/>
                <w:color w:val="000000"/>
                <w:sz w:val="18"/>
                <w:szCs w:val="18"/>
              </w:rPr>
              <w:t>Spain</w:t>
            </w:r>
          </w:p>
        </w:tc>
        <w:tc>
          <w:tcPr>
            <w:tcW w:w="0" w:type="auto"/>
            <w:tcBorders>
              <w:top w:val="nil"/>
              <w:bottom w:val="nil"/>
            </w:tcBorders>
            <w:noWrap/>
            <w:vAlign w:val="center"/>
            <w:hideMark/>
          </w:tcPr>
          <w:p w14:paraId="67936B0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w:t>
            </w:r>
          </w:p>
        </w:tc>
        <w:tc>
          <w:tcPr>
            <w:tcW w:w="0" w:type="auto"/>
            <w:tcBorders>
              <w:top w:val="nil"/>
              <w:bottom w:val="nil"/>
              <w:right w:val="single" w:sz="4" w:space="0" w:color="auto"/>
            </w:tcBorders>
            <w:noWrap/>
            <w:vAlign w:val="center"/>
            <w:hideMark/>
          </w:tcPr>
          <w:p w14:paraId="1D7DD9F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00208EB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top w:val="nil"/>
              <w:bottom w:val="nil"/>
              <w:right w:val="single" w:sz="4" w:space="0" w:color="auto"/>
            </w:tcBorders>
            <w:noWrap/>
            <w:vAlign w:val="center"/>
            <w:hideMark/>
          </w:tcPr>
          <w:p w14:paraId="7C0FA0C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top w:val="nil"/>
              <w:left w:val="single" w:sz="4" w:space="0" w:color="auto"/>
              <w:bottom w:val="nil"/>
            </w:tcBorders>
            <w:noWrap/>
            <w:vAlign w:val="center"/>
            <w:hideMark/>
          </w:tcPr>
          <w:p w14:paraId="7E96CE4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7A744AA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5A604F1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right w:val="single" w:sz="4" w:space="0" w:color="auto"/>
            </w:tcBorders>
            <w:noWrap/>
            <w:vAlign w:val="center"/>
            <w:hideMark/>
          </w:tcPr>
          <w:p w14:paraId="3BC80E2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top w:val="nil"/>
              <w:left w:val="single" w:sz="4" w:space="0" w:color="auto"/>
              <w:bottom w:val="nil"/>
            </w:tcBorders>
            <w:noWrap/>
            <w:vAlign w:val="center"/>
            <w:hideMark/>
          </w:tcPr>
          <w:p w14:paraId="04D31F3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4.78</w:t>
            </w:r>
          </w:p>
        </w:tc>
        <w:tc>
          <w:tcPr>
            <w:tcW w:w="0" w:type="auto"/>
            <w:tcBorders>
              <w:top w:val="nil"/>
              <w:bottom w:val="nil"/>
              <w:right w:val="single" w:sz="4" w:space="0" w:color="auto"/>
            </w:tcBorders>
            <w:noWrap/>
            <w:vAlign w:val="center"/>
            <w:hideMark/>
          </w:tcPr>
          <w:p w14:paraId="326089C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0.01</w:t>
            </w:r>
          </w:p>
        </w:tc>
        <w:tc>
          <w:tcPr>
            <w:tcW w:w="0" w:type="auto"/>
            <w:tcBorders>
              <w:left w:val="single" w:sz="4" w:space="0" w:color="auto"/>
            </w:tcBorders>
            <w:noWrap/>
            <w:vAlign w:val="center"/>
            <w:hideMark/>
          </w:tcPr>
          <w:p w14:paraId="3C9224C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4D99DAC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6FAC19CB" w14:textId="77777777" w:rsidTr="001F4DDE">
        <w:trPr>
          <w:gridAfter w:val="1"/>
          <w:wAfter w:w="766" w:type="dxa"/>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AEC2A6" w14:textId="77777777" w:rsidR="001F4DDE" w:rsidRPr="001E0DBA" w:rsidRDefault="001F4DDE" w:rsidP="001F4DDE">
            <w:pPr>
              <w:jc w:val="center"/>
              <w:rPr>
                <w:bCs/>
                <w:color w:val="000000"/>
                <w:sz w:val="18"/>
                <w:szCs w:val="18"/>
              </w:rPr>
            </w:pPr>
            <w:r w:rsidRPr="001E0DBA">
              <w:rPr>
                <w:bCs/>
                <w:color w:val="000000"/>
                <w:sz w:val="18"/>
                <w:szCs w:val="18"/>
              </w:rPr>
              <w:t>Switzerland</w:t>
            </w:r>
          </w:p>
        </w:tc>
        <w:tc>
          <w:tcPr>
            <w:tcW w:w="0" w:type="auto"/>
            <w:tcBorders>
              <w:top w:val="nil"/>
              <w:bottom w:val="nil"/>
            </w:tcBorders>
            <w:noWrap/>
            <w:vAlign w:val="center"/>
            <w:hideMark/>
          </w:tcPr>
          <w:p w14:paraId="026E147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541357D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2.79</w:t>
            </w:r>
          </w:p>
        </w:tc>
        <w:tc>
          <w:tcPr>
            <w:tcW w:w="0" w:type="auto"/>
            <w:tcBorders>
              <w:top w:val="nil"/>
              <w:left w:val="single" w:sz="4" w:space="0" w:color="auto"/>
              <w:bottom w:val="nil"/>
            </w:tcBorders>
            <w:noWrap/>
            <w:vAlign w:val="center"/>
            <w:hideMark/>
          </w:tcPr>
          <w:p w14:paraId="051CD72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top w:val="nil"/>
              <w:bottom w:val="nil"/>
              <w:right w:val="single" w:sz="4" w:space="0" w:color="auto"/>
            </w:tcBorders>
            <w:noWrap/>
            <w:vAlign w:val="center"/>
            <w:hideMark/>
          </w:tcPr>
          <w:p w14:paraId="3E77B98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12165F1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7F4BD64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1B67DCC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right w:val="single" w:sz="4" w:space="0" w:color="auto"/>
            </w:tcBorders>
            <w:noWrap/>
            <w:vAlign w:val="center"/>
            <w:hideMark/>
          </w:tcPr>
          <w:p w14:paraId="7A8D6B5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2.61</w:t>
            </w:r>
          </w:p>
        </w:tc>
        <w:tc>
          <w:tcPr>
            <w:tcW w:w="0" w:type="auto"/>
            <w:tcBorders>
              <w:top w:val="nil"/>
              <w:left w:val="single" w:sz="4" w:space="0" w:color="auto"/>
              <w:bottom w:val="nil"/>
            </w:tcBorders>
            <w:noWrap/>
            <w:vAlign w:val="center"/>
            <w:hideMark/>
          </w:tcPr>
          <w:p w14:paraId="1E5B2F5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0.07</w:t>
            </w:r>
          </w:p>
        </w:tc>
        <w:tc>
          <w:tcPr>
            <w:tcW w:w="0" w:type="auto"/>
            <w:tcBorders>
              <w:top w:val="nil"/>
              <w:bottom w:val="nil"/>
              <w:right w:val="single" w:sz="4" w:space="0" w:color="auto"/>
            </w:tcBorders>
            <w:noWrap/>
            <w:vAlign w:val="center"/>
            <w:hideMark/>
          </w:tcPr>
          <w:p w14:paraId="2B34BEF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218E6B0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4E73A733" w14:textId="77777777" w:rsidTr="005817F4">
        <w:trPr>
          <w:trHeight w:val="227"/>
        </w:trPr>
        <w:tc>
          <w:tcPr>
            <w:cnfStyle w:val="001000000000" w:firstRow="0" w:lastRow="0" w:firstColumn="1" w:lastColumn="0" w:oddVBand="0" w:evenVBand="0" w:oddHBand="0" w:evenHBand="0" w:firstRowFirstColumn="0" w:firstRowLastColumn="0" w:lastRowFirstColumn="0" w:lastRowLastColumn="0"/>
            <w:tcW w:w="0" w:type="auto"/>
            <w:gridSpan w:val="13"/>
            <w:tcBorders>
              <w:top w:val="nil"/>
              <w:left w:val="nil"/>
              <w:bottom w:val="nil"/>
              <w:right w:val="nil"/>
            </w:tcBorders>
            <w:noWrap/>
            <w:vAlign w:val="center"/>
            <w:hideMark/>
          </w:tcPr>
          <w:p w14:paraId="38667A6E" w14:textId="77777777" w:rsidR="001F4DDE" w:rsidRPr="00FE195B" w:rsidRDefault="001F4DDE" w:rsidP="001F4DDE">
            <w:pPr>
              <w:rPr>
                <w:i/>
                <w:color w:val="000000"/>
                <w:sz w:val="18"/>
                <w:szCs w:val="18"/>
              </w:rPr>
            </w:pPr>
            <w:r w:rsidRPr="00FE195B">
              <w:rPr>
                <w:bCs/>
                <w:i/>
                <w:color w:val="000000"/>
                <w:sz w:val="18"/>
                <w:szCs w:val="18"/>
              </w:rPr>
              <w:t>Emerging Markets</w:t>
            </w:r>
          </w:p>
        </w:tc>
      </w:tr>
      <w:tr w:rsidR="001F4DDE" w:rsidRPr="001E0DBA" w14:paraId="201FF39B"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5E2362E" w14:textId="77777777" w:rsidR="001F4DDE" w:rsidRPr="001E0DBA" w:rsidRDefault="001F4DDE" w:rsidP="001F4DDE">
            <w:pPr>
              <w:jc w:val="center"/>
              <w:rPr>
                <w:bCs/>
                <w:color w:val="000000"/>
                <w:sz w:val="18"/>
                <w:szCs w:val="18"/>
              </w:rPr>
            </w:pPr>
            <w:r w:rsidRPr="001E0DBA">
              <w:rPr>
                <w:bCs/>
                <w:color w:val="000000"/>
                <w:sz w:val="18"/>
                <w:szCs w:val="18"/>
              </w:rPr>
              <w:t>Chile</w:t>
            </w:r>
          </w:p>
        </w:tc>
        <w:tc>
          <w:tcPr>
            <w:tcW w:w="0" w:type="auto"/>
            <w:tcBorders>
              <w:top w:val="nil"/>
              <w:bottom w:val="nil"/>
            </w:tcBorders>
            <w:noWrap/>
            <w:vAlign w:val="center"/>
            <w:hideMark/>
          </w:tcPr>
          <w:p w14:paraId="124556B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4.78</w:t>
            </w:r>
          </w:p>
        </w:tc>
        <w:tc>
          <w:tcPr>
            <w:tcW w:w="0" w:type="auto"/>
            <w:tcBorders>
              <w:top w:val="nil"/>
              <w:bottom w:val="nil"/>
              <w:right w:val="single" w:sz="4" w:space="0" w:color="auto"/>
            </w:tcBorders>
            <w:noWrap/>
            <w:vAlign w:val="center"/>
            <w:hideMark/>
          </w:tcPr>
          <w:p w14:paraId="091C28F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0.01</w:t>
            </w:r>
          </w:p>
        </w:tc>
        <w:tc>
          <w:tcPr>
            <w:tcW w:w="0" w:type="auto"/>
            <w:tcBorders>
              <w:top w:val="nil"/>
              <w:left w:val="single" w:sz="4" w:space="0" w:color="auto"/>
              <w:bottom w:val="nil"/>
            </w:tcBorders>
            <w:noWrap/>
            <w:vAlign w:val="center"/>
            <w:hideMark/>
          </w:tcPr>
          <w:p w14:paraId="185D0D1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4.78</w:t>
            </w:r>
          </w:p>
        </w:tc>
        <w:tc>
          <w:tcPr>
            <w:tcW w:w="0" w:type="auto"/>
            <w:tcBorders>
              <w:top w:val="nil"/>
              <w:bottom w:val="nil"/>
              <w:right w:val="single" w:sz="4" w:space="0" w:color="auto"/>
            </w:tcBorders>
            <w:noWrap/>
            <w:vAlign w:val="center"/>
            <w:hideMark/>
          </w:tcPr>
          <w:p w14:paraId="44CCC28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0.01</w:t>
            </w:r>
          </w:p>
        </w:tc>
        <w:tc>
          <w:tcPr>
            <w:tcW w:w="0" w:type="auto"/>
            <w:tcBorders>
              <w:top w:val="nil"/>
              <w:left w:val="single" w:sz="4" w:space="0" w:color="auto"/>
              <w:bottom w:val="nil"/>
            </w:tcBorders>
            <w:noWrap/>
            <w:vAlign w:val="center"/>
            <w:hideMark/>
          </w:tcPr>
          <w:p w14:paraId="7E4FFA0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5D37CCD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40BA15F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4.78</w:t>
            </w:r>
          </w:p>
        </w:tc>
        <w:tc>
          <w:tcPr>
            <w:tcW w:w="0" w:type="auto"/>
            <w:tcBorders>
              <w:right w:val="single" w:sz="4" w:space="0" w:color="auto"/>
            </w:tcBorders>
            <w:noWrap/>
            <w:vAlign w:val="center"/>
            <w:hideMark/>
          </w:tcPr>
          <w:p w14:paraId="3DE997F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0.01</w:t>
            </w:r>
          </w:p>
        </w:tc>
        <w:tc>
          <w:tcPr>
            <w:tcW w:w="0" w:type="auto"/>
            <w:tcBorders>
              <w:top w:val="nil"/>
              <w:left w:val="single" w:sz="4" w:space="0" w:color="auto"/>
              <w:bottom w:val="nil"/>
            </w:tcBorders>
            <w:noWrap/>
            <w:vAlign w:val="center"/>
            <w:hideMark/>
          </w:tcPr>
          <w:p w14:paraId="4577ECD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4.78</w:t>
            </w:r>
          </w:p>
        </w:tc>
        <w:tc>
          <w:tcPr>
            <w:tcW w:w="0" w:type="auto"/>
            <w:tcBorders>
              <w:top w:val="nil"/>
              <w:bottom w:val="nil"/>
              <w:right w:val="single" w:sz="4" w:space="0" w:color="auto"/>
            </w:tcBorders>
            <w:noWrap/>
            <w:vAlign w:val="center"/>
            <w:hideMark/>
          </w:tcPr>
          <w:p w14:paraId="24C6F07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0.01</w:t>
            </w:r>
          </w:p>
        </w:tc>
        <w:tc>
          <w:tcPr>
            <w:tcW w:w="0" w:type="auto"/>
            <w:tcBorders>
              <w:left w:val="single" w:sz="4" w:space="0" w:color="auto"/>
            </w:tcBorders>
            <w:noWrap/>
            <w:vAlign w:val="center"/>
            <w:hideMark/>
          </w:tcPr>
          <w:p w14:paraId="7F02F93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301E93F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12B1906D"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D1389C" w14:textId="77777777" w:rsidR="001F4DDE" w:rsidRPr="001E0DBA" w:rsidRDefault="001F4DDE" w:rsidP="001F4DDE">
            <w:pPr>
              <w:jc w:val="center"/>
              <w:rPr>
                <w:bCs/>
                <w:color w:val="000000"/>
                <w:sz w:val="18"/>
                <w:szCs w:val="18"/>
              </w:rPr>
            </w:pPr>
            <w:r w:rsidRPr="001E0DBA">
              <w:rPr>
                <w:bCs/>
                <w:color w:val="000000"/>
                <w:sz w:val="18"/>
                <w:szCs w:val="18"/>
              </w:rPr>
              <w:t>China</w:t>
            </w:r>
          </w:p>
        </w:tc>
        <w:tc>
          <w:tcPr>
            <w:tcW w:w="0" w:type="auto"/>
            <w:tcBorders>
              <w:top w:val="nil"/>
              <w:bottom w:val="nil"/>
            </w:tcBorders>
            <w:noWrap/>
            <w:vAlign w:val="center"/>
            <w:hideMark/>
          </w:tcPr>
          <w:p w14:paraId="69756E1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590D7C1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755F45D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4.78</w:t>
            </w:r>
          </w:p>
        </w:tc>
        <w:tc>
          <w:tcPr>
            <w:tcW w:w="0" w:type="auto"/>
            <w:tcBorders>
              <w:top w:val="nil"/>
              <w:bottom w:val="nil"/>
              <w:right w:val="single" w:sz="4" w:space="0" w:color="auto"/>
            </w:tcBorders>
            <w:noWrap/>
            <w:vAlign w:val="center"/>
            <w:hideMark/>
          </w:tcPr>
          <w:p w14:paraId="63082D9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0.01</w:t>
            </w:r>
          </w:p>
        </w:tc>
        <w:tc>
          <w:tcPr>
            <w:tcW w:w="0" w:type="auto"/>
            <w:tcBorders>
              <w:top w:val="nil"/>
              <w:left w:val="single" w:sz="4" w:space="0" w:color="auto"/>
              <w:bottom w:val="nil"/>
            </w:tcBorders>
            <w:noWrap/>
            <w:vAlign w:val="center"/>
            <w:hideMark/>
          </w:tcPr>
          <w:p w14:paraId="4BCAC37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3.12</w:t>
            </w:r>
          </w:p>
        </w:tc>
        <w:tc>
          <w:tcPr>
            <w:tcW w:w="0" w:type="auto"/>
            <w:tcBorders>
              <w:top w:val="nil"/>
              <w:bottom w:val="nil"/>
              <w:right w:val="single" w:sz="4" w:space="0" w:color="auto"/>
            </w:tcBorders>
            <w:noWrap/>
            <w:vAlign w:val="center"/>
            <w:hideMark/>
          </w:tcPr>
          <w:p w14:paraId="3CB9877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0.05</w:t>
            </w:r>
          </w:p>
        </w:tc>
        <w:tc>
          <w:tcPr>
            <w:tcW w:w="0" w:type="auto"/>
            <w:tcBorders>
              <w:left w:val="single" w:sz="4" w:space="0" w:color="auto"/>
            </w:tcBorders>
            <w:noWrap/>
            <w:vAlign w:val="center"/>
            <w:hideMark/>
          </w:tcPr>
          <w:p w14:paraId="348FCFC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right w:val="single" w:sz="4" w:space="0" w:color="auto"/>
            </w:tcBorders>
            <w:noWrap/>
            <w:vAlign w:val="center"/>
            <w:hideMark/>
          </w:tcPr>
          <w:p w14:paraId="0C21F6E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top w:val="nil"/>
              <w:left w:val="single" w:sz="4" w:space="0" w:color="auto"/>
              <w:bottom w:val="nil"/>
            </w:tcBorders>
            <w:noWrap/>
            <w:vAlign w:val="center"/>
            <w:hideMark/>
          </w:tcPr>
          <w:p w14:paraId="0E0ADDC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top w:val="nil"/>
              <w:bottom w:val="nil"/>
              <w:right w:val="single" w:sz="4" w:space="0" w:color="auto"/>
            </w:tcBorders>
            <w:noWrap/>
            <w:vAlign w:val="center"/>
            <w:hideMark/>
          </w:tcPr>
          <w:p w14:paraId="51EBFD6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left w:val="single" w:sz="4" w:space="0" w:color="auto"/>
            </w:tcBorders>
            <w:noWrap/>
            <w:vAlign w:val="center"/>
            <w:hideMark/>
          </w:tcPr>
          <w:p w14:paraId="656542E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4.78</w:t>
            </w:r>
          </w:p>
        </w:tc>
        <w:tc>
          <w:tcPr>
            <w:tcW w:w="0" w:type="auto"/>
            <w:noWrap/>
            <w:vAlign w:val="center"/>
            <w:hideMark/>
          </w:tcPr>
          <w:p w14:paraId="78C402E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0.01</w:t>
            </w:r>
          </w:p>
        </w:tc>
      </w:tr>
      <w:tr w:rsidR="001F4DDE" w:rsidRPr="001E0DBA" w14:paraId="1F2050B8"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FE53FB" w14:textId="77777777" w:rsidR="001F4DDE" w:rsidRPr="001E0DBA" w:rsidRDefault="001F4DDE" w:rsidP="001F4DDE">
            <w:pPr>
              <w:jc w:val="center"/>
              <w:rPr>
                <w:bCs/>
                <w:color w:val="000000"/>
                <w:sz w:val="18"/>
                <w:szCs w:val="18"/>
              </w:rPr>
            </w:pPr>
            <w:r w:rsidRPr="001E0DBA">
              <w:rPr>
                <w:bCs/>
                <w:color w:val="000000"/>
                <w:sz w:val="18"/>
                <w:szCs w:val="18"/>
              </w:rPr>
              <w:t>Colombia</w:t>
            </w:r>
          </w:p>
        </w:tc>
        <w:tc>
          <w:tcPr>
            <w:tcW w:w="0" w:type="auto"/>
            <w:tcBorders>
              <w:top w:val="nil"/>
              <w:bottom w:val="nil"/>
            </w:tcBorders>
            <w:noWrap/>
            <w:vAlign w:val="center"/>
            <w:hideMark/>
          </w:tcPr>
          <w:p w14:paraId="77E8885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2EC4633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3F1F834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top w:val="nil"/>
              <w:bottom w:val="nil"/>
              <w:right w:val="single" w:sz="4" w:space="0" w:color="auto"/>
            </w:tcBorders>
            <w:noWrap/>
            <w:vAlign w:val="center"/>
            <w:hideMark/>
          </w:tcPr>
          <w:p w14:paraId="36FB56F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nil"/>
            </w:tcBorders>
            <w:noWrap/>
            <w:vAlign w:val="center"/>
            <w:hideMark/>
          </w:tcPr>
          <w:p w14:paraId="634503D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69B170C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5741419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right w:val="single" w:sz="4" w:space="0" w:color="auto"/>
            </w:tcBorders>
            <w:noWrap/>
            <w:vAlign w:val="center"/>
            <w:hideMark/>
          </w:tcPr>
          <w:p w14:paraId="7D7D0A0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top w:val="nil"/>
              <w:left w:val="single" w:sz="4" w:space="0" w:color="auto"/>
              <w:bottom w:val="nil"/>
            </w:tcBorders>
            <w:noWrap/>
            <w:vAlign w:val="center"/>
            <w:hideMark/>
          </w:tcPr>
          <w:p w14:paraId="40F68AC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2.49</w:t>
            </w:r>
          </w:p>
        </w:tc>
        <w:tc>
          <w:tcPr>
            <w:tcW w:w="0" w:type="auto"/>
            <w:tcBorders>
              <w:top w:val="nil"/>
              <w:bottom w:val="nil"/>
              <w:right w:val="single" w:sz="4" w:space="0" w:color="auto"/>
            </w:tcBorders>
            <w:noWrap/>
            <w:vAlign w:val="center"/>
            <w:hideMark/>
          </w:tcPr>
          <w:p w14:paraId="4D36E53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0.08</w:t>
            </w:r>
          </w:p>
        </w:tc>
        <w:tc>
          <w:tcPr>
            <w:tcW w:w="0" w:type="auto"/>
            <w:tcBorders>
              <w:left w:val="single" w:sz="4" w:space="0" w:color="auto"/>
            </w:tcBorders>
            <w:noWrap/>
            <w:vAlign w:val="center"/>
            <w:hideMark/>
          </w:tcPr>
          <w:p w14:paraId="4E04183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0E20E5E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0C673048"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C5641B" w14:textId="77777777" w:rsidR="001F4DDE" w:rsidRPr="001E0DBA" w:rsidRDefault="001F4DDE" w:rsidP="001F4DDE">
            <w:pPr>
              <w:jc w:val="center"/>
              <w:rPr>
                <w:bCs/>
                <w:color w:val="000000"/>
                <w:sz w:val="18"/>
                <w:szCs w:val="18"/>
              </w:rPr>
            </w:pPr>
            <w:r w:rsidRPr="001E0DBA">
              <w:rPr>
                <w:bCs/>
                <w:color w:val="000000"/>
                <w:sz w:val="18"/>
                <w:szCs w:val="18"/>
              </w:rPr>
              <w:t>India</w:t>
            </w:r>
          </w:p>
        </w:tc>
        <w:tc>
          <w:tcPr>
            <w:tcW w:w="0" w:type="auto"/>
            <w:tcBorders>
              <w:top w:val="nil"/>
              <w:bottom w:val="nil"/>
            </w:tcBorders>
            <w:noWrap/>
            <w:vAlign w:val="center"/>
            <w:hideMark/>
          </w:tcPr>
          <w:p w14:paraId="709E41A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top w:val="nil"/>
              <w:bottom w:val="nil"/>
              <w:right w:val="single" w:sz="4" w:space="0" w:color="auto"/>
            </w:tcBorders>
            <w:noWrap/>
            <w:vAlign w:val="center"/>
            <w:hideMark/>
          </w:tcPr>
          <w:p w14:paraId="0249F92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top w:val="nil"/>
              <w:left w:val="single" w:sz="4" w:space="0" w:color="auto"/>
              <w:bottom w:val="nil"/>
            </w:tcBorders>
            <w:noWrap/>
            <w:vAlign w:val="center"/>
            <w:hideMark/>
          </w:tcPr>
          <w:p w14:paraId="6AE7A09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top w:val="nil"/>
              <w:bottom w:val="nil"/>
              <w:right w:val="single" w:sz="4" w:space="0" w:color="auto"/>
            </w:tcBorders>
            <w:noWrap/>
            <w:vAlign w:val="center"/>
            <w:hideMark/>
          </w:tcPr>
          <w:p w14:paraId="5308716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nil"/>
            </w:tcBorders>
            <w:noWrap/>
            <w:vAlign w:val="center"/>
            <w:hideMark/>
          </w:tcPr>
          <w:p w14:paraId="05F3AEA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1.94</w:t>
            </w:r>
          </w:p>
        </w:tc>
        <w:tc>
          <w:tcPr>
            <w:tcW w:w="0" w:type="auto"/>
            <w:tcBorders>
              <w:top w:val="nil"/>
              <w:bottom w:val="nil"/>
              <w:right w:val="single" w:sz="4" w:space="0" w:color="auto"/>
            </w:tcBorders>
            <w:noWrap/>
            <w:vAlign w:val="center"/>
            <w:hideMark/>
          </w:tcPr>
          <w:p w14:paraId="7080DB0B"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0.15</w:t>
            </w:r>
          </w:p>
        </w:tc>
        <w:tc>
          <w:tcPr>
            <w:tcW w:w="0" w:type="auto"/>
            <w:tcBorders>
              <w:left w:val="single" w:sz="4" w:space="0" w:color="auto"/>
            </w:tcBorders>
            <w:noWrap/>
            <w:vAlign w:val="center"/>
            <w:hideMark/>
          </w:tcPr>
          <w:p w14:paraId="1A6017A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right w:val="single" w:sz="4" w:space="0" w:color="auto"/>
            </w:tcBorders>
            <w:noWrap/>
            <w:vAlign w:val="center"/>
            <w:hideMark/>
          </w:tcPr>
          <w:p w14:paraId="73792A3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0A55DFD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top w:val="nil"/>
              <w:bottom w:val="nil"/>
              <w:right w:val="single" w:sz="4" w:space="0" w:color="auto"/>
            </w:tcBorders>
            <w:noWrap/>
            <w:vAlign w:val="center"/>
            <w:hideMark/>
          </w:tcPr>
          <w:p w14:paraId="1B7A179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left w:val="single" w:sz="4" w:space="0" w:color="auto"/>
            </w:tcBorders>
            <w:noWrap/>
            <w:vAlign w:val="center"/>
            <w:hideMark/>
          </w:tcPr>
          <w:p w14:paraId="35E81B2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2.03</w:t>
            </w:r>
          </w:p>
        </w:tc>
        <w:tc>
          <w:tcPr>
            <w:tcW w:w="0" w:type="auto"/>
            <w:noWrap/>
            <w:vAlign w:val="center"/>
            <w:hideMark/>
          </w:tcPr>
          <w:p w14:paraId="2466877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0.13</w:t>
            </w:r>
          </w:p>
        </w:tc>
      </w:tr>
      <w:tr w:rsidR="001F4DDE" w:rsidRPr="001E0DBA" w14:paraId="0FF8B960"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B3E40A" w14:textId="77777777" w:rsidR="001F4DDE" w:rsidRPr="001E0DBA" w:rsidRDefault="001F4DDE" w:rsidP="001F4DDE">
            <w:pPr>
              <w:jc w:val="center"/>
              <w:rPr>
                <w:bCs/>
                <w:color w:val="000000"/>
                <w:sz w:val="18"/>
                <w:szCs w:val="18"/>
              </w:rPr>
            </w:pPr>
            <w:r w:rsidRPr="001E0DBA">
              <w:rPr>
                <w:bCs/>
                <w:color w:val="000000"/>
                <w:sz w:val="18"/>
                <w:szCs w:val="18"/>
              </w:rPr>
              <w:t>Indonesia</w:t>
            </w:r>
          </w:p>
        </w:tc>
        <w:tc>
          <w:tcPr>
            <w:tcW w:w="0" w:type="auto"/>
            <w:tcBorders>
              <w:top w:val="nil"/>
              <w:bottom w:val="nil"/>
            </w:tcBorders>
            <w:noWrap/>
            <w:vAlign w:val="center"/>
            <w:hideMark/>
          </w:tcPr>
          <w:p w14:paraId="2940421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top w:val="nil"/>
              <w:bottom w:val="nil"/>
              <w:right w:val="single" w:sz="4" w:space="0" w:color="auto"/>
            </w:tcBorders>
            <w:noWrap/>
            <w:vAlign w:val="center"/>
            <w:hideMark/>
          </w:tcPr>
          <w:p w14:paraId="2133C93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nil"/>
            </w:tcBorders>
            <w:noWrap/>
            <w:vAlign w:val="center"/>
            <w:hideMark/>
          </w:tcPr>
          <w:p w14:paraId="5ABB158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2.42</w:t>
            </w:r>
          </w:p>
        </w:tc>
        <w:tc>
          <w:tcPr>
            <w:tcW w:w="0" w:type="auto"/>
            <w:tcBorders>
              <w:top w:val="nil"/>
              <w:bottom w:val="nil"/>
              <w:right w:val="single" w:sz="4" w:space="0" w:color="auto"/>
            </w:tcBorders>
            <w:noWrap/>
            <w:vAlign w:val="center"/>
            <w:hideMark/>
          </w:tcPr>
          <w:p w14:paraId="5636A281"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0.09</w:t>
            </w:r>
          </w:p>
        </w:tc>
        <w:tc>
          <w:tcPr>
            <w:tcW w:w="0" w:type="auto"/>
            <w:tcBorders>
              <w:top w:val="nil"/>
              <w:left w:val="single" w:sz="4" w:space="0" w:color="auto"/>
              <w:bottom w:val="nil"/>
            </w:tcBorders>
            <w:noWrap/>
            <w:vAlign w:val="center"/>
            <w:hideMark/>
          </w:tcPr>
          <w:p w14:paraId="0905185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23847809"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0.18</w:t>
            </w:r>
          </w:p>
        </w:tc>
        <w:tc>
          <w:tcPr>
            <w:tcW w:w="0" w:type="auto"/>
            <w:tcBorders>
              <w:left w:val="single" w:sz="4" w:space="0" w:color="auto"/>
            </w:tcBorders>
            <w:noWrap/>
            <w:vAlign w:val="center"/>
            <w:hideMark/>
          </w:tcPr>
          <w:p w14:paraId="2BFDB95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2.79</w:t>
            </w:r>
          </w:p>
        </w:tc>
        <w:tc>
          <w:tcPr>
            <w:tcW w:w="0" w:type="auto"/>
            <w:tcBorders>
              <w:right w:val="single" w:sz="4" w:space="0" w:color="auto"/>
            </w:tcBorders>
            <w:noWrap/>
            <w:vAlign w:val="center"/>
            <w:hideMark/>
          </w:tcPr>
          <w:p w14:paraId="3FBC817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top w:val="nil"/>
              <w:left w:val="single" w:sz="4" w:space="0" w:color="auto"/>
              <w:bottom w:val="nil"/>
            </w:tcBorders>
            <w:noWrap/>
            <w:vAlign w:val="center"/>
            <w:hideMark/>
          </w:tcPr>
          <w:p w14:paraId="3DC0A9C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2.22</w:t>
            </w:r>
          </w:p>
        </w:tc>
        <w:tc>
          <w:tcPr>
            <w:tcW w:w="0" w:type="auto"/>
            <w:tcBorders>
              <w:top w:val="nil"/>
              <w:bottom w:val="nil"/>
              <w:right w:val="single" w:sz="4" w:space="0" w:color="auto"/>
            </w:tcBorders>
            <w:noWrap/>
            <w:vAlign w:val="center"/>
            <w:hideMark/>
          </w:tcPr>
          <w:p w14:paraId="233DD31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0.11</w:t>
            </w:r>
          </w:p>
        </w:tc>
        <w:tc>
          <w:tcPr>
            <w:tcW w:w="0" w:type="auto"/>
            <w:tcBorders>
              <w:left w:val="single" w:sz="4" w:space="0" w:color="auto"/>
            </w:tcBorders>
            <w:noWrap/>
            <w:vAlign w:val="center"/>
            <w:hideMark/>
          </w:tcPr>
          <w:p w14:paraId="15D8021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1.54</w:t>
            </w:r>
          </w:p>
        </w:tc>
        <w:tc>
          <w:tcPr>
            <w:tcW w:w="0" w:type="auto"/>
            <w:noWrap/>
            <w:vAlign w:val="center"/>
            <w:hideMark/>
          </w:tcPr>
          <w:p w14:paraId="1AD59D1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0.20</w:t>
            </w:r>
          </w:p>
        </w:tc>
      </w:tr>
      <w:tr w:rsidR="001F4DDE" w:rsidRPr="001E0DBA" w14:paraId="4705C1B6"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EC63ED" w14:textId="77777777" w:rsidR="001F4DDE" w:rsidRPr="001E0DBA" w:rsidRDefault="001F4DDE" w:rsidP="001F4DDE">
            <w:pPr>
              <w:jc w:val="center"/>
              <w:rPr>
                <w:bCs/>
                <w:color w:val="000000"/>
                <w:sz w:val="18"/>
                <w:szCs w:val="18"/>
              </w:rPr>
            </w:pPr>
            <w:r w:rsidRPr="001E0DBA">
              <w:rPr>
                <w:bCs/>
                <w:color w:val="000000"/>
                <w:sz w:val="18"/>
                <w:szCs w:val="18"/>
              </w:rPr>
              <w:t>Korea</w:t>
            </w:r>
          </w:p>
        </w:tc>
        <w:tc>
          <w:tcPr>
            <w:tcW w:w="0" w:type="auto"/>
            <w:tcBorders>
              <w:top w:val="nil"/>
              <w:bottom w:val="nil"/>
            </w:tcBorders>
            <w:noWrap/>
            <w:vAlign w:val="center"/>
            <w:hideMark/>
          </w:tcPr>
          <w:p w14:paraId="2EC262F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0" w:type="auto"/>
            <w:tcBorders>
              <w:top w:val="nil"/>
              <w:bottom w:val="nil"/>
              <w:right w:val="single" w:sz="4" w:space="0" w:color="auto"/>
            </w:tcBorders>
            <w:noWrap/>
            <w:vAlign w:val="center"/>
            <w:hideMark/>
          </w:tcPr>
          <w:p w14:paraId="725AD4AC"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219DC6D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3CE2FA3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6AA588A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6B77B6B2"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6AA8B09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right w:val="single" w:sz="4" w:space="0" w:color="auto"/>
            </w:tcBorders>
            <w:noWrap/>
            <w:vAlign w:val="center"/>
            <w:hideMark/>
          </w:tcPr>
          <w:p w14:paraId="648A85B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31388B8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614EAAC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21F9F56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0D49105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6855C254"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E53B9C" w14:textId="77777777" w:rsidR="001F4DDE" w:rsidRPr="001E0DBA" w:rsidRDefault="001F4DDE" w:rsidP="001F4DDE">
            <w:pPr>
              <w:jc w:val="center"/>
              <w:rPr>
                <w:bCs/>
                <w:color w:val="000000"/>
                <w:sz w:val="18"/>
                <w:szCs w:val="18"/>
              </w:rPr>
            </w:pPr>
            <w:r w:rsidRPr="001E0DBA">
              <w:rPr>
                <w:bCs/>
                <w:color w:val="000000"/>
                <w:sz w:val="18"/>
                <w:szCs w:val="18"/>
              </w:rPr>
              <w:t>Malaysia</w:t>
            </w:r>
          </w:p>
        </w:tc>
        <w:tc>
          <w:tcPr>
            <w:tcW w:w="0" w:type="auto"/>
            <w:tcBorders>
              <w:top w:val="nil"/>
              <w:bottom w:val="nil"/>
            </w:tcBorders>
            <w:noWrap/>
            <w:vAlign w:val="center"/>
            <w:hideMark/>
          </w:tcPr>
          <w:p w14:paraId="6F2C970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3.56</w:t>
            </w:r>
          </w:p>
        </w:tc>
        <w:tc>
          <w:tcPr>
            <w:tcW w:w="0" w:type="auto"/>
            <w:tcBorders>
              <w:top w:val="nil"/>
              <w:bottom w:val="nil"/>
              <w:right w:val="single" w:sz="4" w:space="0" w:color="auto"/>
            </w:tcBorders>
            <w:noWrap/>
            <w:vAlign w:val="center"/>
            <w:hideMark/>
          </w:tcPr>
          <w:p w14:paraId="1CA9D83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0.02</w:t>
            </w:r>
          </w:p>
        </w:tc>
        <w:tc>
          <w:tcPr>
            <w:tcW w:w="0" w:type="auto"/>
            <w:tcBorders>
              <w:top w:val="nil"/>
              <w:left w:val="single" w:sz="4" w:space="0" w:color="auto"/>
              <w:bottom w:val="nil"/>
            </w:tcBorders>
            <w:noWrap/>
            <w:vAlign w:val="center"/>
            <w:hideMark/>
          </w:tcPr>
          <w:p w14:paraId="3AD830D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12D560F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1EF5056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38DCD99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0B94774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3.29</w:t>
            </w:r>
          </w:p>
        </w:tc>
        <w:tc>
          <w:tcPr>
            <w:tcW w:w="0" w:type="auto"/>
            <w:tcBorders>
              <w:right w:val="single" w:sz="4" w:space="0" w:color="auto"/>
            </w:tcBorders>
            <w:noWrap/>
            <w:vAlign w:val="center"/>
            <w:hideMark/>
          </w:tcPr>
          <w:p w14:paraId="59AFED0D"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0.03</w:t>
            </w:r>
          </w:p>
        </w:tc>
        <w:tc>
          <w:tcPr>
            <w:tcW w:w="0" w:type="auto"/>
            <w:tcBorders>
              <w:top w:val="nil"/>
              <w:left w:val="single" w:sz="4" w:space="0" w:color="auto"/>
              <w:bottom w:val="nil"/>
            </w:tcBorders>
            <w:noWrap/>
            <w:vAlign w:val="center"/>
            <w:hideMark/>
          </w:tcPr>
          <w:p w14:paraId="4D25EFE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4371452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6B762FD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3016736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435268A5"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0D0C26" w14:textId="77777777" w:rsidR="001F4DDE" w:rsidRPr="001E0DBA" w:rsidRDefault="001F4DDE" w:rsidP="001F4DDE">
            <w:pPr>
              <w:jc w:val="center"/>
              <w:rPr>
                <w:bCs/>
                <w:color w:val="000000"/>
                <w:sz w:val="18"/>
                <w:szCs w:val="18"/>
              </w:rPr>
            </w:pPr>
            <w:r w:rsidRPr="001E0DBA">
              <w:rPr>
                <w:bCs/>
                <w:color w:val="000000"/>
                <w:sz w:val="18"/>
                <w:szCs w:val="18"/>
              </w:rPr>
              <w:t>Mexico</w:t>
            </w:r>
          </w:p>
        </w:tc>
        <w:tc>
          <w:tcPr>
            <w:tcW w:w="0" w:type="auto"/>
            <w:tcBorders>
              <w:top w:val="nil"/>
              <w:bottom w:val="nil"/>
            </w:tcBorders>
            <w:noWrap/>
            <w:vAlign w:val="center"/>
            <w:hideMark/>
          </w:tcPr>
          <w:p w14:paraId="3897DC6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0" w:type="auto"/>
            <w:tcBorders>
              <w:top w:val="nil"/>
              <w:bottom w:val="nil"/>
              <w:right w:val="single" w:sz="4" w:space="0" w:color="auto"/>
            </w:tcBorders>
            <w:noWrap/>
            <w:vAlign w:val="center"/>
            <w:hideMark/>
          </w:tcPr>
          <w:p w14:paraId="34EF4A0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5AF732D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2.49</w:t>
            </w:r>
          </w:p>
        </w:tc>
        <w:tc>
          <w:tcPr>
            <w:tcW w:w="0" w:type="auto"/>
            <w:tcBorders>
              <w:top w:val="nil"/>
              <w:bottom w:val="nil"/>
              <w:right w:val="single" w:sz="4" w:space="0" w:color="auto"/>
            </w:tcBorders>
            <w:noWrap/>
            <w:vAlign w:val="center"/>
            <w:hideMark/>
          </w:tcPr>
          <w:p w14:paraId="5865AB6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0.08</w:t>
            </w:r>
          </w:p>
        </w:tc>
        <w:tc>
          <w:tcPr>
            <w:tcW w:w="0" w:type="auto"/>
            <w:tcBorders>
              <w:top w:val="nil"/>
              <w:left w:val="single" w:sz="4" w:space="0" w:color="auto"/>
              <w:bottom w:val="nil"/>
            </w:tcBorders>
            <w:noWrap/>
            <w:vAlign w:val="center"/>
            <w:hideMark/>
          </w:tcPr>
          <w:p w14:paraId="4F6D9E0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nil"/>
              <w:right w:val="single" w:sz="4" w:space="0" w:color="auto"/>
            </w:tcBorders>
            <w:noWrap/>
            <w:vAlign w:val="center"/>
            <w:hideMark/>
          </w:tcPr>
          <w:p w14:paraId="3B5560CB"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556F203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right w:val="single" w:sz="4" w:space="0" w:color="auto"/>
            </w:tcBorders>
            <w:noWrap/>
            <w:vAlign w:val="center"/>
            <w:hideMark/>
          </w:tcPr>
          <w:p w14:paraId="2332C67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left w:val="single" w:sz="4" w:space="0" w:color="auto"/>
              <w:bottom w:val="nil"/>
            </w:tcBorders>
            <w:noWrap/>
            <w:vAlign w:val="center"/>
            <w:hideMark/>
          </w:tcPr>
          <w:p w14:paraId="6DF50584"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1.77</w:t>
            </w:r>
          </w:p>
        </w:tc>
        <w:tc>
          <w:tcPr>
            <w:tcW w:w="0" w:type="auto"/>
            <w:tcBorders>
              <w:top w:val="nil"/>
              <w:bottom w:val="nil"/>
              <w:right w:val="single" w:sz="4" w:space="0" w:color="auto"/>
            </w:tcBorders>
            <w:noWrap/>
            <w:vAlign w:val="center"/>
            <w:hideMark/>
          </w:tcPr>
          <w:p w14:paraId="6BE198E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1E0DBA">
              <w:rPr>
                <w:bCs/>
                <w:color w:val="000000"/>
                <w:sz w:val="18"/>
                <w:szCs w:val="18"/>
              </w:rPr>
              <w:t>0.16</w:t>
            </w:r>
          </w:p>
        </w:tc>
        <w:tc>
          <w:tcPr>
            <w:tcW w:w="0" w:type="auto"/>
            <w:tcBorders>
              <w:left w:val="single" w:sz="4" w:space="0" w:color="auto"/>
            </w:tcBorders>
            <w:noWrap/>
            <w:vAlign w:val="center"/>
            <w:hideMark/>
          </w:tcPr>
          <w:p w14:paraId="48B4C59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0" w:type="auto"/>
            <w:noWrap/>
            <w:vAlign w:val="center"/>
            <w:hideMark/>
          </w:tcPr>
          <w:p w14:paraId="5A0D17AF"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F4DDE" w:rsidRPr="001E0DBA" w14:paraId="5B2F2010" w14:textId="77777777" w:rsidTr="001F4DDE">
        <w:trPr>
          <w:trHeight w:val="22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855423" w14:textId="77777777" w:rsidR="001F4DDE" w:rsidRPr="001E0DBA" w:rsidRDefault="001F4DDE" w:rsidP="001F4DDE">
            <w:pPr>
              <w:jc w:val="center"/>
              <w:rPr>
                <w:bCs/>
                <w:color w:val="000000"/>
                <w:sz w:val="18"/>
                <w:szCs w:val="18"/>
              </w:rPr>
            </w:pPr>
            <w:r w:rsidRPr="001E0DBA">
              <w:rPr>
                <w:bCs/>
                <w:color w:val="000000"/>
                <w:sz w:val="18"/>
                <w:szCs w:val="18"/>
              </w:rPr>
              <w:t>Philippines</w:t>
            </w:r>
          </w:p>
        </w:tc>
        <w:tc>
          <w:tcPr>
            <w:tcW w:w="0" w:type="auto"/>
            <w:tcBorders>
              <w:top w:val="nil"/>
              <w:bottom w:val="single" w:sz="12" w:space="0" w:color="000000"/>
            </w:tcBorders>
            <w:noWrap/>
            <w:vAlign w:val="center"/>
            <w:hideMark/>
          </w:tcPr>
          <w:p w14:paraId="54F9A68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top w:val="nil"/>
              <w:bottom w:val="single" w:sz="12" w:space="0" w:color="000000"/>
              <w:right w:val="single" w:sz="4" w:space="0" w:color="auto"/>
            </w:tcBorders>
            <w:noWrap/>
            <w:vAlign w:val="center"/>
            <w:hideMark/>
          </w:tcPr>
          <w:p w14:paraId="08761410"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single" w:sz="12" w:space="0" w:color="000000"/>
            </w:tcBorders>
            <w:noWrap/>
            <w:vAlign w:val="center"/>
            <w:hideMark/>
          </w:tcPr>
          <w:p w14:paraId="34EC51D3"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2.79</w:t>
            </w:r>
          </w:p>
        </w:tc>
        <w:tc>
          <w:tcPr>
            <w:tcW w:w="0" w:type="auto"/>
            <w:tcBorders>
              <w:top w:val="nil"/>
              <w:bottom w:val="single" w:sz="12" w:space="0" w:color="000000"/>
              <w:right w:val="single" w:sz="4" w:space="0" w:color="auto"/>
            </w:tcBorders>
            <w:noWrap/>
            <w:vAlign w:val="center"/>
            <w:hideMark/>
          </w:tcPr>
          <w:p w14:paraId="690BE557"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0.06</w:t>
            </w:r>
          </w:p>
        </w:tc>
        <w:tc>
          <w:tcPr>
            <w:tcW w:w="0" w:type="auto"/>
            <w:tcBorders>
              <w:top w:val="nil"/>
              <w:left w:val="single" w:sz="4" w:space="0" w:color="auto"/>
              <w:bottom w:val="single" w:sz="12" w:space="0" w:color="000000"/>
            </w:tcBorders>
            <w:noWrap/>
            <w:vAlign w:val="center"/>
            <w:hideMark/>
          </w:tcPr>
          <w:p w14:paraId="086A24B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top w:val="nil"/>
              <w:bottom w:val="single" w:sz="12" w:space="0" w:color="000000"/>
              <w:right w:val="single" w:sz="4" w:space="0" w:color="auto"/>
            </w:tcBorders>
            <w:noWrap/>
            <w:vAlign w:val="center"/>
            <w:hideMark/>
          </w:tcPr>
          <w:p w14:paraId="6B0EEF0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tcBorders>
              <w:left w:val="single" w:sz="4" w:space="0" w:color="auto"/>
            </w:tcBorders>
            <w:noWrap/>
            <w:vAlign w:val="center"/>
            <w:hideMark/>
          </w:tcPr>
          <w:p w14:paraId="36F486A8"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3.33</w:t>
            </w:r>
          </w:p>
        </w:tc>
        <w:tc>
          <w:tcPr>
            <w:tcW w:w="0" w:type="auto"/>
            <w:tcBorders>
              <w:right w:val="single" w:sz="4" w:space="0" w:color="auto"/>
            </w:tcBorders>
            <w:noWrap/>
            <w:vAlign w:val="center"/>
            <w:hideMark/>
          </w:tcPr>
          <w:p w14:paraId="5DDEADFA"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0.04</w:t>
            </w:r>
          </w:p>
        </w:tc>
        <w:tc>
          <w:tcPr>
            <w:tcW w:w="0" w:type="auto"/>
            <w:tcBorders>
              <w:top w:val="nil"/>
              <w:left w:val="single" w:sz="4" w:space="0" w:color="auto"/>
              <w:bottom w:val="single" w:sz="12" w:space="0" w:color="000000"/>
            </w:tcBorders>
            <w:noWrap/>
            <w:vAlign w:val="center"/>
            <w:hideMark/>
          </w:tcPr>
          <w:p w14:paraId="42C52C95"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2.49</w:t>
            </w:r>
          </w:p>
        </w:tc>
        <w:tc>
          <w:tcPr>
            <w:tcW w:w="0" w:type="auto"/>
            <w:tcBorders>
              <w:top w:val="nil"/>
              <w:bottom w:val="single" w:sz="12" w:space="0" w:color="000000"/>
              <w:right w:val="single" w:sz="4" w:space="0" w:color="auto"/>
            </w:tcBorders>
            <w:noWrap/>
            <w:vAlign w:val="center"/>
            <w:hideMark/>
          </w:tcPr>
          <w:p w14:paraId="214C2506"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E0DBA">
              <w:rPr>
                <w:color w:val="000000"/>
                <w:sz w:val="18"/>
                <w:szCs w:val="18"/>
              </w:rPr>
              <w:t>0.08</w:t>
            </w:r>
          </w:p>
        </w:tc>
        <w:tc>
          <w:tcPr>
            <w:tcW w:w="0" w:type="auto"/>
            <w:tcBorders>
              <w:left w:val="single" w:sz="4" w:space="0" w:color="auto"/>
            </w:tcBorders>
            <w:noWrap/>
            <w:vAlign w:val="center"/>
            <w:hideMark/>
          </w:tcPr>
          <w:p w14:paraId="0135294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0" w:type="auto"/>
            <w:noWrap/>
            <w:vAlign w:val="center"/>
            <w:hideMark/>
          </w:tcPr>
          <w:p w14:paraId="6F7E4BCE" w14:textId="77777777" w:rsidR="001F4DDE" w:rsidRPr="001E0DBA" w:rsidRDefault="001F4DDE" w:rsidP="001F4DD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bl>
    <w:p w14:paraId="39EDDF5A" w14:textId="77777777" w:rsidR="001F4DDE" w:rsidRPr="000E6048" w:rsidRDefault="00044AD7" w:rsidP="001F4DDE">
      <w:pPr>
        <w:spacing w:line="240" w:lineRule="auto"/>
        <w:ind w:right="2211"/>
        <w:rPr>
          <w:rFonts w:ascii="Times New Roman" w:hAnsi="Times New Roman"/>
          <w:sz w:val="18"/>
          <w:szCs w:val="18"/>
        </w:rPr>
      </w:pPr>
      <w:r>
        <w:rPr>
          <w:rFonts w:ascii="Times New Roman" w:hAnsi="Times New Roman"/>
          <w:sz w:val="18"/>
          <w:szCs w:val="18"/>
        </w:rPr>
        <w:t>Notes: This table shows the p</w:t>
      </w:r>
      <w:r w:rsidR="001F4DDE" w:rsidRPr="000E6048">
        <w:rPr>
          <w:rFonts w:ascii="Times New Roman" w:hAnsi="Times New Roman"/>
          <w:sz w:val="18"/>
          <w:szCs w:val="18"/>
        </w:rPr>
        <w:t xml:space="preserve">-values for the MVS tests for replicating portfolios created using firstly a 0.20 stopping threshold for stepwise regression and secondly using a standard OLS regression.  </w:t>
      </w:r>
    </w:p>
    <w:p w14:paraId="759E5BDB" w14:textId="77777777" w:rsidR="00E644AA" w:rsidRDefault="00E644AA">
      <w:pPr>
        <w:rPr>
          <w:rFonts w:asciiTheme="majorHAnsi" w:eastAsiaTheme="majorEastAsia" w:hAnsiTheme="majorHAnsi" w:cstheme="majorBidi"/>
          <w:b/>
          <w:bCs/>
          <w:color w:val="365F91" w:themeColor="accent1" w:themeShade="BF"/>
          <w:sz w:val="28"/>
          <w:szCs w:val="28"/>
        </w:rPr>
      </w:pPr>
      <w:r>
        <w:br w:type="page"/>
      </w:r>
    </w:p>
    <w:p w14:paraId="5736CA6E" w14:textId="77777777" w:rsidR="00044AD7" w:rsidRDefault="00044AD7" w:rsidP="00E644AA">
      <w:pPr>
        <w:pStyle w:val="Heading1"/>
        <w:sectPr w:rsidR="00044AD7" w:rsidSect="00044AD7">
          <w:footerReference w:type="default" r:id="rId20"/>
          <w:pgSz w:w="16838" w:h="11906" w:orient="landscape"/>
          <w:pgMar w:top="1440" w:right="1440" w:bottom="1440" w:left="1440" w:header="709" w:footer="709" w:gutter="0"/>
          <w:cols w:space="708"/>
          <w:docGrid w:linePitch="360"/>
        </w:sectPr>
      </w:pPr>
    </w:p>
    <w:p w14:paraId="6C00D120" w14:textId="77777777" w:rsidR="00EC5EEB" w:rsidRPr="005817F4" w:rsidRDefault="009078AA" w:rsidP="009078AA">
      <w:pPr>
        <w:pStyle w:val="Caption"/>
        <w:rPr>
          <w:color w:val="365F91" w:themeColor="accent1" w:themeShade="BF"/>
          <w:sz w:val="28"/>
          <w:szCs w:val="28"/>
        </w:rPr>
      </w:pPr>
      <w:bookmarkStart w:id="32" w:name="_Ref386700673"/>
      <w:r>
        <w:lastRenderedPageBreak/>
        <w:t xml:space="preserve">Figure </w:t>
      </w:r>
      <w:r>
        <w:fldChar w:fldCharType="begin"/>
      </w:r>
      <w:r>
        <w:instrText xml:space="preserve"> SEQ Figure \* ARABIC </w:instrText>
      </w:r>
      <w:r>
        <w:fldChar w:fldCharType="separate"/>
      </w:r>
      <w:r>
        <w:rPr>
          <w:noProof/>
        </w:rPr>
        <w:t>1</w:t>
      </w:r>
      <w:r>
        <w:fldChar w:fldCharType="end"/>
      </w:r>
      <w:bookmarkEnd w:id="32"/>
      <w:r w:rsidR="008D09B7" w:rsidRPr="005817F4">
        <w:t>:</w:t>
      </w:r>
      <w:r w:rsidR="00EC5EEB" w:rsidRPr="005817F4">
        <w:t xml:space="preserve"> S&amp;P500 weekly returns</w:t>
      </w:r>
    </w:p>
    <w:p w14:paraId="7663996E" w14:textId="77777777" w:rsidR="00EC5EEB" w:rsidRDefault="00EC5EEB" w:rsidP="00EC5EEB">
      <w:pPr>
        <w:pStyle w:val="NormalWeb"/>
        <w:spacing w:before="0" w:beforeAutospacing="0"/>
        <w:ind w:right="2098"/>
        <w:contextualSpacing/>
        <w:rPr>
          <w:lang w:val="en-GB"/>
        </w:rPr>
      </w:pPr>
      <w:r>
        <w:rPr>
          <w:noProof/>
        </w:rPr>
        <w:drawing>
          <wp:inline distT="0" distB="0" distL="0" distR="0" wp14:anchorId="143A85EB" wp14:editId="24303A0D">
            <wp:extent cx="5731510" cy="2919641"/>
            <wp:effectExtent l="0" t="0" r="2159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0204DF" w14:textId="77777777" w:rsidR="00EC5EEB" w:rsidRPr="005817F4" w:rsidRDefault="00EC5EEB" w:rsidP="00EC5EEB">
      <w:pPr>
        <w:pStyle w:val="NormalWeb"/>
        <w:spacing w:before="0" w:beforeAutospacing="0"/>
        <w:ind w:right="57"/>
        <w:contextualSpacing/>
        <w:rPr>
          <w:sz w:val="18"/>
          <w:szCs w:val="18"/>
          <w:lang w:val="en-GB"/>
        </w:rPr>
      </w:pPr>
      <w:r w:rsidRPr="005817F4">
        <w:rPr>
          <w:sz w:val="18"/>
          <w:szCs w:val="18"/>
          <w:lang w:val="en-GB"/>
        </w:rPr>
        <w:t>Notes: This graph</w:t>
      </w:r>
      <w:r w:rsidR="00C2306D" w:rsidRPr="005817F4">
        <w:rPr>
          <w:sz w:val="18"/>
          <w:szCs w:val="18"/>
          <w:lang w:val="en-GB"/>
        </w:rPr>
        <w:t xml:space="preserve"> shows t</w:t>
      </w:r>
      <w:r w:rsidRPr="005817F4">
        <w:rPr>
          <w:sz w:val="18"/>
          <w:szCs w:val="18"/>
          <w:lang w:val="en-GB"/>
        </w:rPr>
        <w:t xml:space="preserve">he weekly returns of the S&amp;P500 </w:t>
      </w:r>
      <w:r w:rsidR="00C2306D" w:rsidRPr="005817F4">
        <w:rPr>
          <w:sz w:val="18"/>
          <w:szCs w:val="18"/>
          <w:lang w:val="en-GB"/>
        </w:rPr>
        <w:t>from 1996 to 2011</w:t>
      </w:r>
      <w:r w:rsidRPr="005817F4">
        <w:rPr>
          <w:sz w:val="18"/>
          <w:szCs w:val="18"/>
          <w:lang w:val="en-GB"/>
        </w:rPr>
        <w:t xml:space="preserve"> </w:t>
      </w:r>
    </w:p>
    <w:p w14:paraId="7681DF36" w14:textId="77777777" w:rsidR="00EC5EEB" w:rsidRDefault="00EC5EEB" w:rsidP="00EC5EEB">
      <w:pPr>
        <w:pStyle w:val="NormalWeb"/>
        <w:spacing w:before="0" w:beforeAutospacing="0"/>
        <w:ind w:right="2098"/>
        <w:contextualSpacing/>
        <w:rPr>
          <w:noProof/>
        </w:rPr>
      </w:pPr>
    </w:p>
    <w:p w14:paraId="6F5D12A6" w14:textId="77777777" w:rsidR="00EC5EEB" w:rsidRDefault="00EC5EEB" w:rsidP="00EC5EEB">
      <w:pPr>
        <w:rPr>
          <w:rStyle w:val="Heading2Char"/>
        </w:rPr>
      </w:pPr>
      <w:r>
        <w:rPr>
          <w:rStyle w:val="Heading2Char"/>
        </w:rPr>
        <w:br w:type="page"/>
      </w:r>
    </w:p>
    <w:p w14:paraId="60A16A35" w14:textId="77777777" w:rsidR="00EC5EEB" w:rsidRPr="005817F4" w:rsidRDefault="009078AA" w:rsidP="009078AA">
      <w:pPr>
        <w:pStyle w:val="Caption"/>
        <w:rPr>
          <w:rFonts w:eastAsiaTheme="majorEastAsia"/>
          <w:b/>
          <w:bCs w:val="0"/>
          <w:color w:val="4F81BD" w:themeColor="accent1"/>
        </w:rPr>
      </w:pPr>
      <w:bookmarkStart w:id="33" w:name="_Ref386700695"/>
      <w:r>
        <w:lastRenderedPageBreak/>
        <w:t xml:space="preserve">Figure </w:t>
      </w:r>
      <w:r>
        <w:fldChar w:fldCharType="begin"/>
      </w:r>
      <w:r>
        <w:instrText xml:space="preserve"> SEQ Figure \* ARABIC </w:instrText>
      </w:r>
      <w:r>
        <w:fldChar w:fldCharType="separate"/>
      </w:r>
      <w:r>
        <w:rPr>
          <w:noProof/>
        </w:rPr>
        <w:t>2</w:t>
      </w:r>
      <w:r>
        <w:fldChar w:fldCharType="end"/>
      </w:r>
      <w:bookmarkEnd w:id="33"/>
      <w:r w:rsidR="005817F4" w:rsidRPr="005817F4">
        <w:rPr>
          <w:rStyle w:val="Heading2Char"/>
          <w:b w:val="0"/>
          <w:color w:val="000000" w:themeColor="text1"/>
        </w:rPr>
        <w:t>: Equally weighted country portfolios</w:t>
      </w:r>
      <w:r w:rsidR="00EC5EEB">
        <w:rPr>
          <w:noProof/>
          <w:lang w:eastAsia="en-IE"/>
        </w:rPr>
        <w:drawing>
          <wp:inline distT="0" distB="0" distL="0" distR="0" wp14:anchorId="692FC89B" wp14:editId="692FD1E0">
            <wp:extent cx="5731510" cy="3399716"/>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C5EEB" w:rsidRPr="005817F4">
        <w:rPr>
          <w:sz w:val="18"/>
          <w:szCs w:val="18"/>
        </w:rPr>
        <w:t>Notes: This graph shows the annual risk-adjusted return of the S&amp;P500, of an equally weighted portfolio of all countries, of developed markets and of emerging markets.</w:t>
      </w:r>
      <w:r w:rsidR="00EC5EEB" w:rsidRPr="0073658B">
        <w:rPr>
          <w:sz w:val="20"/>
          <w:szCs w:val="20"/>
        </w:rPr>
        <w:t xml:space="preserve">  </w:t>
      </w:r>
    </w:p>
    <w:p w14:paraId="2B744F7E" w14:textId="77777777" w:rsidR="00EC5EEB" w:rsidRDefault="00EC5EEB" w:rsidP="00093B57"/>
    <w:p w14:paraId="281A5F41" w14:textId="77777777" w:rsidR="00EC5EEB" w:rsidRDefault="00EC5EEB" w:rsidP="00093B57"/>
    <w:sectPr w:rsidR="00EC5E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E0B9" w14:textId="77777777" w:rsidR="00B56587" w:rsidRDefault="00B56587" w:rsidP="00662849">
      <w:pPr>
        <w:spacing w:after="0" w:line="240" w:lineRule="auto"/>
      </w:pPr>
      <w:r>
        <w:separator/>
      </w:r>
    </w:p>
  </w:endnote>
  <w:endnote w:type="continuationSeparator" w:id="0">
    <w:p w14:paraId="4D1AF78A" w14:textId="77777777" w:rsidR="00B56587" w:rsidRDefault="00B56587" w:rsidP="0066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8073"/>
      <w:docPartObj>
        <w:docPartGallery w:val="Page Numbers (Bottom of Page)"/>
        <w:docPartUnique/>
      </w:docPartObj>
    </w:sdtPr>
    <w:sdtEndPr>
      <w:rPr>
        <w:noProof/>
      </w:rPr>
    </w:sdtEndPr>
    <w:sdtContent>
      <w:p w14:paraId="2943651A" w14:textId="77777777" w:rsidR="00B45F9D" w:rsidRDefault="00B45F9D">
        <w:pPr>
          <w:pStyle w:val="Footer"/>
          <w:jc w:val="center"/>
        </w:pPr>
        <w:r>
          <w:fldChar w:fldCharType="begin"/>
        </w:r>
        <w:r>
          <w:instrText xml:space="preserve"> PAGE   \* MERGEFORMAT </w:instrText>
        </w:r>
        <w:r>
          <w:fldChar w:fldCharType="separate"/>
        </w:r>
        <w:r w:rsidR="00DC70AA">
          <w:rPr>
            <w:noProof/>
          </w:rPr>
          <w:t>40</w:t>
        </w:r>
        <w:r>
          <w:rPr>
            <w:noProof/>
          </w:rPr>
          <w:fldChar w:fldCharType="end"/>
        </w:r>
      </w:p>
    </w:sdtContent>
  </w:sdt>
  <w:p w14:paraId="198A5C35" w14:textId="77777777" w:rsidR="00B45F9D" w:rsidRDefault="00B45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824881"/>
      <w:docPartObj>
        <w:docPartGallery w:val="Page Numbers (Bottom of Page)"/>
        <w:docPartUnique/>
      </w:docPartObj>
    </w:sdtPr>
    <w:sdtEndPr>
      <w:rPr>
        <w:noProof/>
      </w:rPr>
    </w:sdtEndPr>
    <w:sdtContent>
      <w:p w14:paraId="5A2CC07E" w14:textId="77777777" w:rsidR="00B45F9D" w:rsidRDefault="00B45F9D">
        <w:pPr>
          <w:pStyle w:val="Footer"/>
          <w:jc w:val="center"/>
        </w:pPr>
        <w:r>
          <w:fldChar w:fldCharType="begin"/>
        </w:r>
        <w:r>
          <w:instrText xml:space="preserve"> PAGE   \* MERGEFORMAT </w:instrText>
        </w:r>
        <w:r>
          <w:fldChar w:fldCharType="separate"/>
        </w:r>
        <w:r w:rsidR="00DC70AA">
          <w:rPr>
            <w:noProof/>
          </w:rPr>
          <w:t>43</w:t>
        </w:r>
        <w:r>
          <w:rPr>
            <w:noProof/>
          </w:rPr>
          <w:fldChar w:fldCharType="end"/>
        </w:r>
      </w:p>
    </w:sdtContent>
  </w:sdt>
  <w:p w14:paraId="01E17EC3" w14:textId="77777777" w:rsidR="00B45F9D" w:rsidRDefault="00B4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69D0" w14:textId="77777777" w:rsidR="00B56587" w:rsidRDefault="00B56587" w:rsidP="00662849">
      <w:pPr>
        <w:spacing w:after="0" w:line="240" w:lineRule="auto"/>
      </w:pPr>
      <w:r>
        <w:separator/>
      </w:r>
    </w:p>
  </w:footnote>
  <w:footnote w:type="continuationSeparator" w:id="0">
    <w:p w14:paraId="3E5CC77D" w14:textId="77777777" w:rsidR="00B56587" w:rsidRDefault="00B56587" w:rsidP="00662849">
      <w:pPr>
        <w:spacing w:after="0" w:line="240" w:lineRule="auto"/>
      </w:pPr>
      <w:r>
        <w:continuationSeparator/>
      </w:r>
    </w:p>
  </w:footnote>
  <w:footnote w:id="1">
    <w:p w14:paraId="51138D2F" w14:textId="77777777" w:rsidR="00B45F9D" w:rsidRPr="00262D6B" w:rsidRDefault="00B45F9D" w:rsidP="00CD4B7C">
      <w:pPr>
        <w:pStyle w:val="FootnoteText"/>
        <w:contextualSpacing/>
        <w:rPr>
          <w:rFonts w:asciiTheme="minorHAnsi" w:hAnsiTheme="minorHAnsi" w:cstheme="minorHAnsi"/>
          <w:sz w:val="16"/>
          <w:szCs w:val="16"/>
        </w:rPr>
      </w:pPr>
      <w:r w:rsidRPr="00262D6B">
        <w:rPr>
          <w:rStyle w:val="FootnoteReference"/>
          <w:rFonts w:cstheme="minorHAnsi"/>
          <w:sz w:val="16"/>
          <w:szCs w:val="16"/>
        </w:rPr>
        <w:footnoteRef/>
      </w:r>
      <w:r w:rsidRPr="00262D6B">
        <w:rPr>
          <w:rStyle w:val="FootnoteReference"/>
        </w:rPr>
        <w:t xml:space="preserve"> </w:t>
      </w:r>
      <w:r w:rsidRPr="00262D6B">
        <w:rPr>
          <w:rFonts w:asciiTheme="minorHAnsi" w:hAnsiTheme="minorHAnsi" w:cstheme="minorHAnsi"/>
          <w:sz w:val="16"/>
          <w:szCs w:val="16"/>
        </w:rPr>
        <w:t>Business School, Tr</w:t>
      </w:r>
      <w:r>
        <w:rPr>
          <w:rFonts w:asciiTheme="minorHAnsi" w:hAnsiTheme="minorHAnsi" w:cstheme="minorHAnsi"/>
          <w:sz w:val="16"/>
          <w:szCs w:val="16"/>
        </w:rPr>
        <w:t xml:space="preserve">inity College Dublin, Ireland, Tel: +353 87 237 5721, Email: </w:t>
      </w:r>
      <w:hyperlink r:id="rId1" w:history="1">
        <w:r w:rsidRPr="00935924">
          <w:rPr>
            <w:rStyle w:val="Hyperlink"/>
            <w:rFonts w:asciiTheme="minorHAnsi" w:eastAsiaTheme="majorEastAsia" w:hAnsiTheme="minorHAnsi" w:cstheme="minorHAnsi"/>
            <w:sz w:val="16"/>
            <w:szCs w:val="16"/>
          </w:rPr>
          <w:t>luffm@tcd.ie</w:t>
        </w:r>
      </w:hyperlink>
      <w:r>
        <w:rPr>
          <w:rFonts w:asciiTheme="minorHAnsi" w:hAnsiTheme="minorHAnsi" w:cstheme="minorHAnsi"/>
          <w:sz w:val="16"/>
          <w:szCs w:val="16"/>
        </w:rPr>
        <w:t>.</w:t>
      </w:r>
    </w:p>
  </w:footnote>
  <w:footnote w:id="2">
    <w:p w14:paraId="761C32AA" w14:textId="77777777" w:rsidR="00B45F9D" w:rsidRPr="00262D6B" w:rsidRDefault="00B45F9D" w:rsidP="00CD4B7C">
      <w:pPr>
        <w:pStyle w:val="FootnoteText"/>
        <w:contextualSpacing/>
        <w:rPr>
          <w:rFonts w:asciiTheme="minorHAnsi" w:hAnsiTheme="minorHAnsi" w:cstheme="minorHAnsi"/>
          <w:sz w:val="16"/>
          <w:szCs w:val="16"/>
        </w:rPr>
      </w:pPr>
      <w:r w:rsidRPr="001C2BA1">
        <w:rPr>
          <w:rStyle w:val="FootnoteReference"/>
          <w:rFonts w:cstheme="minorHAnsi"/>
          <w:sz w:val="16"/>
          <w:szCs w:val="16"/>
        </w:rPr>
        <w:footnoteRef/>
      </w:r>
      <w:r w:rsidRPr="001C2BA1">
        <w:rPr>
          <w:rFonts w:cstheme="minorHAnsi"/>
          <w:sz w:val="16"/>
          <w:szCs w:val="16"/>
        </w:rPr>
        <w:t xml:space="preserve"> </w:t>
      </w:r>
      <w:r>
        <w:rPr>
          <w:rFonts w:asciiTheme="minorHAnsi" w:hAnsiTheme="minorHAnsi" w:cstheme="minorHAnsi"/>
          <w:sz w:val="16"/>
          <w:szCs w:val="16"/>
        </w:rPr>
        <w:t>Assistant Professor</w:t>
      </w:r>
      <w:r w:rsidRPr="00262D6B">
        <w:rPr>
          <w:rFonts w:asciiTheme="minorHAnsi" w:hAnsiTheme="minorHAnsi" w:cstheme="minorHAnsi"/>
          <w:sz w:val="16"/>
          <w:szCs w:val="16"/>
        </w:rPr>
        <w:t xml:space="preserve">, Business School, Trinity College Dublin, Ireland. </w:t>
      </w:r>
    </w:p>
  </w:footnote>
  <w:footnote w:id="3">
    <w:p w14:paraId="32D0A7DC" w14:textId="77777777" w:rsidR="00340507" w:rsidRPr="00340507" w:rsidRDefault="00340507">
      <w:pPr>
        <w:pStyle w:val="FootnoteText"/>
        <w:rPr>
          <w:lang w:val="en-IE"/>
        </w:rPr>
      </w:pPr>
      <w:r>
        <w:rPr>
          <w:rStyle w:val="FootnoteReference"/>
        </w:rPr>
        <w:footnoteRef/>
      </w:r>
      <w:r>
        <w:t xml:space="preserve"> </w:t>
      </w:r>
      <w:r w:rsidRPr="005005C5">
        <w:rPr>
          <w:rFonts w:asciiTheme="minorHAnsi" w:hAnsiTheme="minorHAnsi"/>
          <w:sz w:val="18"/>
          <w:szCs w:val="18"/>
          <w:lang w:val="en-IE"/>
        </w:rPr>
        <w:t>Market Capitalisation figures from World Bank data</w:t>
      </w:r>
      <w:r>
        <w:rPr>
          <w:rFonts w:asciiTheme="minorHAnsi" w:hAnsiTheme="minorHAnsi"/>
          <w:sz w:val="18"/>
          <w:szCs w:val="18"/>
          <w:lang w:val="en-IE"/>
        </w:rPr>
        <w:t>.</w:t>
      </w:r>
    </w:p>
  </w:footnote>
  <w:footnote w:id="4">
    <w:p w14:paraId="09C45F65" w14:textId="77777777" w:rsidR="00B45F9D" w:rsidRPr="005005C5" w:rsidRDefault="00B45F9D" w:rsidP="00F52882">
      <w:pPr>
        <w:pStyle w:val="FootnoteText"/>
        <w:rPr>
          <w:rFonts w:asciiTheme="minorHAnsi" w:hAnsiTheme="minorHAnsi"/>
          <w:sz w:val="18"/>
          <w:szCs w:val="18"/>
          <w:lang w:val="en-IE"/>
        </w:rPr>
      </w:pPr>
      <w:r w:rsidRPr="005005C5">
        <w:rPr>
          <w:rStyle w:val="FootnoteReference"/>
          <w:rFonts w:asciiTheme="minorHAnsi" w:hAnsiTheme="minorHAnsi"/>
          <w:sz w:val="18"/>
          <w:szCs w:val="18"/>
        </w:rPr>
        <w:footnoteRef/>
      </w:r>
      <w:r w:rsidRPr="005005C5">
        <w:rPr>
          <w:rFonts w:asciiTheme="minorHAnsi" w:hAnsiTheme="minorHAnsi"/>
          <w:sz w:val="18"/>
          <w:szCs w:val="18"/>
        </w:rPr>
        <w:t xml:space="preserve"> </w:t>
      </w:r>
      <w:r w:rsidRPr="005005C5">
        <w:rPr>
          <w:rFonts w:asciiTheme="minorHAnsi" w:hAnsiTheme="minorHAnsi"/>
          <w:sz w:val="18"/>
          <w:szCs w:val="18"/>
          <w:lang w:val="en-IE"/>
        </w:rPr>
        <w:t>Market Capitalisation figures from World Bank data</w:t>
      </w:r>
    </w:p>
  </w:footnote>
  <w:footnote w:id="5">
    <w:p w14:paraId="4D8C4935" w14:textId="77777777" w:rsidR="00B45F9D" w:rsidRPr="00E100A0" w:rsidRDefault="00B45F9D" w:rsidP="001F233D">
      <w:pPr>
        <w:pStyle w:val="FootnoteText"/>
        <w:rPr>
          <w:rFonts w:asciiTheme="minorHAnsi" w:hAnsiTheme="minorHAnsi"/>
          <w:sz w:val="18"/>
          <w:szCs w:val="18"/>
          <w:lang w:val="en-IE"/>
        </w:rPr>
      </w:pPr>
      <w:r w:rsidRPr="00E100A0">
        <w:rPr>
          <w:rStyle w:val="FootnoteReference"/>
          <w:rFonts w:asciiTheme="minorHAnsi" w:hAnsiTheme="minorHAnsi"/>
          <w:sz w:val="18"/>
          <w:szCs w:val="18"/>
        </w:rPr>
        <w:footnoteRef/>
      </w:r>
      <w:r w:rsidRPr="00E100A0">
        <w:rPr>
          <w:rFonts w:asciiTheme="minorHAnsi" w:hAnsiTheme="minorHAnsi"/>
          <w:sz w:val="18"/>
          <w:szCs w:val="18"/>
        </w:rPr>
        <w:t xml:space="preserve"> A US investment management company and the largest issuer of ETFs both in the US and globally (Fortune Magazine, October 2008)</w:t>
      </w:r>
    </w:p>
  </w:footnote>
  <w:footnote w:id="6">
    <w:p w14:paraId="19E153D8" w14:textId="77777777" w:rsidR="00B45F9D" w:rsidRPr="00CE6362" w:rsidRDefault="00B45F9D" w:rsidP="00331F3E">
      <w:pPr>
        <w:pStyle w:val="FootnoteText"/>
        <w:rPr>
          <w:lang w:val="en-IE"/>
        </w:rPr>
      </w:pPr>
      <w:r>
        <w:rPr>
          <w:rStyle w:val="FootnoteReference"/>
        </w:rPr>
        <w:footnoteRef/>
      </w:r>
      <w:r>
        <w:t xml:space="preserve"> </w:t>
      </w:r>
      <w:r w:rsidRPr="00CE6362">
        <w:rPr>
          <w:sz w:val="18"/>
          <w:szCs w:val="18"/>
        </w:rPr>
        <w:t xml:space="preserve">Report on U.S. Portfolio Holdings of Foreign Securities.   Department of the Treasury Federal Reserve Bank of New York, Board of Governors of the Federal Reserve System. </w:t>
      </w:r>
    </w:p>
  </w:footnote>
  <w:footnote w:id="7">
    <w:p w14:paraId="745A33EC" w14:textId="77777777" w:rsidR="00B45F9D" w:rsidRPr="00CE6362" w:rsidRDefault="00B45F9D" w:rsidP="00AC4F12">
      <w:pPr>
        <w:pStyle w:val="FootnoteText"/>
        <w:contextualSpacing/>
        <w:rPr>
          <w:lang w:val="en-IE"/>
        </w:rPr>
      </w:pPr>
      <w:r w:rsidRPr="00CE6362">
        <w:rPr>
          <w:rStyle w:val="FootnoteReference"/>
        </w:rPr>
        <w:footnoteRef/>
      </w:r>
      <w:r w:rsidRPr="00CE6362">
        <w:t xml:space="preserve"> </w:t>
      </w:r>
      <w:r w:rsidRPr="00CE6362">
        <w:rPr>
          <w:sz w:val="18"/>
          <w:szCs w:val="18"/>
        </w:rPr>
        <w:t xml:space="preserve">The </w:t>
      </w:r>
      <w:r w:rsidR="00CE6362" w:rsidRPr="00CE6362">
        <w:rPr>
          <w:sz w:val="18"/>
          <w:szCs w:val="18"/>
        </w:rPr>
        <w:t xml:space="preserve">2011 </w:t>
      </w:r>
      <w:r w:rsidRPr="00CE6362">
        <w:rPr>
          <w:sz w:val="18"/>
          <w:szCs w:val="18"/>
        </w:rPr>
        <w:t>MSCI list of emerging markets is used to classify countries as emerging or developed markets.</w:t>
      </w:r>
      <w:r w:rsidRPr="00CE6362">
        <w:rPr>
          <w:sz w:val="24"/>
          <w:szCs w:val="24"/>
        </w:rPr>
        <w:t xml:space="preserve">  </w:t>
      </w:r>
    </w:p>
  </w:footnote>
  <w:footnote w:id="8">
    <w:p w14:paraId="4386D640" w14:textId="77777777" w:rsidR="00B45F9D" w:rsidRPr="00451447" w:rsidRDefault="00B45F9D" w:rsidP="00451447">
      <w:pPr>
        <w:pStyle w:val="FootnoteText"/>
        <w:rPr>
          <w:sz w:val="18"/>
          <w:szCs w:val="18"/>
          <w:lang w:val="en-IE"/>
        </w:rPr>
      </w:pPr>
      <w:r w:rsidRPr="00CE6362">
        <w:rPr>
          <w:rStyle w:val="FootnoteReference"/>
        </w:rPr>
        <w:footnoteRef/>
      </w:r>
      <w:r w:rsidRPr="00CE6362">
        <w:t xml:space="preserve"> </w:t>
      </w:r>
      <w:r w:rsidRPr="00CE6362">
        <w:rPr>
          <w:sz w:val="18"/>
          <w:szCs w:val="18"/>
        </w:rPr>
        <w:t>GICS is an industry taxonomy developed by MSCI and Standard &amp; Poor's (S&amp;P).  It consists of 10 sectors, 24 industry groups, 68 industries and 154 sub-industries into which all major public companies have been categorized</w:t>
      </w:r>
      <w:r w:rsidRPr="00451447">
        <w:rPr>
          <w:sz w:val="18"/>
          <w:szCs w:val="18"/>
        </w:rPr>
        <w:t>.</w:t>
      </w:r>
    </w:p>
  </w:footnote>
  <w:footnote w:id="9">
    <w:p w14:paraId="26D63649" w14:textId="77777777" w:rsidR="00B45F9D" w:rsidRPr="00046C61" w:rsidRDefault="00B45F9D" w:rsidP="00A5798B">
      <w:pPr>
        <w:pStyle w:val="FootnoteText"/>
        <w:rPr>
          <w:lang w:val="en-IE"/>
        </w:rPr>
      </w:pPr>
      <w:r>
        <w:rPr>
          <w:rStyle w:val="FootnoteReference"/>
        </w:rPr>
        <w:footnoteRef/>
      </w:r>
      <w:r>
        <w:t xml:space="preserve"> </w:t>
      </w:r>
      <w:r>
        <w:rPr>
          <w:lang w:val="en-IE"/>
        </w:rPr>
        <w:t xml:space="preserve">Stepwise regression can use either a forward or a backward p-value threshold.  We tested several portfolios using both and found the results to be almost identical.  </w:t>
      </w:r>
    </w:p>
  </w:footnote>
  <w:footnote w:id="10">
    <w:p w14:paraId="02ED4A9E" w14:textId="77777777" w:rsidR="00B45F9D" w:rsidRPr="001C21AD" w:rsidRDefault="00B45F9D" w:rsidP="001C21AD">
      <w:pPr>
        <w:spacing w:line="240" w:lineRule="auto"/>
        <w:contextualSpacing/>
      </w:pPr>
      <w:r>
        <w:rPr>
          <w:rStyle w:val="FootnoteReference"/>
        </w:rPr>
        <w:footnoteRef/>
      </w:r>
      <w:r>
        <w:t xml:space="preserve"> </w:t>
      </w:r>
      <w:r w:rsidRPr="001C21AD">
        <w:rPr>
          <w:rFonts w:ascii="Times New Roman" w:hAnsi="Times New Roman"/>
          <w:sz w:val="18"/>
          <w:szCs w:val="18"/>
        </w:rPr>
        <w:t xml:space="preserve">We firstly used standard statistical techniques to find breakpoints in the data.  We initially considered the Chow test </w:t>
      </w:r>
      <w:r w:rsidRPr="001C21AD">
        <w:rPr>
          <w:rFonts w:ascii="Times New Roman" w:hAnsi="Times New Roman"/>
          <w:sz w:val="18"/>
          <w:szCs w:val="18"/>
        </w:rPr>
        <w:fldChar w:fldCharType="begin" w:fldLock="1"/>
      </w:r>
      <w:r w:rsidR="00CE6362">
        <w:rPr>
          <w:rFonts w:ascii="Times New Roman" w:hAnsi="Times New Roman"/>
          <w:sz w:val="18"/>
          <w:szCs w:val="18"/>
        </w:rPr>
        <w:instrText>ADDIN CSL_CITATION { "citationItems" : [ { "id" : "ITEM-1", "itemData" : { "author" : [ { "dropping-particle" : "", "family" : "Chow", "given" : "Gregory", "non-dropping-particle" : "", "parse-names" : false, "suffix" : "" } ], "container-title" : "Econometrica", "id" : "ITEM-1", "issue" : "3", "issued" : { "date-parts" : [ [ "1960" ] ] }, "page" : "591-605", "title" : "Tests of Equality Between Sets of Coefficients in Two Linear Regressions", "type" : "article-journal", "volume" : "28" }, "uris" : [ "http://www.mendeley.com/documents/?uuid=61e37c8e-679f-4548-b637-71377439aa1a" ] } ], "mendeley" : { "previouslyFormattedCitation" : "(Chow, 1960)" }, "properties" : { "noteIndex" : 0 }, "schema" : "https://github.com/citation-style-language/schema/raw/master/csl-citation.json" }</w:instrText>
      </w:r>
      <w:r w:rsidRPr="001C21AD">
        <w:rPr>
          <w:rFonts w:ascii="Times New Roman" w:hAnsi="Times New Roman"/>
          <w:sz w:val="18"/>
          <w:szCs w:val="18"/>
        </w:rPr>
        <w:fldChar w:fldCharType="separate"/>
      </w:r>
      <w:r w:rsidRPr="001C21AD">
        <w:rPr>
          <w:rFonts w:ascii="Times New Roman" w:hAnsi="Times New Roman"/>
          <w:noProof/>
          <w:sz w:val="18"/>
          <w:szCs w:val="18"/>
        </w:rPr>
        <w:t>(Chow, 1960)</w:t>
      </w:r>
      <w:r w:rsidRPr="001C21AD">
        <w:rPr>
          <w:rFonts w:ascii="Times New Roman" w:hAnsi="Times New Roman"/>
          <w:sz w:val="18"/>
          <w:szCs w:val="18"/>
        </w:rPr>
        <w:fldChar w:fldCharType="end"/>
      </w:r>
      <w:r w:rsidRPr="001C21AD">
        <w:rPr>
          <w:rFonts w:ascii="Times New Roman" w:hAnsi="Times New Roman"/>
          <w:sz w:val="18"/>
          <w:szCs w:val="18"/>
        </w:rPr>
        <w:t>.  However, this test has been criticised in the literature, most notably its endogeneity, whereby it assumes a break in the data and searches for the most suitable break date accordingly.  Given this shortcoming, we instead performed the Andrews-</w:t>
      </w:r>
      <w:proofErr w:type="spellStart"/>
      <w:r w:rsidRPr="001C21AD">
        <w:rPr>
          <w:rFonts w:ascii="Times New Roman" w:hAnsi="Times New Roman"/>
          <w:sz w:val="18"/>
          <w:szCs w:val="18"/>
        </w:rPr>
        <w:t>Quandt</w:t>
      </w:r>
      <w:proofErr w:type="spellEnd"/>
      <w:r w:rsidRPr="001C21AD">
        <w:rPr>
          <w:rFonts w:ascii="Times New Roman" w:hAnsi="Times New Roman"/>
          <w:sz w:val="18"/>
          <w:szCs w:val="18"/>
        </w:rPr>
        <w:t xml:space="preserve"> and Bai-Perron tests</w:t>
      </w:r>
      <w:r>
        <w:rPr>
          <w:rFonts w:ascii="Times New Roman" w:hAnsi="Times New Roman"/>
          <w:sz w:val="18"/>
          <w:szCs w:val="18"/>
        </w:rPr>
        <w:t xml:space="preserve"> </w:t>
      </w:r>
      <w:r w:rsidRPr="001C21AD">
        <w:rPr>
          <w:rFonts w:ascii="Times New Roman" w:hAnsi="Times New Roman"/>
          <w:sz w:val="18"/>
          <w:szCs w:val="18"/>
        </w:rPr>
        <w:t>on the returns of the US market using the S&amp;P500 as a proxy and several of the foreign country indices.  Neither test found a structural break in the data.</w:t>
      </w:r>
      <w:r w:rsidRPr="000E6048">
        <w:rPr>
          <w:rFonts w:ascii="Times New Roman" w:hAnsi="Times New Roman"/>
          <w:sz w:val="24"/>
          <w:szCs w:val="24"/>
        </w:rPr>
        <w:t xml:space="preserve">  </w:t>
      </w:r>
    </w:p>
  </w:footnote>
  <w:footnote w:id="11">
    <w:p w14:paraId="6454366F" w14:textId="77777777" w:rsidR="00B45F9D" w:rsidRPr="00EE199C" w:rsidRDefault="00B45F9D" w:rsidP="00E16FB9">
      <w:pPr>
        <w:pStyle w:val="FootnoteText"/>
        <w:rPr>
          <w:sz w:val="18"/>
          <w:szCs w:val="18"/>
          <w:lang w:val="en-IE"/>
        </w:rPr>
      </w:pPr>
      <w:r>
        <w:rPr>
          <w:rStyle w:val="FootnoteReference"/>
        </w:rPr>
        <w:footnoteRef/>
      </w:r>
      <w:r>
        <w:t xml:space="preserve"> </w:t>
      </w:r>
      <w:r w:rsidRPr="00EE199C">
        <w:rPr>
          <w:sz w:val="18"/>
          <w:szCs w:val="18"/>
        </w:rPr>
        <w:fldChar w:fldCharType="begin" w:fldLock="1"/>
      </w:r>
      <w:r w:rsidR="00CE6362">
        <w:rPr>
          <w:sz w:val="18"/>
          <w:szCs w:val="18"/>
        </w:rPr>
        <w:instrText>ADDIN CSL_CITATION { "citationItems" : [ { "id" : "ITEM-1", "itemData" : { "ISSN" : "13547798", "abstract" : "Abstract In spite of the popularity of international portfolio diversification theory, extant empirical literature shows that investors prefer domestic assets and as a result, many studies argue that investors\u2019 portfolios are largely suboptimal. This paper examines whether British investors need to diversify their portfolios internation- ally to gain performance benefits from international markets or can they obtain these benefits by mimicking the portfolios with domestically traded assets. The results confirm that it is possible to mimic the performance of foreign equity with domestic equity. Indeed, the pay-offs from homemade portfolios outperform those from international portfolios regardless of the periodic variation in the overall performance of the UK market vis-` a-vis foreign markets. The superiority of homemade portfolio is more prominent in recent years and is enhanced by the increased internationalisation of developed capital markets. Therefore, investors\u2019 home bias is not suboptimal.", "author" : [ { "dropping-particle" : "", "family" : "Antoniou", "given" : "Antonios", "non-dropping-particle" : "", "parse-names" : false, "suffix" : "" }, { "dropping-particle" : "", "family" : "Olusi", "given" : "Olasupo", "non-dropping-particle" : "", "parse-names" : false, "suffix" : "" }, { "dropping-particle" : "", "family" : "Paudyal", "given" : "Krishna", "non-dropping-particle" : "", "parse-names" : false, "suffix" : "" } ], "container-title" : "European Financial Management", "id" : "ITEM-1", "issue" : "3", "issued" : { "date-parts" : [ [ "2010", "4", "27" ] ] }, "page" : "449-479", "title" : "Equity Home-Bias: A Suboptimal Choice for UK investors?", "type" : "article-journal", "volume" : "16" }, "uris" : [ "http://www.mendeley.com/documents/?uuid=6b85cd01-4e75-4bf0-ac1a-8dbda29fd984" ] } ], "mendeley" : { "manualFormatting" : "Antoniou et al. (2010)", "previouslyFormattedCitation" : "(Antoniou et al., 2010)" }, "properties" : { "noteIndex" : 0 }, "schema" : "https://github.com/citation-style-language/schema/raw/master/csl-citation.json" }</w:instrText>
      </w:r>
      <w:r w:rsidRPr="00EE199C">
        <w:rPr>
          <w:sz w:val="18"/>
          <w:szCs w:val="18"/>
        </w:rPr>
        <w:fldChar w:fldCharType="separate"/>
      </w:r>
      <w:r w:rsidRPr="00EE199C">
        <w:rPr>
          <w:noProof/>
          <w:sz w:val="18"/>
          <w:szCs w:val="18"/>
        </w:rPr>
        <w:t>Antoniou et al. (2010)</w:t>
      </w:r>
      <w:r w:rsidRPr="00EE199C">
        <w:rPr>
          <w:sz w:val="18"/>
          <w:szCs w:val="18"/>
        </w:rPr>
        <w:fldChar w:fldCharType="end"/>
      </w:r>
      <w:r w:rsidRPr="00EE199C">
        <w:rPr>
          <w:sz w:val="18"/>
          <w:szCs w:val="18"/>
        </w:rPr>
        <w:t xml:space="preserve"> use a similar criteria for their selection of sub-periods to test their results in periods of under and over performance by the UK market.</w:t>
      </w:r>
    </w:p>
  </w:footnote>
  <w:footnote w:id="12">
    <w:p w14:paraId="0DB93285" w14:textId="77777777" w:rsidR="00B45F9D" w:rsidRPr="00CA4E0C" w:rsidRDefault="00B45F9D" w:rsidP="00837EF2">
      <w:pPr>
        <w:pStyle w:val="FootnoteText"/>
        <w:contextualSpacing/>
        <w:rPr>
          <w:sz w:val="18"/>
          <w:szCs w:val="18"/>
        </w:rPr>
      </w:pPr>
      <w:r w:rsidRPr="00CA4E0C">
        <w:rPr>
          <w:rStyle w:val="FootnoteReference"/>
          <w:sz w:val="18"/>
          <w:szCs w:val="18"/>
        </w:rPr>
        <w:footnoteRef/>
      </w:r>
      <w:r w:rsidRPr="00CA4E0C">
        <w:rPr>
          <w:sz w:val="18"/>
          <w:szCs w:val="18"/>
        </w:rPr>
        <w:t xml:space="preserve"> Report on U.S. Portfolio Holdings of Foreign Securities as of December 31, 2011.   Department of the Treasury</w:t>
      </w:r>
    </w:p>
    <w:p w14:paraId="14D3DBE8" w14:textId="77777777" w:rsidR="00B45F9D" w:rsidRPr="00CA4E0C" w:rsidRDefault="00B45F9D" w:rsidP="00837EF2">
      <w:pPr>
        <w:pStyle w:val="FootnoteText"/>
        <w:contextualSpacing/>
        <w:rPr>
          <w:sz w:val="18"/>
          <w:szCs w:val="18"/>
          <w:lang w:val="en-IE"/>
        </w:rPr>
      </w:pPr>
      <w:r w:rsidRPr="00CA4E0C">
        <w:rPr>
          <w:sz w:val="18"/>
          <w:szCs w:val="18"/>
        </w:rPr>
        <w:t>Federal Reserve, Bank of New York, Board of Governors of the Federal Reserve System. Table 1.</w:t>
      </w:r>
    </w:p>
  </w:footnote>
  <w:footnote w:id="13">
    <w:p w14:paraId="1EA8009D" w14:textId="77777777" w:rsidR="00B45F9D" w:rsidRPr="00CA4E0C" w:rsidRDefault="00B45F9D" w:rsidP="00837EF2">
      <w:pPr>
        <w:pStyle w:val="FootnoteText"/>
        <w:contextualSpacing/>
        <w:rPr>
          <w:sz w:val="18"/>
          <w:szCs w:val="18"/>
          <w:lang w:val="en-IE"/>
        </w:rPr>
      </w:pPr>
      <w:r w:rsidRPr="00CA4E0C">
        <w:rPr>
          <w:rStyle w:val="FootnoteReference"/>
          <w:sz w:val="18"/>
          <w:szCs w:val="18"/>
        </w:rPr>
        <w:footnoteRef/>
      </w:r>
      <w:r w:rsidRPr="00CA4E0C">
        <w:rPr>
          <w:sz w:val="18"/>
          <w:szCs w:val="18"/>
        </w:rPr>
        <w:t xml:space="preserve"> </w:t>
      </w:r>
      <w:r w:rsidRPr="00CA4E0C">
        <w:rPr>
          <w:sz w:val="18"/>
          <w:szCs w:val="18"/>
          <w:lang w:val="en-IE"/>
        </w:rPr>
        <w:t>Source: Report on Foreign Portfolio Holdings of  U.S. Securities as of June 30, 2011. Department of the Treasury, Federal Reserve Bank of New York, Board of Governors of the Federal Reserve System, Table 2.</w:t>
      </w:r>
    </w:p>
  </w:footnote>
  <w:footnote w:id="14">
    <w:p w14:paraId="2E2C5CC1" w14:textId="77777777" w:rsidR="00B45F9D" w:rsidRPr="00CA4E0C" w:rsidRDefault="00B45F9D" w:rsidP="00837EF2">
      <w:pPr>
        <w:pStyle w:val="FootnoteText"/>
        <w:contextualSpacing/>
        <w:rPr>
          <w:sz w:val="18"/>
          <w:szCs w:val="18"/>
          <w:lang w:val="en-IE"/>
        </w:rPr>
      </w:pPr>
      <w:r w:rsidRPr="00CA4E0C">
        <w:rPr>
          <w:rStyle w:val="FootnoteReference"/>
          <w:sz w:val="18"/>
          <w:szCs w:val="18"/>
        </w:rPr>
        <w:footnoteRef/>
      </w:r>
      <w:r w:rsidRPr="00CA4E0C">
        <w:rPr>
          <w:sz w:val="18"/>
          <w:szCs w:val="18"/>
        </w:rPr>
        <w:t xml:space="preserve"> </w:t>
      </w:r>
      <w:r w:rsidRPr="00CA4E0C">
        <w:rPr>
          <w:sz w:val="18"/>
          <w:szCs w:val="18"/>
          <w:lang w:val="en-IE"/>
        </w:rPr>
        <w:t>Source: Report on Foreign Portfolio Holdings of  U.S. Securities as of June 30, 2011. Department of the Treasury, Federal Reserve Bank of New York, Board of Governors of the Federal Reserve System, Table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F2E"/>
    <w:multiLevelType w:val="hybridMultilevel"/>
    <w:tmpl w:val="9B44E6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937D90"/>
    <w:multiLevelType w:val="hybridMultilevel"/>
    <w:tmpl w:val="31C6C3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576102"/>
    <w:multiLevelType w:val="hybridMultilevel"/>
    <w:tmpl w:val="4662A28A"/>
    <w:lvl w:ilvl="0" w:tplc="1FB4C67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292CE0"/>
    <w:multiLevelType w:val="hybridMultilevel"/>
    <w:tmpl w:val="74A2FE7A"/>
    <w:lvl w:ilvl="0" w:tplc="33B05DDA">
      <w:start w:val="1"/>
      <w:numFmt w:val="bullet"/>
      <w:lvlText w:val="•"/>
      <w:lvlJc w:val="left"/>
      <w:pPr>
        <w:tabs>
          <w:tab w:val="num" w:pos="720"/>
        </w:tabs>
        <w:ind w:left="720" w:hanging="360"/>
      </w:pPr>
      <w:rPr>
        <w:rFonts w:ascii="Arial" w:hAnsi="Arial" w:hint="default"/>
      </w:rPr>
    </w:lvl>
    <w:lvl w:ilvl="1" w:tplc="0C7A1792" w:tentative="1">
      <w:start w:val="1"/>
      <w:numFmt w:val="bullet"/>
      <w:lvlText w:val="•"/>
      <w:lvlJc w:val="left"/>
      <w:pPr>
        <w:tabs>
          <w:tab w:val="num" w:pos="1440"/>
        </w:tabs>
        <w:ind w:left="1440" w:hanging="360"/>
      </w:pPr>
      <w:rPr>
        <w:rFonts w:ascii="Arial" w:hAnsi="Arial" w:hint="default"/>
      </w:rPr>
    </w:lvl>
    <w:lvl w:ilvl="2" w:tplc="9ABA6E0A" w:tentative="1">
      <w:start w:val="1"/>
      <w:numFmt w:val="bullet"/>
      <w:lvlText w:val="•"/>
      <w:lvlJc w:val="left"/>
      <w:pPr>
        <w:tabs>
          <w:tab w:val="num" w:pos="2160"/>
        </w:tabs>
        <w:ind w:left="2160" w:hanging="360"/>
      </w:pPr>
      <w:rPr>
        <w:rFonts w:ascii="Arial" w:hAnsi="Arial" w:hint="default"/>
      </w:rPr>
    </w:lvl>
    <w:lvl w:ilvl="3" w:tplc="165290F4" w:tentative="1">
      <w:start w:val="1"/>
      <w:numFmt w:val="bullet"/>
      <w:lvlText w:val="•"/>
      <w:lvlJc w:val="left"/>
      <w:pPr>
        <w:tabs>
          <w:tab w:val="num" w:pos="2880"/>
        </w:tabs>
        <w:ind w:left="2880" w:hanging="360"/>
      </w:pPr>
      <w:rPr>
        <w:rFonts w:ascii="Arial" w:hAnsi="Arial" w:hint="default"/>
      </w:rPr>
    </w:lvl>
    <w:lvl w:ilvl="4" w:tplc="547CB284" w:tentative="1">
      <w:start w:val="1"/>
      <w:numFmt w:val="bullet"/>
      <w:lvlText w:val="•"/>
      <w:lvlJc w:val="left"/>
      <w:pPr>
        <w:tabs>
          <w:tab w:val="num" w:pos="3600"/>
        </w:tabs>
        <w:ind w:left="3600" w:hanging="360"/>
      </w:pPr>
      <w:rPr>
        <w:rFonts w:ascii="Arial" w:hAnsi="Arial" w:hint="default"/>
      </w:rPr>
    </w:lvl>
    <w:lvl w:ilvl="5" w:tplc="F1D05006" w:tentative="1">
      <w:start w:val="1"/>
      <w:numFmt w:val="bullet"/>
      <w:lvlText w:val="•"/>
      <w:lvlJc w:val="left"/>
      <w:pPr>
        <w:tabs>
          <w:tab w:val="num" w:pos="4320"/>
        </w:tabs>
        <w:ind w:left="4320" w:hanging="360"/>
      </w:pPr>
      <w:rPr>
        <w:rFonts w:ascii="Arial" w:hAnsi="Arial" w:hint="default"/>
      </w:rPr>
    </w:lvl>
    <w:lvl w:ilvl="6" w:tplc="867CD786" w:tentative="1">
      <w:start w:val="1"/>
      <w:numFmt w:val="bullet"/>
      <w:lvlText w:val="•"/>
      <w:lvlJc w:val="left"/>
      <w:pPr>
        <w:tabs>
          <w:tab w:val="num" w:pos="5040"/>
        </w:tabs>
        <w:ind w:left="5040" w:hanging="360"/>
      </w:pPr>
      <w:rPr>
        <w:rFonts w:ascii="Arial" w:hAnsi="Arial" w:hint="default"/>
      </w:rPr>
    </w:lvl>
    <w:lvl w:ilvl="7" w:tplc="E430CB0E" w:tentative="1">
      <w:start w:val="1"/>
      <w:numFmt w:val="bullet"/>
      <w:lvlText w:val="•"/>
      <w:lvlJc w:val="left"/>
      <w:pPr>
        <w:tabs>
          <w:tab w:val="num" w:pos="5760"/>
        </w:tabs>
        <w:ind w:left="5760" w:hanging="360"/>
      </w:pPr>
      <w:rPr>
        <w:rFonts w:ascii="Arial" w:hAnsi="Arial" w:hint="default"/>
      </w:rPr>
    </w:lvl>
    <w:lvl w:ilvl="8" w:tplc="5D3C4D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573336"/>
    <w:multiLevelType w:val="multilevel"/>
    <w:tmpl w:val="A4D648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845193"/>
    <w:multiLevelType w:val="hybridMultilevel"/>
    <w:tmpl w:val="98BA91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3C48C0"/>
    <w:multiLevelType w:val="hybridMultilevel"/>
    <w:tmpl w:val="76342592"/>
    <w:lvl w:ilvl="0" w:tplc="AF249544">
      <w:start w:val="1"/>
      <w:numFmt w:val="bullet"/>
      <w:lvlText w:val="•"/>
      <w:lvlJc w:val="left"/>
      <w:pPr>
        <w:tabs>
          <w:tab w:val="num" w:pos="720"/>
        </w:tabs>
        <w:ind w:left="720" w:hanging="360"/>
      </w:pPr>
      <w:rPr>
        <w:rFonts w:ascii="Arial" w:hAnsi="Arial" w:hint="default"/>
      </w:rPr>
    </w:lvl>
    <w:lvl w:ilvl="1" w:tplc="D4880544" w:tentative="1">
      <w:start w:val="1"/>
      <w:numFmt w:val="bullet"/>
      <w:lvlText w:val="•"/>
      <w:lvlJc w:val="left"/>
      <w:pPr>
        <w:tabs>
          <w:tab w:val="num" w:pos="1440"/>
        </w:tabs>
        <w:ind w:left="1440" w:hanging="360"/>
      </w:pPr>
      <w:rPr>
        <w:rFonts w:ascii="Arial" w:hAnsi="Arial" w:hint="default"/>
      </w:rPr>
    </w:lvl>
    <w:lvl w:ilvl="2" w:tplc="79AE9156" w:tentative="1">
      <w:start w:val="1"/>
      <w:numFmt w:val="bullet"/>
      <w:lvlText w:val="•"/>
      <w:lvlJc w:val="left"/>
      <w:pPr>
        <w:tabs>
          <w:tab w:val="num" w:pos="2160"/>
        </w:tabs>
        <w:ind w:left="2160" w:hanging="360"/>
      </w:pPr>
      <w:rPr>
        <w:rFonts w:ascii="Arial" w:hAnsi="Arial" w:hint="default"/>
      </w:rPr>
    </w:lvl>
    <w:lvl w:ilvl="3" w:tplc="3B8A7300" w:tentative="1">
      <w:start w:val="1"/>
      <w:numFmt w:val="bullet"/>
      <w:lvlText w:val="•"/>
      <w:lvlJc w:val="left"/>
      <w:pPr>
        <w:tabs>
          <w:tab w:val="num" w:pos="2880"/>
        </w:tabs>
        <w:ind w:left="2880" w:hanging="360"/>
      </w:pPr>
      <w:rPr>
        <w:rFonts w:ascii="Arial" w:hAnsi="Arial" w:hint="default"/>
      </w:rPr>
    </w:lvl>
    <w:lvl w:ilvl="4" w:tplc="493E22A0" w:tentative="1">
      <w:start w:val="1"/>
      <w:numFmt w:val="bullet"/>
      <w:lvlText w:val="•"/>
      <w:lvlJc w:val="left"/>
      <w:pPr>
        <w:tabs>
          <w:tab w:val="num" w:pos="3600"/>
        </w:tabs>
        <w:ind w:left="3600" w:hanging="360"/>
      </w:pPr>
      <w:rPr>
        <w:rFonts w:ascii="Arial" w:hAnsi="Arial" w:hint="default"/>
      </w:rPr>
    </w:lvl>
    <w:lvl w:ilvl="5" w:tplc="D00AA75E" w:tentative="1">
      <w:start w:val="1"/>
      <w:numFmt w:val="bullet"/>
      <w:lvlText w:val="•"/>
      <w:lvlJc w:val="left"/>
      <w:pPr>
        <w:tabs>
          <w:tab w:val="num" w:pos="4320"/>
        </w:tabs>
        <w:ind w:left="4320" w:hanging="360"/>
      </w:pPr>
      <w:rPr>
        <w:rFonts w:ascii="Arial" w:hAnsi="Arial" w:hint="default"/>
      </w:rPr>
    </w:lvl>
    <w:lvl w:ilvl="6" w:tplc="51300A54" w:tentative="1">
      <w:start w:val="1"/>
      <w:numFmt w:val="bullet"/>
      <w:lvlText w:val="•"/>
      <w:lvlJc w:val="left"/>
      <w:pPr>
        <w:tabs>
          <w:tab w:val="num" w:pos="5040"/>
        </w:tabs>
        <w:ind w:left="5040" w:hanging="360"/>
      </w:pPr>
      <w:rPr>
        <w:rFonts w:ascii="Arial" w:hAnsi="Arial" w:hint="default"/>
      </w:rPr>
    </w:lvl>
    <w:lvl w:ilvl="7" w:tplc="A7BECB46" w:tentative="1">
      <w:start w:val="1"/>
      <w:numFmt w:val="bullet"/>
      <w:lvlText w:val="•"/>
      <w:lvlJc w:val="left"/>
      <w:pPr>
        <w:tabs>
          <w:tab w:val="num" w:pos="5760"/>
        </w:tabs>
        <w:ind w:left="5760" w:hanging="360"/>
      </w:pPr>
      <w:rPr>
        <w:rFonts w:ascii="Arial" w:hAnsi="Arial" w:hint="default"/>
      </w:rPr>
    </w:lvl>
    <w:lvl w:ilvl="8" w:tplc="D94E0E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CE628B"/>
    <w:multiLevelType w:val="hybridMultilevel"/>
    <w:tmpl w:val="5C3836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8A35F7"/>
    <w:multiLevelType w:val="hybridMultilevel"/>
    <w:tmpl w:val="64C0AA46"/>
    <w:lvl w:ilvl="0" w:tplc="853E01DA">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891770F"/>
    <w:multiLevelType w:val="multilevel"/>
    <w:tmpl w:val="AAA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F7128"/>
    <w:multiLevelType w:val="multilevel"/>
    <w:tmpl w:val="97F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E508D"/>
    <w:multiLevelType w:val="hybridMultilevel"/>
    <w:tmpl w:val="0EBED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724D4F"/>
    <w:multiLevelType w:val="multilevel"/>
    <w:tmpl w:val="27C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61326"/>
    <w:multiLevelType w:val="multilevel"/>
    <w:tmpl w:val="A39C0C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1563C3"/>
    <w:multiLevelType w:val="hybridMultilevel"/>
    <w:tmpl w:val="5498CC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D62069C"/>
    <w:multiLevelType w:val="hybridMultilevel"/>
    <w:tmpl w:val="BCCEA1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4879BD"/>
    <w:multiLevelType w:val="multilevel"/>
    <w:tmpl w:val="B25032F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0DF6808"/>
    <w:multiLevelType w:val="multilevel"/>
    <w:tmpl w:val="B466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AC7160"/>
    <w:multiLevelType w:val="hybridMultilevel"/>
    <w:tmpl w:val="DF9C0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C6AEA"/>
    <w:multiLevelType w:val="hybridMultilevel"/>
    <w:tmpl w:val="88D281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EA533C"/>
    <w:multiLevelType w:val="multilevel"/>
    <w:tmpl w:val="CB7621C8"/>
    <w:lvl w:ilvl="0">
      <w:start w:val="1"/>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B4B377E"/>
    <w:multiLevelType w:val="hybridMultilevel"/>
    <w:tmpl w:val="26BEC4D8"/>
    <w:lvl w:ilvl="0" w:tplc="21369608">
      <w:start w:val="1"/>
      <w:numFmt w:val="bullet"/>
      <w:lvlText w:val="•"/>
      <w:lvlJc w:val="left"/>
      <w:pPr>
        <w:tabs>
          <w:tab w:val="num" w:pos="720"/>
        </w:tabs>
        <w:ind w:left="720" w:hanging="360"/>
      </w:pPr>
      <w:rPr>
        <w:rFonts w:ascii="Arial" w:hAnsi="Arial" w:hint="default"/>
      </w:rPr>
    </w:lvl>
    <w:lvl w:ilvl="1" w:tplc="52781698" w:tentative="1">
      <w:start w:val="1"/>
      <w:numFmt w:val="bullet"/>
      <w:lvlText w:val="•"/>
      <w:lvlJc w:val="left"/>
      <w:pPr>
        <w:tabs>
          <w:tab w:val="num" w:pos="1440"/>
        </w:tabs>
        <w:ind w:left="1440" w:hanging="360"/>
      </w:pPr>
      <w:rPr>
        <w:rFonts w:ascii="Arial" w:hAnsi="Arial" w:hint="default"/>
      </w:rPr>
    </w:lvl>
    <w:lvl w:ilvl="2" w:tplc="13A64756" w:tentative="1">
      <w:start w:val="1"/>
      <w:numFmt w:val="bullet"/>
      <w:lvlText w:val="•"/>
      <w:lvlJc w:val="left"/>
      <w:pPr>
        <w:tabs>
          <w:tab w:val="num" w:pos="2160"/>
        </w:tabs>
        <w:ind w:left="2160" w:hanging="360"/>
      </w:pPr>
      <w:rPr>
        <w:rFonts w:ascii="Arial" w:hAnsi="Arial" w:hint="default"/>
      </w:rPr>
    </w:lvl>
    <w:lvl w:ilvl="3" w:tplc="FD4CDF5C" w:tentative="1">
      <w:start w:val="1"/>
      <w:numFmt w:val="bullet"/>
      <w:lvlText w:val="•"/>
      <w:lvlJc w:val="left"/>
      <w:pPr>
        <w:tabs>
          <w:tab w:val="num" w:pos="2880"/>
        </w:tabs>
        <w:ind w:left="2880" w:hanging="360"/>
      </w:pPr>
      <w:rPr>
        <w:rFonts w:ascii="Arial" w:hAnsi="Arial" w:hint="default"/>
      </w:rPr>
    </w:lvl>
    <w:lvl w:ilvl="4" w:tplc="7B50473A" w:tentative="1">
      <w:start w:val="1"/>
      <w:numFmt w:val="bullet"/>
      <w:lvlText w:val="•"/>
      <w:lvlJc w:val="left"/>
      <w:pPr>
        <w:tabs>
          <w:tab w:val="num" w:pos="3600"/>
        </w:tabs>
        <w:ind w:left="3600" w:hanging="360"/>
      </w:pPr>
      <w:rPr>
        <w:rFonts w:ascii="Arial" w:hAnsi="Arial" w:hint="default"/>
      </w:rPr>
    </w:lvl>
    <w:lvl w:ilvl="5" w:tplc="103A058C" w:tentative="1">
      <w:start w:val="1"/>
      <w:numFmt w:val="bullet"/>
      <w:lvlText w:val="•"/>
      <w:lvlJc w:val="left"/>
      <w:pPr>
        <w:tabs>
          <w:tab w:val="num" w:pos="4320"/>
        </w:tabs>
        <w:ind w:left="4320" w:hanging="360"/>
      </w:pPr>
      <w:rPr>
        <w:rFonts w:ascii="Arial" w:hAnsi="Arial" w:hint="default"/>
      </w:rPr>
    </w:lvl>
    <w:lvl w:ilvl="6" w:tplc="129EAB1C" w:tentative="1">
      <w:start w:val="1"/>
      <w:numFmt w:val="bullet"/>
      <w:lvlText w:val="•"/>
      <w:lvlJc w:val="left"/>
      <w:pPr>
        <w:tabs>
          <w:tab w:val="num" w:pos="5040"/>
        </w:tabs>
        <w:ind w:left="5040" w:hanging="360"/>
      </w:pPr>
      <w:rPr>
        <w:rFonts w:ascii="Arial" w:hAnsi="Arial" w:hint="default"/>
      </w:rPr>
    </w:lvl>
    <w:lvl w:ilvl="7" w:tplc="C3182502" w:tentative="1">
      <w:start w:val="1"/>
      <w:numFmt w:val="bullet"/>
      <w:lvlText w:val="•"/>
      <w:lvlJc w:val="left"/>
      <w:pPr>
        <w:tabs>
          <w:tab w:val="num" w:pos="5760"/>
        </w:tabs>
        <w:ind w:left="5760" w:hanging="360"/>
      </w:pPr>
      <w:rPr>
        <w:rFonts w:ascii="Arial" w:hAnsi="Arial" w:hint="default"/>
      </w:rPr>
    </w:lvl>
    <w:lvl w:ilvl="8" w:tplc="02DE7D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50478"/>
    <w:multiLevelType w:val="multilevel"/>
    <w:tmpl w:val="A6AA3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D627841"/>
    <w:multiLevelType w:val="multilevel"/>
    <w:tmpl w:val="648007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50F6E4A"/>
    <w:multiLevelType w:val="multilevel"/>
    <w:tmpl w:val="B032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A7CDA"/>
    <w:multiLevelType w:val="multilevel"/>
    <w:tmpl w:val="0B66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D66D4"/>
    <w:multiLevelType w:val="multilevel"/>
    <w:tmpl w:val="20F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211E5"/>
    <w:multiLevelType w:val="hybridMultilevel"/>
    <w:tmpl w:val="77462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6B37D8"/>
    <w:multiLevelType w:val="hybridMultilevel"/>
    <w:tmpl w:val="3A0676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05C6891"/>
    <w:multiLevelType w:val="hybridMultilevel"/>
    <w:tmpl w:val="CDDC002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26044F2"/>
    <w:multiLevelType w:val="multilevel"/>
    <w:tmpl w:val="8C2E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70CAB"/>
    <w:multiLevelType w:val="hybridMultilevel"/>
    <w:tmpl w:val="D72E84F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DF4095"/>
    <w:multiLevelType w:val="hybridMultilevel"/>
    <w:tmpl w:val="4AA647A4"/>
    <w:lvl w:ilvl="0" w:tplc="2F32D7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74BF0DA8"/>
    <w:multiLevelType w:val="hybridMultilevel"/>
    <w:tmpl w:val="131C6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5746E4"/>
    <w:multiLevelType w:val="hybridMultilevel"/>
    <w:tmpl w:val="E1F2A6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75969F9"/>
    <w:multiLevelType w:val="hybridMultilevel"/>
    <w:tmpl w:val="930C9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010392"/>
    <w:multiLevelType w:val="hybridMultilevel"/>
    <w:tmpl w:val="2C4602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BA25460"/>
    <w:multiLevelType w:val="multilevel"/>
    <w:tmpl w:val="4EE0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A2BAF"/>
    <w:multiLevelType w:val="multilevel"/>
    <w:tmpl w:val="150E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29"/>
  </w:num>
  <w:num w:numId="8">
    <w:abstractNumId w:val="13"/>
  </w:num>
  <w:num w:numId="9">
    <w:abstractNumId w:val="30"/>
  </w:num>
  <w:num w:numId="10">
    <w:abstractNumId w:val="35"/>
  </w:num>
  <w:num w:numId="11">
    <w:abstractNumId w:val="34"/>
  </w:num>
  <w:num w:numId="12">
    <w:abstractNumId w:val="18"/>
  </w:num>
  <w:num w:numId="13">
    <w:abstractNumId w:val="4"/>
  </w:num>
  <w:num w:numId="14">
    <w:abstractNumId w:val="10"/>
  </w:num>
  <w:num w:numId="15">
    <w:abstractNumId w:val="9"/>
  </w:num>
  <w:num w:numId="16">
    <w:abstractNumId w:val="26"/>
  </w:num>
  <w:num w:numId="17">
    <w:abstractNumId w:val="12"/>
  </w:num>
  <w:num w:numId="18">
    <w:abstractNumId w:val="37"/>
  </w:num>
  <w:num w:numId="19">
    <w:abstractNumId w:val="24"/>
  </w:num>
  <w:num w:numId="20">
    <w:abstractNumId w:val="38"/>
  </w:num>
  <w:num w:numId="21">
    <w:abstractNumId w:val="28"/>
  </w:num>
  <w:num w:numId="22">
    <w:abstractNumId w:val="0"/>
  </w:num>
  <w:num w:numId="23">
    <w:abstractNumId w:val="6"/>
  </w:num>
  <w:num w:numId="24">
    <w:abstractNumId w:val="27"/>
  </w:num>
  <w:num w:numId="25">
    <w:abstractNumId w:val="36"/>
  </w:num>
  <w:num w:numId="26">
    <w:abstractNumId w:val="22"/>
  </w:num>
  <w:num w:numId="27">
    <w:abstractNumId w:val="32"/>
  </w:num>
  <w:num w:numId="28">
    <w:abstractNumId w:val="31"/>
  </w:num>
  <w:num w:numId="29">
    <w:abstractNumId w:val="15"/>
  </w:num>
  <w:num w:numId="30">
    <w:abstractNumId w:val="1"/>
  </w:num>
  <w:num w:numId="31">
    <w:abstractNumId w:val="2"/>
  </w:num>
  <w:num w:numId="32">
    <w:abstractNumId w:val="19"/>
  </w:num>
  <w:num w:numId="33">
    <w:abstractNumId w:val="33"/>
  </w:num>
  <w:num w:numId="34">
    <w:abstractNumId w:val="21"/>
  </w:num>
  <w:num w:numId="35">
    <w:abstractNumId w:val="3"/>
  </w:num>
  <w:num w:numId="36">
    <w:abstractNumId w:val="11"/>
  </w:num>
  <w:num w:numId="37">
    <w:abstractNumId w:val="25"/>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49"/>
    <w:rsid w:val="00002A30"/>
    <w:rsid w:val="000046F1"/>
    <w:rsid w:val="00011145"/>
    <w:rsid w:val="00033B66"/>
    <w:rsid w:val="000400CF"/>
    <w:rsid w:val="00040531"/>
    <w:rsid w:val="00044AD7"/>
    <w:rsid w:val="00044E38"/>
    <w:rsid w:val="000636DE"/>
    <w:rsid w:val="000676DC"/>
    <w:rsid w:val="000678E6"/>
    <w:rsid w:val="00070CB3"/>
    <w:rsid w:val="00073CCD"/>
    <w:rsid w:val="00073DDD"/>
    <w:rsid w:val="00082FA7"/>
    <w:rsid w:val="0008324F"/>
    <w:rsid w:val="00090212"/>
    <w:rsid w:val="00090A09"/>
    <w:rsid w:val="000933BD"/>
    <w:rsid w:val="00093B57"/>
    <w:rsid w:val="000977AF"/>
    <w:rsid w:val="000A778D"/>
    <w:rsid w:val="000B3A3B"/>
    <w:rsid w:val="000B5305"/>
    <w:rsid w:val="000C130B"/>
    <w:rsid w:val="000C3FF4"/>
    <w:rsid w:val="000D0F0F"/>
    <w:rsid w:val="000D532B"/>
    <w:rsid w:val="000E33D1"/>
    <w:rsid w:val="000E5F33"/>
    <w:rsid w:val="000E7E0E"/>
    <w:rsid w:val="000F3F48"/>
    <w:rsid w:val="000F7243"/>
    <w:rsid w:val="001000B2"/>
    <w:rsid w:val="00112B56"/>
    <w:rsid w:val="00116693"/>
    <w:rsid w:val="00117455"/>
    <w:rsid w:val="0012047E"/>
    <w:rsid w:val="00122A36"/>
    <w:rsid w:val="00122CD5"/>
    <w:rsid w:val="00137F39"/>
    <w:rsid w:val="00140187"/>
    <w:rsid w:val="001422F9"/>
    <w:rsid w:val="0014466F"/>
    <w:rsid w:val="00145E3C"/>
    <w:rsid w:val="00145F07"/>
    <w:rsid w:val="001472B9"/>
    <w:rsid w:val="001524B8"/>
    <w:rsid w:val="00154CAC"/>
    <w:rsid w:val="00155BFA"/>
    <w:rsid w:val="00156F73"/>
    <w:rsid w:val="00157854"/>
    <w:rsid w:val="001611D8"/>
    <w:rsid w:val="00166C38"/>
    <w:rsid w:val="001704F8"/>
    <w:rsid w:val="00170B35"/>
    <w:rsid w:val="00174BFE"/>
    <w:rsid w:val="001762A5"/>
    <w:rsid w:val="00176465"/>
    <w:rsid w:val="00176572"/>
    <w:rsid w:val="001812D7"/>
    <w:rsid w:val="00192115"/>
    <w:rsid w:val="00194F32"/>
    <w:rsid w:val="001953F4"/>
    <w:rsid w:val="00195523"/>
    <w:rsid w:val="001960DE"/>
    <w:rsid w:val="0019782A"/>
    <w:rsid w:val="001A14A1"/>
    <w:rsid w:val="001A3749"/>
    <w:rsid w:val="001A5937"/>
    <w:rsid w:val="001C21AD"/>
    <w:rsid w:val="001D6681"/>
    <w:rsid w:val="001E293D"/>
    <w:rsid w:val="001F233D"/>
    <w:rsid w:val="001F30F1"/>
    <w:rsid w:val="001F4DDE"/>
    <w:rsid w:val="00205308"/>
    <w:rsid w:val="0021384F"/>
    <w:rsid w:val="002178EE"/>
    <w:rsid w:val="00235292"/>
    <w:rsid w:val="00236A98"/>
    <w:rsid w:val="00240180"/>
    <w:rsid w:val="00243C58"/>
    <w:rsid w:val="0024424A"/>
    <w:rsid w:val="002536AF"/>
    <w:rsid w:val="00257F08"/>
    <w:rsid w:val="002607CF"/>
    <w:rsid w:val="00264735"/>
    <w:rsid w:val="00273D8C"/>
    <w:rsid w:val="00284EA1"/>
    <w:rsid w:val="002926E4"/>
    <w:rsid w:val="00293040"/>
    <w:rsid w:val="002A0507"/>
    <w:rsid w:val="002A18FC"/>
    <w:rsid w:val="002A7A6F"/>
    <w:rsid w:val="002B6A96"/>
    <w:rsid w:val="002D32C7"/>
    <w:rsid w:val="002D64E4"/>
    <w:rsid w:val="002D721E"/>
    <w:rsid w:val="002F0386"/>
    <w:rsid w:val="002F4D00"/>
    <w:rsid w:val="002F5C4E"/>
    <w:rsid w:val="00301A28"/>
    <w:rsid w:val="003054D7"/>
    <w:rsid w:val="00316E60"/>
    <w:rsid w:val="00320785"/>
    <w:rsid w:val="003211FF"/>
    <w:rsid w:val="00325346"/>
    <w:rsid w:val="00331F3E"/>
    <w:rsid w:val="00332670"/>
    <w:rsid w:val="0033273E"/>
    <w:rsid w:val="0033628A"/>
    <w:rsid w:val="003362D3"/>
    <w:rsid w:val="00340507"/>
    <w:rsid w:val="00343A76"/>
    <w:rsid w:val="00354F7A"/>
    <w:rsid w:val="00357FC9"/>
    <w:rsid w:val="00360222"/>
    <w:rsid w:val="00362F78"/>
    <w:rsid w:val="00366BD4"/>
    <w:rsid w:val="003704F5"/>
    <w:rsid w:val="00371639"/>
    <w:rsid w:val="00383BF1"/>
    <w:rsid w:val="0038688D"/>
    <w:rsid w:val="0039206E"/>
    <w:rsid w:val="003B09A2"/>
    <w:rsid w:val="003B3D51"/>
    <w:rsid w:val="003C0D69"/>
    <w:rsid w:val="003C0E8D"/>
    <w:rsid w:val="003C3A30"/>
    <w:rsid w:val="003C3A7D"/>
    <w:rsid w:val="003C3D9D"/>
    <w:rsid w:val="003C7CB7"/>
    <w:rsid w:val="003D3814"/>
    <w:rsid w:val="003D5534"/>
    <w:rsid w:val="003E0BCD"/>
    <w:rsid w:val="003E0EEF"/>
    <w:rsid w:val="003E36CC"/>
    <w:rsid w:val="003E3955"/>
    <w:rsid w:val="003F5A40"/>
    <w:rsid w:val="00402141"/>
    <w:rsid w:val="004053D0"/>
    <w:rsid w:val="00406997"/>
    <w:rsid w:val="00413440"/>
    <w:rsid w:val="00414E1A"/>
    <w:rsid w:val="004209EE"/>
    <w:rsid w:val="00426047"/>
    <w:rsid w:val="00430EBB"/>
    <w:rsid w:val="0043466B"/>
    <w:rsid w:val="004373B4"/>
    <w:rsid w:val="00440C49"/>
    <w:rsid w:val="00441874"/>
    <w:rsid w:val="00441D42"/>
    <w:rsid w:val="00446476"/>
    <w:rsid w:val="0044791C"/>
    <w:rsid w:val="00451447"/>
    <w:rsid w:val="00453C35"/>
    <w:rsid w:val="00455137"/>
    <w:rsid w:val="0045524C"/>
    <w:rsid w:val="00457258"/>
    <w:rsid w:val="004576C6"/>
    <w:rsid w:val="0045798A"/>
    <w:rsid w:val="004716A8"/>
    <w:rsid w:val="00473F5B"/>
    <w:rsid w:val="0047610A"/>
    <w:rsid w:val="00480499"/>
    <w:rsid w:val="00480A65"/>
    <w:rsid w:val="004837EA"/>
    <w:rsid w:val="00484286"/>
    <w:rsid w:val="004849DF"/>
    <w:rsid w:val="00485CED"/>
    <w:rsid w:val="004910FF"/>
    <w:rsid w:val="004940BD"/>
    <w:rsid w:val="004949D2"/>
    <w:rsid w:val="004A0242"/>
    <w:rsid w:val="004A4B54"/>
    <w:rsid w:val="004B0BB8"/>
    <w:rsid w:val="004B2EF3"/>
    <w:rsid w:val="004B3286"/>
    <w:rsid w:val="004B67F1"/>
    <w:rsid w:val="004C35CD"/>
    <w:rsid w:val="004C5AFD"/>
    <w:rsid w:val="004D0605"/>
    <w:rsid w:val="004D3922"/>
    <w:rsid w:val="004D4991"/>
    <w:rsid w:val="004D5E9B"/>
    <w:rsid w:val="004E45B1"/>
    <w:rsid w:val="004F6F1F"/>
    <w:rsid w:val="004F751D"/>
    <w:rsid w:val="004F76BF"/>
    <w:rsid w:val="005005C5"/>
    <w:rsid w:val="00502E34"/>
    <w:rsid w:val="005035F0"/>
    <w:rsid w:val="00505C19"/>
    <w:rsid w:val="00514A88"/>
    <w:rsid w:val="005209EA"/>
    <w:rsid w:val="005231D4"/>
    <w:rsid w:val="00524306"/>
    <w:rsid w:val="005270E5"/>
    <w:rsid w:val="00533492"/>
    <w:rsid w:val="00536E7C"/>
    <w:rsid w:val="00537BD2"/>
    <w:rsid w:val="00541257"/>
    <w:rsid w:val="00543348"/>
    <w:rsid w:val="00547854"/>
    <w:rsid w:val="00550663"/>
    <w:rsid w:val="00553D87"/>
    <w:rsid w:val="00554021"/>
    <w:rsid w:val="0055540F"/>
    <w:rsid w:val="00561F0D"/>
    <w:rsid w:val="00572032"/>
    <w:rsid w:val="005803FC"/>
    <w:rsid w:val="00580E1B"/>
    <w:rsid w:val="005817F4"/>
    <w:rsid w:val="005827AA"/>
    <w:rsid w:val="00583B98"/>
    <w:rsid w:val="00585C8B"/>
    <w:rsid w:val="00593412"/>
    <w:rsid w:val="0059597E"/>
    <w:rsid w:val="00597C59"/>
    <w:rsid w:val="00597D1E"/>
    <w:rsid w:val="005A0224"/>
    <w:rsid w:val="005A407A"/>
    <w:rsid w:val="005A504B"/>
    <w:rsid w:val="005A54D0"/>
    <w:rsid w:val="005B21F1"/>
    <w:rsid w:val="005B3B3D"/>
    <w:rsid w:val="005B4064"/>
    <w:rsid w:val="005B771A"/>
    <w:rsid w:val="005C4372"/>
    <w:rsid w:val="005C4631"/>
    <w:rsid w:val="005C517C"/>
    <w:rsid w:val="005C7803"/>
    <w:rsid w:val="005D08DC"/>
    <w:rsid w:val="005D3921"/>
    <w:rsid w:val="005D703E"/>
    <w:rsid w:val="005E03F8"/>
    <w:rsid w:val="005E369F"/>
    <w:rsid w:val="005E3861"/>
    <w:rsid w:val="005E6D60"/>
    <w:rsid w:val="005F19E2"/>
    <w:rsid w:val="005F7503"/>
    <w:rsid w:val="005F75F9"/>
    <w:rsid w:val="006055E3"/>
    <w:rsid w:val="00605C07"/>
    <w:rsid w:val="00616856"/>
    <w:rsid w:val="006225E8"/>
    <w:rsid w:val="00625E6C"/>
    <w:rsid w:val="00627DF3"/>
    <w:rsid w:val="00635DCC"/>
    <w:rsid w:val="00644072"/>
    <w:rsid w:val="006463CB"/>
    <w:rsid w:val="00651D95"/>
    <w:rsid w:val="0066212C"/>
    <w:rsid w:val="00662849"/>
    <w:rsid w:val="00664B11"/>
    <w:rsid w:val="00671E85"/>
    <w:rsid w:val="006729A8"/>
    <w:rsid w:val="00676933"/>
    <w:rsid w:val="00682274"/>
    <w:rsid w:val="00684953"/>
    <w:rsid w:val="00690C60"/>
    <w:rsid w:val="00690F84"/>
    <w:rsid w:val="006952DB"/>
    <w:rsid w:val="00697DAD"/>
    <w:rsid w:val="006A0E84"/>
    <w:rsid w:val="006A4642"/>
    <w:rsid w:val="006A473B"/>
    <w:rsid w:val="006A660F"/>
    <w:rsid w:val="006A7EBE"/>
    <w:rsid w:val="006B143E"/>
    <w:rsid w:val="006C0B34"/>
    <w:rsid w:val="006C26E7"/>
    <w:rsid w:val="006C2BF6"/>
    <w:rsid w:val="006D01D1"/>
    <w:rsid w:val="006D3F69"/>
    <w:rsid w:val="006D7A8C"/>
    <w:rsid w:val="006D7D6D"/>
    <w:rsid w:val="006E39DD"/>
    <w:rsid w:val="006F23D6"/>
    <w:rsid w:val="006F26BD"/>
    <w:rsid w:val="006F4089"/>
    <w:rsid w:val="006F5147"/>
    <w:rsid w:val="0070076C"/>
    <w:rsid w:val="007035CF"/>
    <w:rsid w:val="00703E34"/>
    <w:rsid w:val="007046A5"/>
    <w:rsid w:val="00717B78"/>
    <w:rsid w:val="00717D03"/>
    <w:rsid w:val="00720B7F"/>
    <w:rsid w:val="00725DA3"/>
    <w:rsid w:val="007303F5"/>
    <w:rsid w:val="0073658B"/>
    <w:rsid w:val="00737214"/>
    <w:rsid w:val="00740E88"/>
    <w:rsid w:val="00754E12"/>
    <w:rsid w:val="007660E2"/>
    <w:rsid w:val="00767899"/>
    <w:rsid w:val="0077285E"/>
    <w:rsid w:val="00775E51"/>
    <w:rsid w:val="00776D9D"/>
    <w:rsid w:val="00781CA8"/>
    <w:rsid w:val="00790C50"/>
    <w:rsid w:val="00795851"/>
    <w:rsid w:val="00797379"/>
    <w:rsid w:val="007A2DE6"/>
    <w:rsid w:val="007A7722"/>
    <w:rsid w:val="007B3CC5"/>
    <w:rsid w:val="007B5140"/>
    <w:rsid w:val="007C1B6A"/>
    <w:rsid w:val="007C1B87"/>
    <w:rsid w:val="007C224E"/>
    <w:rsid w:val="007E0A41"/>
    <w:rsid w:val="007F2B0D"/>
    <w:rsid w:val="008104FE"/>
    <w:rsid w:val="00810502"/>
    <w:rsid w:val="00815670"/>
    <w:rsid w:val="008206DE"/>
    <w:rsid w:val="00823124"/>
    <w:rsid w:val="008277A9"/>
    <w:rsid w:val="00832480"/>
    <w:rsid w:val="00832C77"/>
    <w:rsid w:val="0083502B"/>
    <w:rsid w:val="00837EF2"/>
    <w:rsid w:val="008410B7"/>
    <w:rsid w:val="00844B9A"/>
    <w:rsid w:val="0084730A"/>
    <w:rsid w:val="00857FA4"/>
    <w:rsid w:val="008626CD"/>
    <w:rsid w:val="00872D46"/>
    <w:rsid w:val="0087397F"/>
    <w:rsid w:val="00890685"/>
    <w:rsid w:val="00895A41"/>
    <w:rsid w:val="008A2CD6"/>
    <w:rsid w:val="008A55D4"/>
    <w:rsid w:val="008A5D28"/>
    <w:rsid w:val="008B7004"/>
    <w:rsid w:val="008C1335"/>
    <w:rsid w:val="008C22A3"/>
    <w:rsid w:val="008C2D91"/>
    <w:rsid w:val="008C6BEE"/>
    <w:rsid w:val="008D09B7"/>
    <w:rsid w:val="008D5912"/>
    <w:rsid w:val="008D6A74"/>
    <w:rsid w:val="008E3324"/>
    <w:rsid w:val="008E4856"/>
    <w:rsid w:val="008E6C2C"/>
    <w:rsid w:val="008E775B"/>
    <w:rsid w:val="008F1964"/>
    <w:rsid w:val="008F53AB"/>
    <w:rsid w:val="0090003C"/>
    <w:rsid w:val="009048A4"/>
    <w:rsid w:val="00906956"/>
    <w:rsid w:val="009078AA"/>
    <w:rsid w:val="00910C7D"/>
    <w:rsid w:val="0091143C"/>
    <w:rsid w:val="0091165C"/>
    <w:rsid w:val="0092204C"/>
    <w:rsid w:val="00923E09"/>
    <w:rsid w:val="00935935"/>
    <w:rsid w:val="00944004"/>
    <w:rsid w:val="009470A8"/>
    <w:rsid w:val="00952AEF"/>
    <w:rsid w:val="00952B82"/>
    <w:rsid w:val="00953E45"/>
    <w:rsid w:val="0095426A"/>
    <w:rsid w:val="00961DB1"/>
    <w:rsid w:val="009623AE"/>
    <w:rsid w:val="009708F5"/>
    <w:rsid w:val="00981668"/>
    <w:rsid w:val="00982B03"/>
    <w:rsid w:val="00991889"/>
    <w:rsid w:val="00992405"/>
    <w:rsid w:val="00994961"/>
    <w:rsid w:val="009A4BE9"/>
    <w:rsid w:val="009B212E"/>
    <w:rsid w:val="009B3F57"/>
    <w:rsid w:val="009B483B"/>
    <w:rsid w:val="009C4167"/>
    <w:rsid w:val="009D3C16"/>
    <w:rsid w:val="009E0B56"/>
    <w:rsid w:val="009E25B5"/>
    <w:rsid w:val="009E6EA3"/>
    <w:rsid w:val="009F07DB"/>
    <w:rsid w:val="009F4CFF"/>
    <w:rsid w:val="009F5246"/>
    <w:rsid w:val="00A0607E"/>
    <w:rsid w:val="00A27787"/>
    <w:rsid w:val="00A366A1"/>
    <w:rsid w:val="00A5798B"/>
    <w:rsid w:val="00A606AC"/>
    <w:rsid w:val="00A700E8"/>
    <w:rsid w:val="00A75716"/>
    <w:rsid w:val="00A8773F"/>
    <w:rsid w:val="00A87B92"/>
    <w:rsid w:val="00A925D7"/>
    <w:rsid w:val="00AA0FC9"/>
    <w:rsid w:val="00AB4BD1"/>
    <w:rsid w:val="00AB6F37"/>
    <w:rsid w:val="00AC4F12"/>
    <w:rsid w:val="00AC544E"/>
    <w:rsid w:val="00AD1FC3"/>
    <w:rsid w:val="00AD514D"/>
    <w:rsid w:val="00AD642A"/>
    <w:rsid w:val="00AD6DC3"/>
    <w:rsid w:val="00AE3550"/>
    <w:rsid w:val="00AF2389"/>
    <w:rsid w:val="00AF3273"/>
    <w:rsid w:val="00AF5BE1"/>
    <w:rsid w:val="00AF6859"/>
    <w:rsid w:val="00B17B49"/>
    <w:rsid w:val="00B21390"/>
    <w:rsid w:val="00B23CD7"/>
    <w:rsid w:val="00B275DC"/>
    <w:rsid w:val="00B376A6"/>
    <w:rsid w:val="00B426CE"/>
    <w:rsid w:val="00B43A08"/>
    <w:rsid w:val="00B44414"/>
    <w:rsid w:val="00B45F9D"/>
    <w:rsid w:val="00B510B6"/>
    <w:rsid w:val="00B51973"/>
    <w:rsid w:val="00B56587"/>
    <w:rsid w:val="00B56962"/>
    <w:rsid w:val="00B66E88"/>
    <w:rsid w:val="00B671B8"/>
    <w:rsid w:val="00B673F8"/>
    <w:rsid w:val="00B7511E"/>
    <w:rsid w:val="00B769B7"/>
    <w:rsid w:val="00B777B0"/>
    <w:rsid w:val="00B9212D"/>
    <w:rsid w:val="00BA033D"/>
    <w:rsid w:val="00BA2352"/>
    <w:rsid w:val="00BB274C"/>
    <w:rsid w:val="00BB332F"/>
    <w:rsid w:val="00BB4B84"/>
    <w:rsid w:val="00BC0B87"/>
    <w:rsid w:val="00BC36A4"/>
    <w:rsid w:val="00BD1332"/>
    <w:rsid w:val="00BD4BB2"/>
    <w:rsid w:val="00BE5A10"/>
    <w:rsid w:val="00BE74C7"/>
    <w:rsid w:val="00BF0030"/>
    <w:rsid w:val="00BF1338"/>
    <w:rsid w:val="00BF4E1F"/>
    <w:rsid w:val="00BF525F"/>
    <w:rsid w:val="00C028AB"/>
    <w:rsid w:val="00C04395"/>
    <w:rsid w:val="00C10443"/>
    <w:rsid w:val="00C11A3C"/>
    <w:rsid w:val="00C11F73"/>
    <w:rsid w:val="00C206D0"/>
    <w:rsid w:val="00C20E3D"/>
    <w:rsid w:val="00C22DE9"/>
    <w:rsid w:val="00C2306D"/>
    <w:rsid w:val="00C260B7"/>
    <w:rsid w:val="00C30FE8"/>
    <w:rsid w:val="00C344E7"/>
    <w:rsid w:val="00C358C6"/>
    <w:rsid w:val="00C372C0"/>
    <w:rsid w:val="00C37B8D"/>
    <w:rsid w:val="00C43056"/>
    <w:rsid w:val="00C570CD"/>
    <w:rsid w:val="00C624FD"/>
    <w:rsid w:val="00C771DC"/>
    <w:rsid w:val="00C82172"/>
    <w:rsid w:val="00C83C9F"/>
    <w:rsid w:val="00C85FB7"/>
    <w:rsid w:val="00C906EA"/>
    <w:rsid w:val="00C921EE"/>
    <w:rsid w:val="00CA106D"/>
    <w:rsid w:val="00CA120A"/>
    <w:rsid w:val="00CA2152"/>
    <w:rsid w:val="00CA24F7"/>
    <w:rsid w:val="00CA4E0C"/>
    <w:rsid w:val="00CA5DAA"/>
    <w:rsid w:val="00CA74D5"/>
    <w:rsid w:val="00CB5EA2"/>
    <w:rsid w:val="00CC0223"/>
    <w:rsid w:val="00CC1623"/>
    <w:rsid w:val="00CC3A26"/>
    <w:rsid w:val="00CC41C4"/>
    <w:rsid w:val="00CC6D88"/>
    <w:rsid w:val="00CC77C4"/>
    <w:rsid w:val="00CD466A"/>
    <w:rsid w:val="00CD4B7C"/>
    <w:rsid w:val="00CD6A9E"/>
    <w:rsid w:val="00CD775E"/>
    <w:rsid w:val="00CE14F2"/>
    <w:rsid w:val="00CE5AB5"/>
    <w:rsid w:val="00CE6362"/>
    <w:rsid w:val="00CF01D6"/>
    <w:rsid w:val="00CF3D1C"/>
    <w:rsid w:val="00CF7718"/>
    <w:rsid w:val="00D17931"/>
    <w:rsid w:val="00D21AC7"/>
    <w:rsid w:val="00D33F75"/>
    <w:rsid w:val="00D40E7F"/>
    <w:rsid w:val="00D41DC5"/>
    <w:rsid w:val="00D46992"/>
    <w:rsid w:val="00D54F96"/>
    <w:rsid w:val="00D575B5"/>
    <w:rsid w:val="00D61349"/>
    <w:rsid w:val="00D64F8C"/>
    <w:rsid w:val="00D65951"/>
    <w:rsid w:val="00D76160"/>
    <w:rsid w:val="00D90B10"/>
    <w:rsid w:val="00D91858"/>
    <w:rsid w:val="00DA53D2"/>
    <w:rsid w:val="00DC03EA"/>
    <w:rsid w:val="00DC4A7E"/>
    <w:rsid w:val="00DC70AA"/>
    <w:rsid w:val="00DC7124"/>
    <w:rsid w:val="00DD5BA2"/>
    <w:rsid w:val="00DE06CC"/>
    <w:rsid w:val="00DE3F42"/>
    <w:rsid w:val="00DF083A"/>
    <w:rsid w:val="00DF1A21"/>
    <w:rsid w:val="00DF5068"/>
    <w:rsid w:val="00DF5793"/>
    <w:rsid w:val="00E043A8"/>
    <w:rsid w:val="00E045BC"/>
    <w:rsid w:val="00E04DBD"/>
    <w:rsid w:val="00E053BB"/>
    <w:rsid w:val="00E100A0"/>
    <w:rsid w:val="00E116C6"/>
    <w:rsid w:val="00E12F2E"/>
    <w:rsid w:val="00E16FB9"/>
    <w:rsid w:val="00E201A0"/>
    <w:rsid w:val="00E217DF"/>
    <w:rsid w:val="00E21ABC"/>
    <w:rsid w:val="00E27D5C"/>
    <w:rsid w:val="00E34EA5"/>
    <w:rsid w:val="00E424DE"/>
    <w:rsid w:val="00E644AA"/>
    <w:rsid w:val="00E65D5B"/>
    <w:rsid w:val="00EA03E8"/>
    <w:rsid w:val="00EA058B"/>
    <w:rsid w:val="00EA2C6C"/>
    <w:rsid w:val="00EA74AA"/>
    <w:rsid w:val="00EA7BD5"/>
    <w:rsid w:val="00EB324B"/>
    <w:rsid w:val="00EC5EEB"/>
    <w:rsid w:val="00ED6147"/>
    <w:rsid w:val="00ED77C3"/>
    <w:rsid w:val="00EE2977"/>
    <w:rsid w:val="00EF0167"/>
    <w:rsid w:val="00EF178F"/>
    <w:rsid w:val="00EF2911"/>
    <w:rsid w:val="00EF7CC9"/>
    <w:rsid w:val="00F02E1B"/>
    <w:rsid w:val="00F03389"/>
    <w:rsid w:val="00F04CCF"/>
    <w:rsid w:val="00F05422"/>
    <w:rsid w:val="00F06791"/>
    <w:rsid w:val="00F261AB"/>
    <w:rsid w:val="00F31A79"/>
    <w:rsid w:val="00F33EBC"/>
    <w:rsid w:val="00F37252"/>
    <w:rsid w:val="00F4008E"/>
    <w:rsid w:val="00F461C6"/>
    <w:rsid w:val="00F52882"/>
    <w:rsid w:val="00F52C3F"/>
    <w:rsid w:val="00F56AC8"/>
    <w:rsid w:val="00F62B3A"/>
    <w:rsid w:val="00F63C40"/>
    <w:rsid w:val="00F63FD7"/>
    <w:rsid w:val="00F66D14"/>
    <w:rsid w:val="00F67E64"/>
    <w:rsid w:val="00F816C9"/>
    <w:rsid w:val="00F81BF1"/>
    <w:rsid w:val="00F83449"/>
    <w:rsid w:val="00F87D47"/>
    <w:rsid w:val="00F91BD4"/>
    <w:rsid w:val="00F93213"/>
    <w:rsid w:val="00F93787"/>
    <w:rsid w:val="00FA22BC"/>
    <w:rsid w:val="00FA39B1"/>
    <w:rsid w:val="00FA671B"/>
    <w:rsid w:val="00FA6ACD"/>
    <w:rsid w:val="00FB1FEA"/>
    <w:rsid w:val="00FB2401"/>
    <w:rsid w:val="00FB4BAC"/>
    <w:rsid w:val="00FB7D32"/>
    <w:rsid w:val="00FC1726"/>
    <w:rsid w:val="00FC2ECA"/>
    <w:rsid w:val="00FD0722"/>
    <w:rsid w:val="00FD2CB4"/>
    <w:rsid w:val="00FD6C46"/>
    <w:rsid w:val="00FD7912"/>
    <w:rsid w:val="00FE01F8"/>
    <w:rsid w:val="00FE081C"/>
    <w:rsid w:val="00FE0B69"/>
    <w:rsid w:val="00FE0D58"/>
    <w:rsid w:val="00FE4B7A"/>
    <w:rsid w:val="00FE5B5E"/>
    <w:rsid w:val="00FF3908"/>
    <w:rsid w:val="00FF59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984F"/>
  <w15:docId w15:val="{7A2BA562-79E2-4A97-83EE-2020B7E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F9D"/>
    <w:pPr>
      <w:keepNext/>
      <w:keepLines/>
      <w:spacing w:before="200" w:after="0"/>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D61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4D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4D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4D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4D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4D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4D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2849"/>
    <w:pPr>
      <w:ind w:left="720"/>
      <w:contextualSpacing/>
    </w:pPr>
  </w:style>
  <w:style w:type="paragraph" w:styleId="FootnoteText">
    <w:name w:val="footnote text"/>
    <w:basedOn w:val="Normal"/>
    <w:link w:val="FootnoteTextChar"/>
    <w:rsid w:val="0066284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62849"/>
    <w:rPr>
      <w:rFonts w:ascii="Times New Roman" w:eastAsia="Times New Roman" w:hAnsi="Times New Roman" w:cs="Times New Roman"/>
      <w:sz w:val="20"/>
      <w:szCs w:val="20"/>
      <w:lang w:val="en-GB"/>
    </w:rPr>
  </w:style>
  <w:style w:type="character" w:styleId="FootnoteReference">
    <w:name w:val="footnote reference"/>
    <w:rsid w:val="00662849"/>
    <w:rPr>
      <w:vertAlign w:val="superscript"/>
    </w:rPr>
  </w:style>
  <w:style w:type="table" w:styleId="LightShading">
    <w:name w:val="Light Shading"/>
    <w:basedOn w:val="TableNormal"/>
    <w:uiPriority w:val="60"/>
    <w:rsid w:val="00CE14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B45F9D"/>
    <w:rPr>
      <w:rFonts w:ascii="Times New Roman" w:eastAsiaTheme="majorEastAsia" w:hAnsi="Times New Roman" w:cs="Times New Roman"/>
      <w:b/>
      <w:bCs/>
      <w:color w:val="4F81BD" w:themeColor="accent1"/>
      <w:sz w:val="24"/>
      <w:szCs w:val="24"/>
    </w:rPr>
  </w:style>
  <w:style w:type="paragraph" w:styleId="BalloonText">
    <w:name w:val="Balloon Text"/>
    <w:basedOn w:val="Normal"/>
    <w:link w:val="BalloonTextChar"/>
    <w:uiPriority w:val="99"/>
    <w:semiHidden/>
    <w:unhideWhenUsed/>
    <w:rsid w:val="00F9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13"/>
    <w:rPr>
      <w:rFonts w:ascii="Tahoma" w:hAnsi="Tahoma" w:cs="Tahoma"/>
      <w:sz w:val="16"/>
      <w:szCs w:val="16"/>
    </w:rPr>
  </w:style>
  <w:style w:type="character" w:customStyle="1" w:styleId="Heading3Char">
    <w:name w:val="Heading 3 Char"/>
    <w:basedOn w:val="DefaultParagraphFont"/>
    <w:link w:val="Heading3"/>
    <w:uiPriority w:val="9"/>
    <w:rsid w:val="00D61349"/>
    <w:rPr>
      <w:rFonts w:asciiTheme="majorHAnsi" w:eastAsiaTheme="majorEastAsia" w:hAnsiTheme="majorHAnsi" w:cstheme="majorBidi"/>
      <w:b/>
      <w:bCs/>
      <w:color w:val="4F81BD" w:themeColor="accent1"/>
    </w:rPr>
  </w:style>
  <w:style w:type="character" w:styleId="EndnoteReference">
    <w:name w:val="endnote reference"/>
    <w:uiPriority w:val="99"/>
    <w:semiHidden/>
    <w:rsid w:val="00D61349"/>
    <w:rPr>
      <w:vertAlign w:val="superscript"/>
    </w:rPr>
  </w:style>
  <w:style w:type="paragraph" w:styleId="NormalWeb">
    <w:name w:val="Normal (Web)"/>
    <w:basedOn w:val="Normal"/>
    <w:uiPriority w:val="99"/>
    <w:unhideWhenUsed/>
    <w:rsid w:val="00AF6859"/>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customStyle="1" w:styleId="apple-style-span">
    <w:name w:val="apple-style-span"/>
    <w:basedOn w:val="DefaultParagraphFont"/>
    <w:rsid w:val="00541257"/>
  </w:style>
  <w:style w:type="paragraph" w:styleId="Caption">
    <w:name w:val="caption"/>
    <w:basedOn w:val="Normal"/>
    <w:next w:val="Normal"/>
    <w:autoRedefine/>
    <w:qFormat/>
    <w:rsid w:val="005817F4"/>
    <w:pPr>
      <w:pageBreakBefore/>
      <w:spacing w:after="0" w:line="240" w:lineRule="auto"/>
      <w:ind w:right="3402"/>
    </w:pPr>
    <w:rPr>
      <w:rFonts w:ascii="Times New Roman" w:eastAsia="Times New Roman" w:hAnsi="Times New Roman" w:cs="Times New Roman"/>
      <w:bCs/>
      <w:sz w:val="24"/>
      <w:szCs w:val="24"/>
      <w:lang w:val="en-US"/>
    </w:rPr>
  </w:style>
  <w:style w:type="character" w:styleId="Hyperlink">
    <w:name w:val="Hyperlink"/>
    <w:uiPriority w:val="99"/>
    <w:rsid w:val="005231D4"/>
    <w:rPr>
      <w:color w:val="0000FF"/>
      <w:u w:val="single"/>
    </w:rPr>
  </w:style>
  <w:style w:type="character" w:styleId="PlaceholderText">
    <w:name w:val="Placeholder Text"/>
    <w:basedOn w:val="DefaultParagraphFont"/>
    <w:uiPriority w:val="99"/>
    <w:semiHidden/>
    <w:rsid w:val="000046F1"/>
    <w:rPr>
      <w:color w:val="808080"/>
    </w:rPr>
  </w:style>
  <w:style w:type="paragraph" w:styleId="Header">
    <w:name w:val="header"/>
    <w:basedOn w:val="Normal"/>
    <w:link w:val="HeaderChar"/>
    <w:uiPriority w:val="99"/>
    <w:unhideWhenUsed/>
    <w:rsid w:val="00DF5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93"/>
  </w:style>
  <w:style w:type="paragraph" w:styleId="Footer">
    <w:name w:val="footer"/>
    <w:basedOn w:val="Normal"/>
    <w:link w:val="FooterChar"/>
    <w:uiPriority w:val="99"/>
    <w:unhideWhenUsed/>
    <w:rsid w:val="00DF5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93"/>
  </w:style>
  <w:style w:type="character" w:styleId="CommentReference">
    <w:name w:val="annotation reference"/>
    <w:basedOn w:val="DefaultParagraphFont"/>
    <w:uiPriority w:val="99"/>
    <w:semiHidden/>
    <w:unhideWhenUsed/>
    <w:rsid w:val="00C624FD"/>
    <w:rPr>
      <w:sz w:val="16"/>
      <w:szCs w:val="16"/>
    </w:rPr>
  </w:style>
  <w:style w:type="paragraph" w:styleId="CommentText">
    <w:name w:val="annotation text"/>
    <w:basedOn w:val="Normal"/>
    <w:link w:val="CommentTextChar"/>
    <w:uiPriority w:val="99"/>
    <w:semiHidden/>
    <w:unhideWhenUsed/>
    <w:rsid w:val="00C624FD"/>
    <w:pPr>
      <w:spacing w:line="240" w:lineRule="auto"/>
    </w:pPr>
    <w:rPr>
      <w:sz w:val="20"/>
      <w:szCs w:val="20"/>
    </w:rPr>
  </w:style>
  <w:style w:type="character" w:customStyle="1" w:styleId="CommentTextChar">
    <w:name w:val="Comment Text Char"/>
    <w:basedOn w:val="DefaultParagraphFont"/>
    <w:link w:val="CommentText"/>
    <w:uiPriority w:val="99"/>
    <w:semiHidden/>
    <w:rsid w:val="00C624FD"/>
    <w:rPr>
      <w:sz w:val="20"/>
      <w:szCs w:val="20"/>
    </w:rPr>
  </w:style>
  <w:style w:type="paragraph" w:styleId="CommentSubject">
    <w:name w:val="annotation subject"/>
    <w:basedOn w:val="CommentText"/>
    <w:next w:val="CommentText"/>
    <w:link w:val="CommentSubjectChar"/>
    <w:uiPriority w:val="99"/>
    <w:semiHidden/>
    <w:unhideWhenUsed/>
    <w:rsid w:val="00C624FD"/>
    <w:rPr>
      <w:b/>
      <w:bCs/>
    </w:rPr>
  </w:style>
  <w:style w:type="character" w:customStyle="1" w:styleId="CommentSubjectChar">
    <w:name w:val="Comment Subject Char"/>
    <w:basedOn w:val="CommentTextChar"/>
    <w:link w:val="CommentSubject"/>
    <w:uiPriority w:val="99"/>
    <w:semiHidden/>
    <w:rsid w:val="00C624FD"/>
    <w:rPr>
      <w:b/>
      <w:bCs/>
      <w:sz w:val="20"/>
      <w:szCs w:val="20"/>
    </w:rPr>
  </w:style>
  <w:style w:type="table" w:styleId="TableClassic1">
    <w:name w:val="Table Classic 1"/>
    <w:basedOn w:val="TableNormal"/>
    <w:rsid w:val="001F4DDE"/>
    <w:pPr>
      <w:spacing w:after="0" w:line="240" w:lineRule="auto"/>
    </w:pPr>
    <w:rPr>
      <w:rFonts w:ascii="Times New Roman" w:eastAsia="Times New Roman" w:hAnsi="Times New Roman" w:cs="Times New Roman"/>
      <w:sz w:val="20"/>
      <w:szCs w:val="20"/>
      <w:lang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1F4D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F4D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F4D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F4D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4D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4DDE"/>
    <w:rPr>
      <w:rFonts w:asciiTheme="majorHAnsi" w:eastAsiaTheme="majorEastAsia" w:hAnsiTheme="majorHAnsi" w:cstheme="majorBidi"/>
      <w:i/>
      <w:iCs/>
      <w:color w:val="404040" w:themeColor="text1" w:themeTint="BF"/>
      <w:sz w:val="20"/>
      <w:szCs w:val="20"/>
    </w:rPr>
  </w:style>
  <w:style w:type="paragraph" w:customStyle="1" w:styleId="Default">
    <w:name w:val="Default"/>
    <w:rsid w:val="001F4DDE"/>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paragraph" w:customStyle="1" w:styleId="MTDisplayEquation">
    <w:name w:val="MTDisplayEquation"/>
    <w:basedOn w:val="Normal"/>
    <w:next w:val="Normal"/>
    <w:rsid w:val="001F4DDE"/>
    <w:pPr>
      <w:tabs>
        <w:tab w:val="center" w:pos="4320"/>
        <w:tab w:val="right" w:pos="8640"/>
      </w:tabs>
      <w:spacing w:after="0" w:line="360" w:lineRule="auto"/>
      <w:jc w:val="both"/>
    </w:pPr>
    <w:rPr>
      <w:rFonts w:ascii="Times New Roman" w:eastAsia="Times New Roman" w:hAnsi="Times New Roman" w:cs="Times New Roman"/>
      <w:color w:val="000080"/>
      <w:sz w:val="24"/>
      <w:szCs w:val="24"/>
      <w:lang w:eastAsia="en-GB"/>
    </w:rPr>
  </w:style>
  <w:style w:type="paragraph" w:styleId="TOCHeading">
    <w:name w:val="TOC Heading"/>
    <w:basedOn w:val="Heading1"/>
    <w:next w:val="Normal"/>
    <w:link w:val="TOCHeadingChar"/>
    <w:uiPriority w:val="39"/>
    <w:unhideWhenUsed/>
    <w:qFormat/>
    <w:rsid w:val="001F4DDE"/>
    <w:pPr>
      <w:pageBreakBefore/>
      <w:outlineLvl w:val="9"/>
    </w:pPr>
    <w:rPr>
      <w:rFonts w:ascii="Times New Roman" w:hAnsi="Times New Roman" w:cs="Times New Roman"/>
      <w:b w:val="0"/>
      <w:lang w:val="en-US" w:eastAsia="ja-JP"/>
    </w:rPr>
  </w:style>
  <w:style w:type="character" w:customStyle="1" w:styleId="TOCHeadingChar">
    <w:name w:val="TOC Heading Char"/>
    <w:link w:val="TOCHeading"/>
    <w:uiPriority w:val="39"/>
    <w:rsid w:val="001F4DDE"/>
    <w:rPr>
      <w:rFonts w:ascii="Times New Roman" w:eastAsiaTheme="majorEastAsia" w:hAnsi="Times New Roman" w:cs="Times New Roman"/>
      <w:bCs/>
      <w:color w:val="365F91" w:themeColor="accent1" w:themeShade="BF"/>
      <w:sz w:val="28"/>
      <w:szCs w:val="28"/>
      <w:lang w:val="en-US" w:eastAsia="ja-JP"/>
    </w:rPr>
  </w:style>
  <w:style w:type="paragraph" w:styleId="TOC1">
    <w:name w:val="toc 1"/>
    <w:basedOn w:val="Normal"/>
    <w:next w:val="Normal"/>
    <w:autoRedefine/>
    <w:uiPriority w:val="39"/>
    <w:unhideWhenUsed/>
    <w:rsid w:val="001F4DDE"/>
    <w:pPr>
      <w:spacing w:after="100"/>
    </w:pPr>
    <w:rPr>
      <w:rFonts w:ascii="Calibri" w:eastAsia="Calibri" w:hAnsi="Calibri" w:cs="Times New Roman"/>
    </w:rPr>
  </w:style>
  <w:style w:type="paragraph" w:styleId="TOC2">
    <w:name w:val="toc 2"/>
    <w:basedOn w:val="Normal"/>
    <w:next w:val="Normal"/>
    <w:autoRedefine/>
    <w:uiPriority w:val="39"/>
    <w:unhideWhenUsed/>
    <w:rsid w:val="001F4DDE"/>
    <w:pPr>
      <w:spacing w:after="100"/>
      <w:ind w:left="220"/>
    </w:pPr>
    <w:rPr>
      <w:rFonts w:ascii="Calibri" w:eastAsia="Calibri" w:hAnsi="Calibri" w:cs="Times New Roman"/>
    </w:rPr>
  </w:style>
  <w:style w:type="character" w:customStyle="1" w:styleId="apple-converted-space">
    <w:name w:val="apple-converted-space"/>
    <w:basedOn w:val="DefaultParagraphFont"/>
    <w:rsid w:val="001F4DDE"/>
  </w:style>
  <w:style w:type="paragraph" w:styleId="TableofFigures">
    <w:name w:val="table of figures"/>
    <w:basedOn w:val="Normal"/>
    <w:next w:val="Normal"/>
    <w:uiPriority w:val="99"/>
    <w:unhideWhenUsed/>
    <w:rsid w:val="001F4DDE"/>
    <w:pPr>
      <w:spacing w:after="0"/>
    </w:pPr>
    <w:rPr>
      <w:rFonts w:ascii="Calibri" w:eastAsia="Calibri" w:hAnsi="Calibri" w:cs="Times New Roman"/>
    </w:rPr>
  </w:style>
  <w:style w:type="paragraph" w:styleId="TOC3">
    <w:name w:val="toc 3"/>
    <w:basedOn w:val="Normal"/>
    <w:next w:val="Normal"/>
    <w:autoRedefine/>
    <w:uiPriority w:val="39"/>
    <w:unhideWhenUsed/>
    <w:rsid w:val="001F4DDE"/>
    <w:pPr>
      <w:spacing w:after="100"/>
      <w:ind w:left="440"/>
    </w:pPr>
    <w:rPr>
      <w:rFonts w:ascii="Calibri" w:eastAsia="Calibri" w:hAnsi="Calibri" w:cs="Times New Roman"/>
    </w:rPr>
  </w:style>
  <w:style w:type="character" w:customStyle="1" w:styleId="citationjournal">
    <w:name w:val="citation journal"/>
    <w:basedOn w:val="DefaultParagraphFont"/>
    <w:rsid w:val="001F4DDE"/>
  </w:style>
  <w:style w:type="character" w:customStyle="1" w:styleId="z3988">
    <w:name w:val="z3988"/>
    <w:basedOn w:val="DefaultParagraphFont"/>
    <w:rsid w:val="001F4DDE"/>
  </w:style>
  <w:style w:type="character" w:customStyle="1" w:styleId="searchword">
    <w:name w:val="searchword"/>
    <w:rsid w:val="001F4DDE"/>
    <w:rPr>
      <w:shd w:val="clear" w:color="auto" w:fill="FFFF00"/>
    </w:rPr>
  </w:style>
  <w:style w:type="character" w:styleId="Strong">
    <w:name w:val="Strong"/>
    <w:qFormat/>
    <w:rsid w:val="001F4DDE"/>
    <w:rPr>
      <w:b/>
      <w:bCs/>
    </w:rPr>
  </w:style>
  <w:style w:type="paragraph" w:styleId="EndnoteText">
    <w:name w:val="endnote text"/>
    <w:basedOn w:val="Normal"/>
    <w:link w:val="EndnoteTextChar"/>
    <w:uiPriority w:val="99"/>
    <w:rsid w:val="001F4DD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1F4DDE"/>
    <w:rPr>
      <w:rFonts w:ascii="Times New Roman" w:eastAsia="Times New Roman" w:hAnsi="Times New Roman" w:cs="Times New Roman"/>
      <w:sz w:val="20"/>
      <w:szCs w:val="20"/>
      <w:lang w:val="en-US"/>
    </w:rPr>
  </w:style>
  <w:style w:type="character" w:customStyle="1" w:styleId="text1">
    <w:name w:val="text1"/>
    <w:rsid w:val="001F4DDE"/>
    <w:rPr>
      <w:rFonts w:ascii="Arial" w:hAnsi="Arial" w:cs="Arial" w:hint="default"/>
      <w:b w:val="0"/>
      <w:bCs w:val="0"/>
      <w:i w:val="0"/>
      <w:iCs w:val="0"/>
      <w:color w:val="5C5C5C"/>
      <w:sz w:val="20"/>
      <w:szCs w:val="20"/>
    </w:rPr>
  </w:style>
  <w:style w:type="character" w:customStyle="1" w:styleId="leveltitle1">
    <w:name w:val="leveltitle1"/>
    <w:rsid w:val="001F4DDE"/>
    <w:rPr>
      <w:b w:val="0"/>
      <w:bCs w:val="0"/>
      <w:i w:val="0"/>
      <w:iCs w:val="0"/>
      <w:color w:val="5C5C5C"/>
      <w:sz w:val="29"/>
      <w:szCs w:val="29"/>
    </w:rPr>
  </w:style>
  <w:style w:type="character" w:customStyle="1" w:styleId="levelsubtitle1">
    <w:name w:val="levelsubtitle1"/>
    <w:rsid w:val="001F4DDE"/>
    <w:rPr>
      <w:b w:val="0"/>
      <w:bCs w:val="0"/>
      <w:i w:val="0"/>
      <w:iCs w:val="0"/>
      <w:color w:val="5C5C5C"/>
      <w:sz w:val="24"/>
      <w:szCs w:val="24"/>
    </w:rPr>
  </w:style>
  <w:style w:type="character" w:customStyle="1" w:styleId="contentbold1">
    <w:name w:val="contentbold1"/>
    <w:rsid w:val="001F4DDE"/>
    <w:rPr>
      <w:b/>
      <w:bCs/>
      <w:i w:val="0"/>
      <w:iCs w:val="0"/>
      <w:color w:val="5C5C5C"/>
      <w:sz w:val="20"/>
      <w:szCs w:val="20"/>
    </w:rPr>
  </w:style>
  <w:style w:type="character" w:customStyle="1" w:styleId="breadcrum1">
    <w:name w:val="breadcrum1"/>
    <w:rsid w:val="001F4DDE"/>
    <w:rPr>
      <w:rFonts w:ascii="Arial" w:hAnsi="Arial" w:cs="Arial" w:hint="default"/>
      <w:b w:val="0"/>
      <w:bCs w:val="0"/>
      <w:strike w:val="0"/>
      <w:dstrike w:val="0"/>
      <w:color w:val="999999"/>
      <w:sz w:val="17"/>
      <w:szCs w:val="17"/>
      <w:u w:val="none"/>
      <w:effect w:val="none"/>
    </w:rPr>
  </w:style>
  <w:style w:type="character" w:customStyle="1" w:styleId="levelsectiontitle1">
    <w:name w:val="levelsectiontitle1"/>
    <w:rsid w:val="001F4DDE"/>
    <w:rPr>
      <w:b/>
      <w:bCs/>
      <w:i w:val="0"/>
      <w:iCs w:val="0"/>
      <w:color w:val="5C5C5C"/>
      <w:sz w:val="21"/>
      <w:szCs w:val="21"/>
    </w:rPr>
  </w:style>
  <w:style w:type="table" w:styleId="TableClassic3">
    <w:name w:val="Table Classic 3"/>
    <w:basedOn w:val="TableNormal"/>
    <w:rsid w:val="001F4DDE"/>
    <w:pPr>
      <w:spacing w:after="0" w:line="240" w:lineRule="auto"/>
    </w:pPr>
    <w:rPr>
      <w:rFonts w:ascii="Times New Roman" w:eastAsia="Times New Roman" w:hAnsi="Times New Roman" w:cs="Times New Roman"/>
      <w:color w:val="000080"/>
      <w:sz w:val="20"/>
      <w:szCs w:val="20"/>
      <w:lang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1F4DDE"/>
    <w:pPr>
      <w:spacing w:after="0" w:line="240" w:lineRule="auto"/>
    </w:pPr>
    <w:rPr>
      <w:rFonts w:ascii="Times New Roman" w:eastAsia="Times New Roman" w:hAnsi="Times New Roman" w:cs="Times New Roman"/>
      <w:sz w:val="20"/>
      <w:szCs w:val="20"/>
      <w:lang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semiHidden/>
    <w:rsid w:val="001F4DDE"/>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semiHidden/>
    <w:rsid w:val="001F4DDE"/>
    <w:rPr>
      <w:rFonts w:ascii="Times New Roman" w:eastAsia="Times New Roman" w:hAnsi="Times New Roman" w:cs="Times New Roman"/>
      <w:sz w:val="24"/>
      <w:szCs w:val="24"/>
      <w:lang w:val="en-GB" w:eastAsia="en-GB"/>
    </w:rPr>
  </w:style>
  <w:style w:type="character" w:customStyle="1" w:styleId="editsection">
    <w:name w:val="editsection"/>
    <w:basedOn w:val="DefaultParagraphFont"/>
    <w:rsid w:val="001F4DDE"/>
  </w:style>
  <w:style w:type="character" w:customStyle="1" w:styleId="mw-headline">
    <w:name w:val="mw-headline"/>
    <w:basedOn w:val="DefaultParagraphFont"/>
    <w:rsid w:val="001F4DDE"/>
  </w:style>
  <w:style w:type="paragraph" w:customStyle="1" w:styleId="pbody">
    <w:name w:val="pbody"/>
    <w:basedOn w:val="Normal"/>
    <w:rsid w:val="001F4D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1F4DDE"/>
    <w:rPr>
      <w:i/>
      <w:iCs/>
    </w:rPr>
  </w:style>
  <w:style w:type="paragraph" w:customStyle="1" w:styleId="pequation">
    <w:name w:val="pequation"/>
    <w:basedOn w:val="Normal"/>
    <w:rsid w:val="001F4D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1">
    <w:name w:val="Normal1"/>
    <w:uiPriority w:val="99"/>
    <w:rsid w:val="001F4DDE"/>
    <w:rPr>
      <w:rFonts w:asci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627">
      <w:bodyDiv w:val="1"/>
      <w:marLeft w:val="0"/>
      <w:marRight w:val="0"/>
      <w:marTop w:val="0"/>
      <w:marBottom w:val="0"/>
      <w:divBdr>
        <w:top w:val="none" w:sz="0" w:space="0" w:color="auto"/>
        <w:left w:val="none" w:sz="0" w:space="0" w:color="auto"/>
        <w:bottom w:val="none" w:sz="0" w:space="0" w:color="auto"/>
        <w:right w:val="none" w:sz="0" w:space="0" w:color="auto"/>
      </w:divBdr>
    </w:div>
    <w:div w:id="53508879">
      <w:bodyDiv w:val="1"/>
      <w:marLeft w:val="0"/>
      <w:marRight w:val="0"/>
      <w:marTop w:val="0"/>
      <w:marBottom w:val="0"/>
      <w:divBdr>
        <w:top w:val="none" w:sz="0" w:space="0" w:color="auto"/>
        <w:left w:val="none" w:sz="0" w:space="0" w:color="auto"/>
        <w:bottom w:val="none" w:sz="0" w:space="0" w:color="auto"/>
        <w:right w:val="none" w:sz="0" w:space="0" w:color="auto"/>
      </w:divBdr>
    </w:div>
    <w:div w:id="131480736">
      <w:bodyDiv w:val="1"/>
      <w:marLeft w:val="0"/>
      <w:marRight w:val="0"/>
      <w:marTop w:val="0"/>
      <w:marBottom w:val="0"/>
      <w:divBdr>
        <w:top w:val="none" w:sz="0" w:space="0" w:color="auto"/>
        <w:left w:val="none" w:sz="0" w:space="0" w:color="auto"/>
        <w:bottom w:val="none" w:sz="0" w:space="0" w:color="auto"/>
        <w:right w:val="none" w:sz="0" w:space="0" w:color="auto"/>
      </w:divBdr>
    </w:div>
    <w:div w:id="242765747">
      <w:bodyDiv w:val="1"/>
      <w:marLeft w:val="0"/>
      <w:marRight w:val="0"/>
      <w:marTop w:val="0"/>
      <w:marBottom w:val="0"/>
      <w:divBdr>
        <w:top w:val="none" w:sz="0" w:space="0" w:color="auto"/>
        <w:left w:val="none" w:sz="0" w:space="0" w:color="auto"/>
        <w:bottom w:val="none" w:sz="0" w:space="0" w:color="auto"/>
        <w:right w:val="none" w:sz="0" w:space="0" w:color="auto"/>
      </w:divBdr>
    </w:div>
    <w:div w:id="264727101">
      <w:bodyDiv w:val="1"/>
      <w:marLeft w:val="0"/>
      <w:marRight w:val="0"/>
      <w:marTop w:val="0"/>
      <w:marBottom w:val="0"/>
      <w:divBdr>
        <w:top w:val="none" w:sz="0" w:space="0" w:color="auto"/>
        <w:left w:val="none" w:sz="0" w:space="0" w:color="auto"/>
        <w:bottom w:val="none" w:sz="0" w:space="0" w:color="auto"/>
        <w:right w:val="none" w:sz="0" w:space="0" w:color="auto"/>
      </w:divBdr>
    </w:div>
    <w:div w:id="429080792">
      <w:bodyDiv w:val="1"/>
      <w:marLeft w:val="0"/>
      <w:marRight w:val="0"/>
      <w:marTop w:val="0"/>
      <w:marBottom w:val="0"/>
      <w:divBdr>
        <w:top w:val="none" w:sz="0" w:space="0" w:color="auto"/>
        <w:left w:val="none" w:sz="0" w:space="0" w:color="auto"/>
        <w:bottom w:val="none" w:sz="0" w:space="0" w:color="auto"/>
        <w:right w:val="none" w:sz="0" w:space="0" w:color="auto"/>
      </w:divBdr>
    </w:div>
    <w:div w:id="463890060">
      <w:bodyDiv w:val="1"/>
      <w:marLeft w:val="0"/>
      <w:marRight w:val="0"/>
      <w:marTop w:val="0"/>
      <w:marBottom w:val="0"/>
      <w:divBdr>
        <w:top w:val="none" w:sz="0" w:space="0" w:color="auto"/>
        <w:left w:val="none" w:sz="0" w:space="0" w:color="auto"/>
        <w:bottom w:val="none" w:sz="0" w:space="0" w:color="auto"/>
        <w:right w:val="none" w:sz="0" w:space="0" w:color="auto"/>
      </w:divBdr>
    </w:div>
    <w:div w:id="508259619">
      <w:bodyDiv w:val="1"/>
      <w:marLeft w:val="0"/>
      <w:marRight w:val="0"/>
      <w:marTop w:val="0"/>
      <w:marBottom w:val="0"/>
      <w:divBdr>
        <w:top w:val="none" w:sz="0" w:space="0" w:color="auto"/>
        <w:left w:val="none" w:sz="0" w:space="0" w:color="auto"/>
        <w:bottom w:val="none" w:sz="0" w:space="0" w:color="auto"/>
        <w:right w:val="none" w:sz="0" w:space="0" w:color="auto"/>
      </w:divBdr>
    </w:div>
    <w:div w:id="549541526">
      <w:bodyDiv w:val="1"/>
      <w:marLeft w:val="0"/>
      <w:marRight w:val="0"/>
      <w:marTop w:val="0"/>
      <w:marBottom w:val="0"/>
      <w:divBdr>
        <w:top w:val="none" w:sz="0" w:space="0" w:color="auto"/>
        <w:left w:val="none" w:sz="0" w:space="0" w:color="auto"/>
        <w:bottom w:val="none" w:sz="0" w:space="0" w:color="auto"/>
        <w:right w:val="none" w:sz="0" w:space="0" w:color="auto"/>
      </w:divBdr>
    </w:div>
    <w:div w:id="557086096">
      <w:bodyDiv w:val="1"/>
      <w:marLeft w:val="0"/>
      <w:marRight w:val="0"/>
      <w:marTop w:val="0"/>
      <w:marBottom w:val="0"/>
      <w:divBdr>
        <w:top w:val="none" w:sz="0" w:space="0" w:color="auto"/>
        <w:left w:val="none" w:sz="0" w:space="0" w:color="auto"/>
        <w:bottom w:val="none" w:sz="0" w:space="0" w:color="auto"/>
        <w:right w:val="none" w:sz="0" w:space="0" w:color="auto"/>
      </w:divBdr>
    </w:div>
    <w:div w:id="790126162">
      <w:bodyDiv w:val="1"/>
      <w:marLeft w:val="0"/>
      <w:marRight w:val="0"/>
      <w:marTop w:val="0"/>
      <w:marBottom w:val="0"/>
      <w:divBdr>
        <w:top w:val="none" w:sz="0" w:space="0" w:color="auto"/>
        <w:left w:val="none" w:sz="0" w:space="0" w:color="auto"/>
        <w:bottom w:val="none" w:sz="0" w:space="0" w:color="auto"/>
        <w:right w:val="none" w:sz="0" w:space="0" w:color="auto"/>
      </w:divBdr>
    </w:div>
    <w:div w:id="908273617">
      <w:bodyDiv w:val="1"/>
      <w:marLeft w:val="0"/>
      <w:marRight w:val="0"/>
      <w:marTop w:val="0"/>
      <w:marBottom w:val="0"/>
      <w:divBdr>
        <w:top w:val="none" w:sz="0" w:space="0" w:color="auto"/>
        <w:left w:val="none" w:sz="0" w:space="0" w:color="auto"/>
        <w:bottom w:val="none" w:sz="0" w:space="0" w:color="auto"/>
        <w:right w:val="none" w:sz="0" w:space="0" w:color="auto"/>
      </w:divBdr>
    </w:div>
    <w:div w:id="1029263897">
      <w:bodyDiv w:val="1"/>
      <w:marLeft w:val="0"/>
      <w:marRight w:val="0"/>
      <w:marTop w:val="0"/>
      <w:marBottom w:val="0"/>
      <w:divBdr>
        <w:top w:val="none" w:sz="0" w:space="0" w:color="auto"/>
        <w:left w:val="none" w:sz="0" w:space="0" w:color="auto"/>
        <w:bottom w:val="none" w:sz="0" w:space="0" w:color="auto"/>
        <w:right w:val="none" w:sz="0" w:space="0" w:color="auto"/>
      </w:divBdr>
    </w:div>
    <w:div w:id="1126240878">
      <w:bodyDiv w:val="1"/>
      <w:marLeft w:val="0"/>
      <w:marRight w:val="0"/>
      <w:marTop w:val="0"/>
      <w:marBottom w:val="0"/>
      <w:divBdr>
        <w:top w:val="none" w:sz="0" w:space="0" w:color="auto"/>
        <w:left w:val="none" w:sz="0" w:space="0" w:color="auto"/>
        <w:bottom w:val="none" w:sz="0" w:space="0" w:color="auto"/>
        <w:right w:val="none" w:sz="0" w:space="0" w:color="auto"/>
      </w:divBdr>
    </w:div>
    <w:div w:id="1216236040">
      <w:bodyDiv w:val="1"/>
      <w:marLeft w:val="0"/>
      <w:marRight w:val="0"/>
      <w:marTop w:val="0"/>
      <w:marBottom w:val="0"/>
      <w:divBdr>
        <w:top w:val="none" w:sz="0" w:space="0" w:color="auto"/>
        <w:left w:val="none" w:sz="0" w:space="0" w:color="auto"/>
        <w:bottom w:val="none" w:sz="0" w:space="0" w:color="auto"/>
        <w:right w:val="none" w:sz="0" w:space="0" w:color="auto"/>
      </w:divBdr>
    </w:div>
    <w:div w:id="1268736753">
      <w:bodyDiv w:val="1"/>
      <w:marLeft w:val="0"/>
      <w:marRight w:val="0"/>
      <w:marTop w:val="0"/>
      <w:marBottom w:val="0"/>
      <w:divBdr>
        <w:top w:val="none" w:sz="0" w:space="0" w:color="auto"/>
        <w:left w:val="none" w:sz="0" w:space="0" w:color="auto"/>
        <w:bottom w:val="none" w:sz="0" w:space="0" w:color="auto"/>
        <w:right w:val="none" w:sz="0" w:space="0" w:color="auto"/>
      </w:divBdr>
    </w:div>
    <w:div w:id="1326668577">
      <w:bodyDiv w:val="1"/>
      <w:marLeft w:val="0"/>
      <w:marRight w:val="0"/>
      <w:marTop w:val="0"/>
      <w:marBottom w:val="0"/>
      <w:divBdr>
        <w:top w:val="none" w:sz="0" w:space="0" w:color="auto"/>
        <w:left w:val="none" w:sz="0" w:space="0" w:color="auto"/>
        <w:bottom w:val="none" w:sz="0" w:space="0" w:color="auto"/>
        <w:right w:val="none" w:sz="0" w:space="0" w:color="auto"/>
      </w:divBdr>
    </w:div>
    <w:div w:id="1348100982">
      <w:bodyDiv w:val="1"/>
      <w:marLeft w:val="0"/>
      <w:marRight w:val="0"/>
      <w:marTop w:val="0"/>
      <w:marBottom w:val="0"/>
      <w:divBdr>
        <w:top w:val="none" w:sz="0" w:space="0" w:color="auto"/>
        <w:left w:val="none" w:sz="0" w:space="0" w:color="auto"/>
        <w:bottom w:val="none" w:sz="0" w:space="0" w:color="auto"/>
        <w:right w:val="none" w:sz="0" w:space="0" w:color="auto"/>
      </w:divBdr>
      <w:divsChild>
        <w:div w:id="275060457">
          <w:marLeft w:val="0"/>
          <w:marRight w:val="0"/>
          <w:marTop w:val="0"/>
          <w:marBottom w:val="0"/>
          <w:divBdr>
            <w:top w:val="none" w:sz="0" w:space="0" w:color="auto"/>
            <w:left w:val="none" w:sz="0" w:space="0" w:color="auto"/>
            <w:bottom w:val="none" w:sz="0" w:space="0" w:color="auto"/>
            <w:right w:val="none" w:sz="0" w:space="0" w:color="auto"/>
          </w:divBdr>
          <w:divsChild>
            <w:div w:id="713426150">
              <w:marLeft w:val="0"/>
              <w:marRight w:val="0"/>
              <w:marTop w:val="0"/>
              <w:marBottom w:val="0"/>
              <w:divBdr>
                <w:top w:val="none" w:sz="0" w:space="0" w:color="auto"/>
                <w:left w:val="none" w:sz="0" w:space="0" w:color="auto"/>
                <w:bottom w:val="none" w:sz="0" w:space="0" w:color="auto"/>
                <w:right w:val="none" w:sz="0" w:space="0" w:color="auto"/>
              </w:divBdr>
              <w:divsChild>
                <w:div w:id="1797992967">
                  <w:marLeft w:val="0"/>
                  <w:marRight w:val="0"/>
                  <w:marTop w:val="0"/>
                  <w:marBottom w:val="0"/>
                  <w:divBdr>
                    <w:top w:val="none" w:sz="0" w:space="0" w:color="auto"/>
                    <w:left w:val="none" w:sz="0" w:space="0" w:color="auto"/>
                    <w:bottom w:val="none" w:sz="0" w:space="0" w:color="auto"/>
                    <w:right w:val="none" w:sz="0" w:space="0" w:color="auto"/>
                  </w:divBdr>
                  <w:divsChild>
                    <w:div w:id="1323389671">
                      <w:marLeft w:val="0"/>
                      <w:marRight w:val="0"/>
                      <w:marTop w:val="0"/>
                      <w:marBottom w:val="0"/>
                      <w:divBdr>
                        <w:top w:val="none" w:sz="0" w:space="0" w:color="auto"/>
                        <w:left w:val="none" w:sz="0" w:space="0" w:color="auto"/>
                        <w:bottom w:val="none" w:sz="0" w:space="0" w:color="auto"/>
                        <w:right w:val="none" w:sz="0" w:space="0" w:color="auto"/>
                      </w:divBdr>
                      <w:divsChild>
                        <w:div w:id="634944532">
                          <w:marLeft w:val="0"/>
                          <w:marRight w:val="0"/>
                          <w:marTop w:val="0"/>
                          <w:marBottom w:val="0"/>
                          <w:divBdr>
                            <w:top w:val="none" w:sz="0" w:space="0" w:color="auto"/>
                            <w:left w:val="none" w:sz="0" w:space="0" w:color="auto"/>
                            <w:bottom w:val="none" w:sz="0" w:space="0" w:color="auto"/>
                            <w:right w:val="none" w:sz="0" w:space="0" w:color="auto"/>
                          </w:divBdr>
                          <w:divsChild>
                            <w:div w:id="1945720396">
                              <w:marLeft w:val="0"/>
                              <w:marRight w:val="0"/>
                              <w:marTop w:val="0"/>
                              <w:marBottom w:val="0"/>
                              <w:divBdr>
                                <w:top w:val="none" w:sz="0" w:space="0" w:color="auto"/>
                                <w:left w:val="none" w:sz="0" w:space="0" w:color="auto"/>
                                <w:bottom w:val="none" w:sz="0" w:space="0" w:color="auto"/>
                                <w:right w:val="none" w:sz="0" w:space="0" w:color="auto"/>
                              </w:divBdr>
                              <w:divsChild>
                                <w:div w:id="1502504951">
                                  <w:marLeft w:val="0"/>
                                  <w:marRight w:val="0"/>
                                  <w:marTop w:val="0"/>
                                  <w:marBottom w:val="0"/>
                                  <w:divBdr>
                                    <w:top w:val="none" w:sz="0" w:space="0" w:color="auto"/>
                                    <w:left w:val="none" w:sz="0" w:space="0" w:color="auto"/>
                                    <w:bottom w:val="none" w:sz="0" w:space="0" w:color="auto"/>
                                    <w:right w:val="none" w:sz="0" w:space="0" w:color="auto"/>
                                  </w:divBdr>
                                  <w:divsChild>
                                    <w:div w:id="1367369371">
                                      <w:marLeft w:val="0"/>
                                      <w:marRight w:val="0"/>
                                      <w:marTop w:val="0"/>
                                      <w:marBottom w:val="0"/>
                                      <w:divBdr>
                                        <w:top w:val="none" w:sz="0" w:space="0" w:color="auto"/>
                                        <w:left w:val="none" w:sz="0" w:space="0" w:color="auto"/>
                                        <w:bottom w:val="none" w:sz="0" w:space="0" w:color="auto"/>
                                        <w:right w:val="none" w:sz="0" w:space="0" w:color="auto"/>
                                      </w:divBdr>
                                      <w:divsChild>
                                        <w:div w:id="2046130232">
                                          <w:marLeft w:val="0"/>
                                          <w:marRight w:val="0"/>
                                          <w:marTop w:val="0"/>
                                          <w:marBottom w:val="0"/>
                                          <w:divBdr>
                                            <w:top w:val="none" w:sz="0" w:space="0" w:color="auto"/>
                                            <w:left w:val="none" w:sz="0" w:space="0" w:color="auto"/>
                                            <w:bottom w:val="none" w:sz="0" w:space="0" w:color="auto"/>
                                            <w:right w:val="none" w:sz="0" w:space="0" w:color="auto"/>
                                          </w:divBdr>
                                          <w:divsChild>
                                            <w:div w:id="1291857998">
                                              <w:marLeft w:val="0"/>
                                              <w:marRight w:val="0"/>
                                              <w:marTop w:val="0"/>
                                              <w:marBottom w:val="0"/>
                                              <w:divBdr>
                                                <w:top w:val="none" w:sz="0" w:space="0" w:color="auto"/>
                                                <w:left w:val="none" w:sz="0" w:space="0" w:color="auto"/>
                                                <w:bottom w:val="none" w:sz="0" w:space="0" w:color="auto"/>
                                                <w:right w:val="none" w:sz="0" w:space="0" w:color="auto"/>
                                              </w:divBdr>
                                              <w:divsChild>
                                                <w:div w:id="1987197229">
                                                  <w:marLeft w:val="0"/>
                                                  <w:marRight w:val="0"/>
                                                  <w:marTop w:val="0"/>
                                                  <w:marBottom w:val="0"/>
                                                  <w:divBdr>
                                                    <w:top w:val="none" w:sz="0" w:space="0" w:color="auto"/>
                                                    <w:left w:val="none" w:sz="0" w:space="0" w:color="auto"/>
                                                    <w:bottom w:val="none" w:sz="0" w:space="0" w:color="auto"/>
                                                    <w:right w:val="none" w:sz="0" w:space="0" w:color="auto"/>
                                                  </w:divBdr>
                                                  <w:divsChild>
                                                    <w:div w:id="176893484">
                                                      <w:marLeft w:val="0"/>
                                                      <w:marRight w:val="0"/>
                                                      <w:marTop w:val="0"/>
                                                      <w:marBottom w:val="0"/>
                                                      <w:divBdr>
                                                        <w:top w:val="none" w:sz="0" w:space="0" w:color="auto"/>
                                                        <w:left w:val="none" w:sz="0" w:space="0" w:color="auto"/>
                                                        <w:bottom w:val="none" w:sz="0" w:space="0" w:color="auto"/>
                                                        <w:right w:val="none" w:sz="0" w:space="0" w:color="auto"/>
                                                      </w:divBdr>
                                                      <w:divsChild>
                                                        <w:div w:id="1597592953">
                                                          <w:marLeft w:val="0"/>
                                                          <w:marRight w:val="0"/>
                                                          <w:marTop w:val="0"/>
                                                          <w:marBottom w:val="0"/>
                                                          <w:divBdr>
                                                            <w:top w:val="none" w:sz="0" w:space="0" w:color="auto"/>
                                                            <w:left w:val="none" w:sz="0" w:space="0" w:color="auto"/>
                                                            <w:bottom w:val="none" w:sz="0" w:space="0" w:color="auto"/>
                                                            <w:right w:val="none" w:sz="0" w:space="0" w:color="auto"/>
                                                          </w:divBdr>
                                                          <w:divsChild>
                                                            <w:div w:id="1208762569">
                                                              <w:marLeft w:val="0"/>
                                                              <w:marRight w:val="0"/>
                                                              <w:marTop w:val="0"/>
                                                              <w:marBottom w:val="0"/>
                                                              <w:divBdr>
                                                                <w:top w:val="none" w:sz="0" w:space="0" w:color="auto"/>
                                                                <w:left w:val="none" w:sz="0" w:space="0" w:color="auto"/>
                                                                <w:bottom w:val="none" w:sz="0" w:space="0" w:color="auto"/>
                                                                <w:right w:val="none" w:sz="0" w:space="0" w:color="auto"/>
                                                              </w:divBdr>
                                                              <w:divsChild>
                                                                <w:div w:id="1881934828">
                                                                  <w:marLeft w:val="0"/>
                                                                  <w:marRight w:val="0"/>
                                                                  <w:marTop w:val="0"/>
                                                                  <w:marBottom w:val="0"/>
                                                                  <w:divBdr>
                                                                    <w:top w:val="none" w:sz="0" w:space="0" w:color="auto"/>
                                                                    <w:left w:val="none" w:sz="0" w:space="0" w:color="auto"/>
                                                                    <w:bottom w:val="none" w:sz="0" w:space="0" w:color="auto"/>
                                                                    <w:right w:val="none" w:sz="0" w:space="0" w:color="auto"/>
                                                                  </w:divBdr>
                                                                  <w:divsChild>
                                                                    <w:div w:id="447310500">
                                                                      <w:marLeft w:val="0"/>
                                                                      <w:marRight w:val="0"/>
                                                                      <w:marTop w:val="0"/>
                                                                      <w:marBottom w:val="0"/>
                                                                      <w:divBdr>
                                                                        <w:top w:val="none" w:sz="0" w:space="0" w:color="auto"/>
                                                                        <w:left w:val="none" w:sz="0" w:space="0" w:color="auto"/>
                                                                        <w:bottom w:val="none" w:sz="0" w:space="0" w:color="auto"/>
                                                                        <w:right w:val="none" w:sz="0" w:space="0" w:color="auto"/>
                                                                      </w:divBdr>
                                                                      <w:divsChild>
                                                                        <w:div w:id="1199856235">
                                                                          <w:marLeft w:val="0"/>
                                                                          <w:marRight w:val="0"/>
                                                                          <w:marTop w:val="0"/>
                                                                          <w:marBottom w:val="0"/>
                                                                          <w:divBdr>
                                                                            <w:top w:val="none" w:sz="0" w:space="0" w:color="auto"/>
                                                                            <w:left w:val="none" w:sz="0" w:space="0" w:color="auto"/>
                                                                            <w:bottom w:val="none" w:sz="0" w:space="0" w:color="auto"/>
                                                                            <w:right w:val="none" w:sz="0" w:space="0" w:color="auto"/>
                                                                          </w:divBdr>
                                                                          <w:divsChild>
                                                                            <w:div w:id="1358969354">
                                                                              <w:marLeft w:val="0"/>
                                                                              <w:marRight w:val="0"/>
                                                                              <w:marTop w:val="0"/>
                                                                              <w:marBottom w:val="0"/>
                                                                              <w:divBdr>
                                                                                <w:top w:val="none" w:sz="0" w:space="0" w:color="auto"/>
                                                                                <w:left w:val="none" w:sz="0" w:space="0" w:color="auto"/>
                                                                                <w:bottom w:val="none" w:sz="0" w:space="0" w:color="auto"/>
                                                                                <w:right w:val="none" w:sz="0" w:space="0" w:color="auto"/>
                                                                              </w:divBdr>
                                                                              <w:divsChild>
                                                                                <w:div w:id="1429038880">
                                                                                  <w:marLeft w:val="0"/>
                                                                                  <w:marRight w:val="0"/>
                                                                                  <w:marTop w:val="0"/>
                                                                                  <w:marBottom w:val="0"/>
                                                                                  <w:divBdr>
                                                                                    <w:top w:val="none" w:sz="0" w:space="0" w:color="auto"/>
                                                                                    <w:left w:val="none" w:sz="0" w:space="0" w:color="auto"/>
                                                                                    <w:bottom w:val="none" w:sz="0" w:space="0" w:color="auto"/>
                                                                                    <w:right w:val="none" w:sz="0" w:space="0" w:color="auto"/>
                                                                                  </w:divBdr>
                                                                                  <w:divsChild>
                                                                                    <w:div w:id="107701144">
                                                                                      <w:marLeft w:val="0"/>
                                                                                      <w:marRight w:val="0"/>
                                                                                      <w:marTop w:val="0"/>
                                                                                      <w:marBottom w:val="0"/>
                                                                                      <w:divBdr>
                                                                                        <w:top w:val="none" w:sz="0" w:space="0" w:color="auto"/>
                                                                                        <w:left w:val="none" w:sz="0" w:space="0" w:color="auto"/>
                                                                                        <w:bottom w:val="none" w:sz="0" w:space="0" w:color="auto"/>
                                                                                        <w:right w:val="none" w:sz="0" w:space="0" w:color="auto"/>
                                                                                      </w:divBdr>
                                                                                      <w:divsChild>
                                                                                        <w:div w:id="660280774">
                                                                                          <w:marLeft w:val="0"/>
                                                                                          <w:marRight w:val="0"/>
                                                                                          <w:marTop w:val="0"/>
                                                                                          <w:marBottom w:val="0"/>
                                                                                          <w:divBdr>
                                                                                            <w:top w:val="none" w:sz="0" w:space="0" w:color="auto"/>
                                                                                            <w:left w:val="none" w:sz="0" w:space="0" w:color="auto"/>
                                                                                            <w:bottom w:val="none" w:sz="0" w:space="0" w:color="auto"/>
                                                                                            <w:right w:val="none" w:sz="0" w:space="0" w:color="auto"/>
                                                                                          </w:divBdr>
                                                                                          <w:divsChild>
                                                                                            <w:div w:id="317075358">
                                                                                              <w:marLeft w:val="0"/>
                                                                                              <w:marRight w:val="0"/>
                                                                                              <w:marTop w:val="0"/>
                                                                                              <w:marBottom w:val="0"/>
                                                                                              <w:divBdr>
                                                                                                <w:top w:val="none" w:sz="0" w:space="0" w:color="auto"/>
                                                                                                <w:left w:val="none" w:sz="0" w:space="0" w:color="auto"/>
                                                                                                <w:bottom w:val="none" w:sz="0" w:space="0" w:color="auto"/>
                                                                                                <w:right w:val="none" w:sz="0" w:space="0" w:color="auto"/>
                                                                                              </w:divBdr>
                                                                                              <w:divsChild>
                                                                                                <w:div w:id="2019960588">
                                                                                                  <w:marLeft w:val="0"/>
                                                                                                  <w:marRight w:val="0"/>
                                                                                                  <w:marTop w:val="0"/>
                                                                                                  <w:marBottom w:val="0"/>
                                                                                                  <w:divBdr>
                                                                                                    <w:top w:val="none" w:sz="0" w:space="0" w:color="auto"/>
                                                                                                    <w:left w:val="none" w:sz="0" w:space="0" w:color="auto"/>
                                                                                                    <w:bottom w:val="none" w:sz="0" w:space="0" w:color="auto"/>
                                                                                                    <w:right w:val="none" w:sz="0" w:space="0" w:color="auto"/>
                                                                                                  </w:divBdr>
                                                                                                  <w:divsChild>
                                                                                                    <w:div w:id="431317946">
                                                                                                      <w:marLeft w:val="0"/>
                                                                                                      <w:marRight w:val="0"/>
                                                                                                      <w:marTop w:val="0"/>
                                                                                                      <w:marBottom w:val="0"/>
                                                                                                      <w:divBdr>
                                                                                                        <w:top w:val="none" w:sz="0" w:space="0" w:color="auto"/>
                                                                                                        <w:left w:val="none" w:sz="0" w:space="0" w:color="auto"/>
                                                                                                        <w:bottom w:val="none" w:sz="0" w:space="0" w:color="auto"/>
                                                                                                        <w:right w:val="none" w:sz="0" w:space="0" w:color="auto"/>
                                                                                                      </w:divBdr>
                                                                                                      <w:divsChild>
                                                                                                        <w:div w:id="876042960">
                                                                                                          <w:marLeft w:val="0"/>
                                                                                                          <w:marRight w:val="0"/>
                                                                                                          <w:marTop w:val="0"/>
                                                                                                          <w:marBottom w:val="0"/>
                                                                                                          <w:divBdr>
                                                                                                            <w:top w:val="none" w:sz="0" w:space="0" w:color="auto"/>
                                                                                                            <w:left w:val="none" w:sz="0" w:space="0" w:color="auto"/>
                                                                                                            <w:bottom w:val="none" w:sz="0" w:space="0" w:color="auto"/>
                                                                                                            <w:right w:val="none" w:sz="0" w:space="0" w:color="auto"/>
                                                                                                          </w:divBdr>
                                                                                                          <w:divsChild>
                                                                                                            <w:div w:id="432743901">
                                                                                                              <w:marLeft w:val="0"/>
                                                                                                              <w:marRight w:val="0"/>
                                                                                                              <w:marTop w:val="0"/>
                                                                                                              <w:marBottom w:val="0"/>
                                                                                                              <w:divBdr>
                                                                                                                <w:top w:val="none" w:sz="0" w:space="0" w:color="auto"/>
                                                                                                                <w:left w:val="none" w:sz="0" w:space="0" w:color="auto"/>
                                                                                                                <w:bottom w:val="none" w:sz="0" w:space="0" w:color="auto"/>
                                                                                                                <w:right w:val="none" w:sz="0" w:space="0" w:color="auto"/>
                                                                                                              </w:divBdr>
                                                                                                              <w:divsChild>
                                                                                                                <w:div w:id="1296449564">
                                                                                                                  <w:marLeft w:val="0"/>
                                                                                                                  <w:marRight w:val="0"/>
                                                                                                                  <w:marTop w:val="0"/>
                                                                                                                  <w:marBottom w:val="0"/>
                                                                                                                  <w:divBdr>
                                                                                                                    <w:top w:val="none" w:sz="0" w:space="0" w:color="auto"/>
                                                                                                                    <w:left w:val="none" w:sz="0" w:space="0" w:color="auto"/>
                                                                                                                    <w:bottom w:val="none" w:sz="0" w:space="0" w:color="auto"/>
                                                                                                                    <w:right w:val="none" w:sz="0" w:space="0" w:color="auto"/>
                                                                                                                  </w:divBdr>
                                                                                                                  <w:divsChild>
                                                                                                                    <w:div w:id="1662197347">
                                                                                                                      <w:marLeft w:val="0"/>
                                                                                                                      <w:marRight w:val="0"/>
                                                                                                                      <w:marTop w:val="0"/>
                                                                                                                      <w:marBottom w:val="0"/>
                                                                                                                      <w:divBdr>
                                                                                                                        <w:top w:val="none" w:sz="0" w:space="0" w:color="auto"/>
                                                                                                                        <w:left w:val="none" w:sz="0" w:space="0" w:color="auto"/>
                                                                                                                        <w:bottom w:val="none" w:sz="0" w:space="0" w:color="auto"/>
                                                                                                                        <w:right w:val="none" w:sz="0" w:space="0" w:color="auto"/>
                                                                                                                      </w:divBdr>
                                                                                                                      <w:divsChild>
                                                                                                                        <w:div w:id="233664093">
                                                                                                                          <w:marLeft w:val="0"/>
                                                                                                                          <w:marRight w:val="0"/>
                                                                                                                          <w:marTop w:val="0"/>
                                                                                                                          <w:marBottom w:val="0"/>
                                                                                                                          <w:divBdr>
                                                                                                                            <w:top w:val="none" w:sz="0" w:space="0" w:color="auto"/>
                                                                                                                            <w:left w:val="none" w:sz="0" w:space="0" w:color="auto"/>
                                                                                                                            <w:bottom w:val="none" w:sz="0" w:space="0" w:color="auto"/>
                                                                                                                            <w:right w:val="none" w:sz="0" w:space="0" w:color="auto"/>
                                                                                                                          </w:divBdr>
                                                                                                                          <w:divsChild>
                                                                                                                            <w:div w:id="618490435">
                                                                                                                              <w:marLeft w:val="0"/>
                                                                                                                              <w:marRight w:val="0"/>
                                                                                                                              <w:marTop w:val="0"/>
                                                                                                                              <w:marBottom w:val="0"/>
                                                                                                                              <w:divBdr>
                                                                                                                                <w:top w:val="none" w:sz="0" w:space="0" w:color="auto"/>
                                                                                                                                <w:left w:val="none" w:sz="0" w:space="0" w:color="auto"/>
                                                                                                                                <w:bottom w:val="none" w:sz="0" w:space="0" w:color="auto"/>
                                                                                                                                <w:right w:val="none" w:sz="0" w:space="0" w:color="auto"/>
                                                                                                                              </w:divBdr>
                                                                                                                              <w:divsChild>
                                                                                                                                <w:div w:id="74060630">
                                                                                                                                  <w:marLeft w:val="0"/>
                                                                                                                                  <w:marRight w:val="0"/>
                                                                                                                                  <w:marTop w:val="0"/>
                                                                                                                                  <w:marBottom w:val="0"/>
                                                                                                                                  <w:divBdr>
                                                                                                                                    <w:top w:val="none" w:sz="0" w:space="0" w:color="auto"/>
                                                                                                                                    <w:left w:val="none" w:sz="0" w:space="0" w:color="auto"/>
                                                                                                                                    <w:bottom w:val="none" w:sz="0" w:space="0" w:color="auto"/>
                                                                                                                                    <w:right w:val="none" w:sz="0" w:space="0" w:color="auto"/>
                                                                                                                                  </w:divBdr>
                                                                                                                                  <w:divsChild>
                                                                                                                                    <w:div w:id="1287783997">
                                                                                                                                      <w:marLeft w:val="0"/>
                                                                                                                                      <w:marRight w:val="0"/>
                                                                                                                                      <w:marTop w:val="0"/>
                                                                                                                                      <w:marBottom w:val="0"/>
                                                                                                                                      <w:divBdr>
                                                                                                                                        <w:top w:val="none" w:sz="0" w:space="0" w:color="auto"/>
                                                                                                                                        <w:left w:val="none" w:sz="0" w:space="0" w:color="auto"/>
                                                                                                                                        <w:bottom w:val="none" w:sz="0" w:space="0" w:color="auto"/>
                                                                                                                                        <w:right w:val="none" w:sz="0" w:space="0" w:color="auto"/>
                                                                                                                                      </w:divBdr>
                                                                                                                                      <w:divsChild>
                                                                                                                                        <w:div w:id="1350522341">
                                                                                                                                          <w:marLeft w:val="0"/>
                                                                                                                                          <w:marRight w:val="0"/>
                                                                                                                                          <w:marTop w:val="0"/>
                                                                                                                                          <w:marBottom w:val="0"/>
                                                                                                                                          <w:divBdr>
                                                                                                                                            <w:top w:val="none" w:sz="0" w:space="0" w:color="auto"/>
                                                                                                                                            <w:left w:val="none" w:sz="0" w:space="0" w:color="auto"/>
                                                                                                                                            <w:bottom w:val="none" w:sz="0" w:space="0" w:color="auto"/>
                                                                                                                                            <w:right w:val="none" w:sz="0" w:space="0" w:color="auto"/>
                                                                                                                                          </w:divBdr>
                                                                                                                                          <w:divsChild>
                                                                                                                                            <w:div w:id="1058433443">
                                                                                                                                              <w:marLeft w:val="0"/>
                                                                                                                                              <w:marRight w:val="0"/>
                                                                                                                                              <w:marTop w:val="0"/>
                                                                                                                                              <w:marBottom w:val="0"/>
                                                                                                                                              <w:divBdr>
                                                                                                                                                <w:top w:val="none" w:sz="0" w:space="0" w:color="auto"/>
                                                                                                                                                <w:left w:val="none" w:sz="0" w:space="0" w:color="auto"/>
                                                                                                                                                <w:bottom w:val="none" w:sz="0" w:space="0" w:color="auto"/>
                                                                                                                                                <w:right w:val="none" w:sz="0" w:space="0" w:color="auto"/>
                                                                                                                                              </w:divBdr>
                                                                                                                                              <w:divsChild>
                                                                                                                                                <w:div w:id="1843203480">
                                                                                                                                                  <w:marLeft w:val="0"/>
                                                                                                                                                  <w:marRight w:val="0"/>
                                                                                                                                                  <w:marTop w:val="0"/>
                                                                                                                                                  <w:marBottom w:val="0"/>
                                                                                                                                                  <w:divBdr>
                                                                                                                                                    <w:top w:val="none" w:sz="0" w:space="0" w:color="auto"/>
                                                                                                                                                    <w:left w:val="none" w:sz="0" w:space="0" w:color="auto"/>
                                                                                                                                                    <w:bottom w:val="none" w:sz="0" w:space="0" w:color="auto"/>
                                                                                                                                                    <w:right w:val="none" w:sz="0" w:space="0" w:color="auto"/>
                                                                                                                                                  </w:divBdr>
                                                                                                                                                  <w:divsChild>
                                                                                                                                                    <w:div w:id="1223982360">
                                                                                                                                                      <w:marLeft w:val="0"/>
                                                                                                                                                      <w:marRight w:val="0"/>
                                                                                                                                                      <w:marTop w:val="0"/>
                                                                                                                                                      <w:marBottom w:val="0"/>
                                                                                                                                                      <w:divBdr>
                                                                                                                                                        <w:top w:val="none" w:sz="0" w:space="0" w:color="auto"/>
                                                                                                                                                        <w:left w:val="none" w:sz="0" w:space="0" w:color="auto"/>
                                                                                                                                                        <w:bottom w:val="none" w:sz="0" w:space="0" w:color="auto"/>
                                                                                                                                                        <w:right w:val="none" w:sz="0" w:space="0" w:color="auto"/>
                                                                                                                                                      </w:divBdr>
                                                                                                                                                      <w:divsChild>
                                                                                                                                                        <w:div w:id="1131821057">
                                                                                                                                                          <w:marLeft w:val="0"/>
                                                                                                                                                          <w:marRight w:val="0"/>
                                                                                                                                                          <w:marTop w:val="0"/>
                                                                                                                                                          <w:marBottom w:val="0"/>
                                                                                                                                                          <w:divBdr>
                                                                                                                                                            <w:top w:val="none" w:sz="0" w:space="0" w:color="auto"/>
                                                                                                                                                            <w:left w:val="none" w:sz="0" w:space="0" w:color="auto"/>
                                                                                                                                                            <w:bottom w:val="none" w:sz="0" w:space="0" w:color="auto"/>
                                                                                                                                                            <w:right w:val="none" w:sz="0" w:space="0" w:color="auto"/>
                                                                                                                                                          </w:divBdr>
                                                                                                                                                          <w:divsChild>
                                                                                                                                                            <w:div w:id="1324159352">
                                                                                                                                                              <w:marLeft w:val="0"/>
                                                                                                                                                              <w:marRight w:val="0"/>
                                                                                                                                                              <w:marTop w:val="0"/>
                                                                                                                                                              <w:marBottom w:val="0"/>
                                                                                                                                                              <w:divBdr>
                                                                                                                                                                <w:top w:val="none" w:sz="0" w:space="0" w:color="auto"/>
                                                                                                                                                                <w:left w:val="none" w:sz="0" w:space="0" w:color="auto"/>
                                                                                                                                                                <w:bottom w:val="none" w:sz="0" w:space="0" w:color="auto"/>
                                                                                                                                                                <w:right w:val="none" w:sz="0" w:space="0" w:color="auto"/>
                                                                                                                                                              </w:divBdr>
                                                                                                                                                              <w:divsChild>
                                                                                                                                                                <w:div w:id="707343215">
                                                                                                                                                                  <w:marLeft w:val="0"/>
                                                                                                                                                                  <w:marRight w:val="0"/>
                                                                                                                                                                  <w:marTop w:val="0"/>
                                                                                                                                                                  <w:marBottom w:val="0"/>
                                                                                                                                                                  <w:divBdr>
                                                                                                                                                                    <w:top w:val="none" w:sz="0" w:space="0" w:color="auto"/>
                                                                                                                                                                    <w:left w:val="none" w:sz="0" w:space="0" w:color="auto"/>
                                                                                                                                                                    <w:bottom w:val="none" w:sz="0" w:space="0" w:color="auto"/>
                                                                                                                                                                    <w:right w:val="none" w:sz="0" w:space="0" w:color="auto"/>
                                                                                                                                                                  </w:divBdr>
                                                                                                                                                                  <w:divsChild>
                                                                                                                                                                    <w:div w:id="1156072220">
                                                                                                                                                                      <w:marLeft w:val="0"/>
                                                                                                                                                                      <w:marRight w:val="0"/>
                                                                                                                                                                      <w:marTop w:val="0"/>
                                                                                                                                                                      <w:marBottom w:val="0"/>
                                                                                                                                                                      <w:divBdr>
                                                                                                                                                                        <w:top w:val="none" w:sz="0" w:space="0" w:color="auto"/>
                                                                                                                                                                        <w:left w:val="none" w:sz="0" w:space="0" w:color="auto"/>
                                                                                                                                                                        <w:bottom w:val="none" w:sz="0" w:space="0" w:color="auto"/>
                                                                                                                                                                        <w:right w:val="none" w:sz="0" w:space="0" w:color="auto"/>
                                                                                                                                                                      </w:divBdr>
                                                                                                                                                                      <w:divsChild>
                                                                                                                                                                        <w:div w:id="47843515">
                                                                                                                                                                          <w:marLeft w:val="0"/>
                                                                                                                                                                          <w:marRight w:val="0"/>
                                                                                                                                                                          <w:marTop w:val="0"/>
                                                                                                                                                                          <w:marBottom w:val="0"/>
                                                                                                                                                                          <w:divBdr>
                                                                                                                                                                            <w:top w:val="none" w:sz="0" w:space="0" w:color="auto"/>
                                                                                                                                                                            <w:left w:val="none" w:sz="0" w:space="0" w:color="auto"/>
                                                                                                                                                                            <w:bottom w:val="none" w:sz="0" w:space="0" w:color="auto"/>
                                                                                                                                                                            <w:right w:val="none" w:sz="0" w:space="0" w:color="auto"/>
                                                                                                                                                                          </w:divBdr>
                                                                                                                                                                          <w:divsChild>
                                                                                                                                                                            <w:div w:id="677149232">
                                                                                                                                                                              <w:marLeft w:val="0"/>
                                                                                                                                                                              <w:marRight w:val="0"/>
                                                                                                                                                                              <w:marTop w:val="0"/>
                                                                                                                                                                              <w:marBottom w:val="0"/>
                                                                                                                                                                              <w:divBdr>
                                                                                                                                                                                <w:top w:val="none" w:sz="0" w:space="0" w:color="auto"/>
                                                                                                                                                                                <w:left w:val="none" w:sz="0" w:space="0" w:color="auto"/>
                                                                                                                                                                                <w:bottom w:val="none" w:sz="0" w:space="0" w:color="auto"/>
                                                                                                                                                                                <w:right w:val="none" w:sz="0" w:space="0" w:color="auto"/>
                                                                                                                                                                              </w:divBdr>
                                                                                                                                                                              <w:divsChild>
                                                                                                                                                                                <w:div w:id="1085347395">
                                                                                                                                                                                  <w:marLeft w:val="0"/>
                                                                                                                                                                                  <w:marRight w:val="0"/>
                                                                                                                                                                                  <w:marTop w:val="0"/>
                                                                                                                                                                                  <w:marBottom w:val="0"/>
                                                                                                                                                                                  <w:divBdr>
                                                                                                                                                                                    <w:top w:val="none" w:sz="0" w:space="0" w:color="auto"/>
                                                                                                                                                                                    <w:left w:val="none" w:sz="0" w:space="0" w:color="auto"/>
                                                                                                                                                                                    <w:bottom w:val="none" w:sz="0" w:space="0" w:color="auto"/>
                                                                                                                                                                                    <w:right w:val="none" w:sz="0" w:space="0" w:color="auto"/>
                                                                                                                                                                                  </w:divBdr>
                                                                                                                                                                                  <w:divsChild>
                                                                                                                                                                                    <w:div w:id="598296800">
                                                                                                                                                                                      <w:marLeft w:val="0"/>
                                                                                                                                                                                      <w:marRight w:val="0"/>
                                                                                                                                                                                      <w:marTop w:val="0"/>
                                                                                                                                                                                      <w:marBottom w:val="0"/>
                                                                                                                                                                                      <w:divBdr>
                                                                                                                                                                                        <w:top w:val="none" w:sz="0" w:space="0" w:color="auto"/>
                                                                                                                                                                                        <w:left w:val="none" w:sz="0" w:space="0" w:color="auto"/>
                                                                                                                                                                                        <w:bottom w:val="none" w:sz="0" w:space="0" w:color="auto"/>
                                                                                                                                                                                        <w:right w:val="none" w:sz="0" w:space="0" w:color="auto"/>
                                                                                                                                                                                      </w:divBdr>
                                                                                                                                                                                      <w:divsChild>
                                                                                                                                                                                        <w:div w:id="2001811897">
                                                                                                                                                                                          <w:marLeft w:val="0"/>
                                                                                                                                                                                          <w:marRight w:val="0"/>
                                                                                                                                                                                          <w:marTop w:val="0"/>
                                                                                                                                                                                          <w:marBottom w:val="0"/>
                                                                                                                                                                                          <w:divBdr>
                                                                                                                                                                                            <w:top w:val="none" w:sz="0" w:space="0" w:color="auto"/>
                                                                                                                                                                                            <w:left w:val="none" w:sz="0" w:space="0" w:color="auto"/>
                                                                                                                                                                                            <w:bottom w:val="none" w:sz="0" w:space="0" w:color="auto"/>
                                                                                                                                                                                            <w:right w:val="none" w:sz="0" w:space="0" w:color="auto"/>
                                                                                                                                                                                          </w:divBdr>
                                                                                                                                                                                          <w:divsChild>
                                                                                                                                                                                            <w:div w:id="1110397507">
                                                                                                                                                                                              <w:marLeft w:val="0"/>
                                                                                                                                                                                              <w:marRight w:val="0"/>
                                                                                                                                                                                              <w:marTop w:val="0"/>
                                                                                                                                                                                              <w:marBottom w:val="0"/>
                                                                                                                                                                                              <w:divBdr>
                                                                                                                                                                                                <w:top w:val="none" w:sz="0" w:space="0" w:color="auto"/>
                                                                                                                                                                                                <w:left w:val="none" w:sz="0" w:space="0" w:color="auto"/>
                                                                                                                                                                                                <w:bottom w:val="none" w:sz="0" w:space="0" w:color="auto"/>
                                                                                                                                                                                                <w:right w:val="none" w:sz="0" w:space="0" w:color="auto"/>
                                                                                                                                                                                              </w:divBdr>
                                                                                                                                                                                              <w:divsChild>
                                                                                                                                                                                                <w:div w:id="1872767154">
                                                                                                                                                                                                  <w:marLeft w:val="0"/>
                                                                                                                                                                                                  <w:marRight w:val="0"/>
                                                                                                                                                                                                  <w:marTop w:val="0"/>
                                                                                                                                                                                                  <w:marBottom w:val="0"/>
                                                                                                                                                                                                  <w:divBdr>
                                                                                                                                                                                                    <w:top w:val="none" w:sz="0" w:space="0" w:color="auto"/>
                                                                                                                                                                                                    <w:left w:val="none" w:sz="0" w:space="0" w:color="auto"/>
                                                                                                                                                                                                    <w:bottom w:val="none" w:sz="0" w:space="0" w:color="auto"/>
                                                                                                                                                                                                    <w:right w:val="none" w:sz="0" w:space="0" w:color="auto"/>
                                                                                                                                                                                                  </w:divBdr>
                                                                                                                                                                                                  <w:divsChild>
                                                                                                                                                                                                    <w:div w:id="1457407660">
                                                                                                                                                                                                      <w:marLeft w:val="0"/>
                                                                                                                                                                                                      <w:marRight w:val="0"/>
                                                                                                                                                                                                      <w:marTop w:val="0"/>
                                                                                                                                                                                                      <w:marBottom w:val="0"/>
                                                                                                                                                                                                      <w:divBdr>
                                                                                                                                                                                                        <w:top w:val="none" w:sz="0" w:space="0" w:color="auto"/>
                                                                                                                                                                                                        <w:left w:val="none" w:sz="0" w:space="0" w:color="auto"/>
                                                                                                                                                                                                        <w:bottom w:val="none" w:sz="0" w:space="0" w:color="auto"/>
                                                                                                                                                                                                        <w:right w:val="none" w:sz="0" w:space="0" w:color="auto"/>
                                                                                                                                                                                                      </w:divBdr>
                                                                                                                                                                                                      <w:divsChild>
                                                                                                                                                                                                        <w:div w:id="876116039">
                                                                                                                                                                                                          <w:marLeft w:val="0"/>
                                                                                                                                                                                                          <w:marRight w:val="0"/>
                                                                                                                                                                                                          <w:marTop w:val="0"/>
                                                                                                                                                                                                          <w:marBottom w:val="0"/>
                                                                                                                                                                                                          <w:divBdr>
                                                                                                                                                                                                            <w:top w:val="none" w:sz="0" w:space="0" w:color="auto"/>
                                                                                                                                                                                                            <w:left w:val="none" w:sz="0" w:space="0" w:color="auto"/>
                                                                                                                                                                                                            <w:bottom w:val="none" w:sz="0" w:space="0" w:color="auto"/>
                                                                                                                                                                                                            <w:right w:val="none" w:sz="0" w:space="0" w:color="auto"/>
                                                                                                                                                                                                          </w:divBdr>
                                                                                                                                                                                                          <w:divsChild>
                                                                                                                                                                                                            <w:div w:id="295793678">
                                                                                                                                                                                                              <w:marLeft w:val="0"/>
                                                                                                                                                                                                              <w:marRight w:val="0"/>
                                                                                                                                                                                                              <w:marTop w:val="0"/>
                                                                                                                                                                                                              <w:marBottom w:val="0"/>
                                                                                                                                                                                                              <w:divBdr>
                                                                                                                                                                                                                <w:top w:val="none" w:sz="0" w:space="0" w:color="auto"/>
                                                                                                                                                                                                                <w:left w:val="none" w:sz="0" w:space="0" w:color="auto"/>
                                                                                                                                                                                                                <w:bottom w:val="none" w:sz="0" w:space="0" w:color="auto"/>
                                                                                                                                                                                                                <w:right w:val="none" w:sz="0" w:space="0" w:color="auto"/>
                                                                                                                                                                                                              </w:divBdr>
                                                                                                                                                                                                              <w:divsChild>
                                                                                                                                                                                                                <w:div w:id="855190997">
                                                                                                                                                                                                                  <w:marLeft w:val="0"/>
                                                                                                                                                                                                                  <w:marRight w:val="0"/>
                                                                                                                                                                                                                  <w:marTop w:val="0"/>
                                                                                                                                                                                                                  <w:marBottom w:val="0"/>
                                                                                                                                                                                                                  <w:divBdr>
                                                                                                                                                                                                                    <w:top w:val="none" w:sz="0" w:space="0" w:color="auto"/>
                                                                                                                                                                                                                    <w:left w:val="none" w:sz="0" w:space="0" w:color="auto"/>
                                                                                                                                                                                                                    <w:bottom w:val="none" w:sz="0" w:space="0" w:color="auto"/>
                                                                                                                                                                                                                    <w:right w:val="none" w:sz="0" w:space="0" w:color="auto"/>
                                                                                                                                                                                                                  </w:divBdr>
                                                                                                                                                                                                                  <w:divsChild>
                                                                                                                                                                                                                    <w:div w:id="369115232">
                                                                                                                                                                                                                      <w:marLeft w:val="0"/>
                                                                                                                                                                                                                      <w:marRight w:val="0"/>
                                                                                                                                                                                                                      <w:marTop w:val="0"/>
                                                                                                                                                                                                                      <w:marBottom w:val="0"/>
                                                                                                                                                                                                                      <w:divBdr>
                                                                                                                                                                                                                        <w:top w:val="none" w:sz="0" w:space="0" w:color="auto"/>
                                                                                                                                                                                                                        <w:left w:val="none" w:sz="0" w:space="0" w:color="auto"/>
                                                                                                                                                                                                                        <w:bottom w:val="none" w:sz="0" w:space="0" w:color="auto"/>
                                                                                                                                                                                                                        <w:right w:val="none" w:sz="0" w:space="0" w:color="auto"/>
                                                                                                                                                                                                                      </w:divBdr>
                                                                                                                                                                                                                      <w:divsChild>
                                                                                                                                                                                                                        <w:div w:id="1635910760">
                                                                                                                                                                                                                          <w:marLeft w:val="0"/>
                                                                                                                                                                                                                          <w:marRight w:val="0"/>
                                                                                                                                                                                                                          <w:marTop w:val="0"/>
                                                                                                                                                                                                                          <w:marBottom w:val="0"/>
                                                                                                                                                                                                                          <w:divBdr>
                                                                                                                                                                                                                            <w:top w:val="none" w:sz="0" w:space="0" w:color="auto"/>
                                                                                                                                                                                                                            <w:left w:val="none" w:sz="0" w:space="0" w:color="auto"/>
                                                                                                                                                                                                                            <w:bottom w:val="none" w:sz="0" w:space="0" w:color="auto"/>
                                                                                                                                                                                                                            <w:right w:val="none" w:sz="0" w:space="0" w:color="auto"/>
                                                                                                                                                                                                                          </w:divBdr>
                                                                                                                                                                                                                          <w:divsChild>
                                                                                                                                                                                                                            <w:div w:id="209533152">
                                                                                                                                                                                                                              <w:marLeft w:val="0"/>
                                                                                                                                                                                                                              <w:marRight w:val="0"/>
                                                                                                                                                                                                                              <w:marTop w:val="0"/>
                                                                                                                                                                                                                              <w:marBottom w:val="0"/>
                                                                                                                                                                                                                              <w:divBdr>
                                                                                                                                                                                                                                <w:top w:val="none" w:sz="0" w:space="0" w:color="auto"/>
                                                                                                                                                                                                                                <w:left w:val="none" w:sz="0" w:space="0" w:color="auto"/>
                                                                                                                                                                                                                                <w:bottom w:val="none" w:sz="0" w:space="0" w:color="auto"/>
                                                                                                                                                                                                                                <w:right w:val="none" w:sz="0" w:space="0" w:color="auto"/>
                                                                                                                                                                                                                              </w:divBdr>
                                                                                                                                                                                                                              <w:divsChild>
                                                                                                                                                                                                                                <w:div w:id="1362393721">
                                                                                                                                                                                                                                  <w:marLeft w:val="0"/>
                                                                                                                                                                                                                                  <w:marRight w:val="0"/>
                                                                                                                                                                                                                                  <w:marTop w:val="0"/>
                                                                                                                                                                                                                                  <w:marBottom w:val="0"/>
                                                                                                                                                                                                                                  <w:divBdr>
                                                                                                                                                                                                                                    <w:top w:val="none" w:sz="0" w:space="0" w:color="auto"/>
                                                                                                                                                                                                                                    <w:left w:val="none" w:sz="0" w:space="0" w:color="auto"/>
                                                                                                                                                                                                                                    <w:bottom w:val="none" w:sz="0" w:space="0" w:color="auto"/>
                                                                                                                                                                                                                                    <w:right w:val="none" w:sz="0" w:space="0" w:color="auto"/>
                                                                                                                                                                                                                                  </w:divBdr>
                                                                                                                                                                                                                                  <w:divsChild>
                                                                                                                                                                                                                                    <w:div w:id="179003770">
                                                                                                                                                                                                                                      <w:marLeft w:val="0"/>
                                                                                                                                                                                                                                      <w:marRight w:val="0"/>
                                                                                                                                                                                                                                      <w:marTop w:val="0"/>
                                                                                                                                                                                                                                      <w:marBottom w:val="0"/>
                                                                                                                                                                                                                                      <w:divBdr>
                                                                                                                                                                                                                                        <w:top w:val="none" w:sz="0" w:space="0" w:color="auto"/>
                                                                                                                                                                                                                                        <w:left w:val="none" w:sz="0" w:space="0" w:color="auto"/>
                                                                                                                                                                                                                                        <w:bottom w:val="none" w:sz="0" w:space="0" w:color="auto"/>
                                                                                                                                                                                                                                        <w:right w:val="none" w:sz="0" w:space="0" w:color="auto"/>
                                                                                                                                                                                                                                      </w:divBdr>
                                                                                                                                                                                                                                      <w:divsChild>
                                                                                                                                                                                                                                        <w:div w:id="1725713352">
                                                                                                                                                                                                                                          <w:marLeft w:val="0"/>
                                                                                                                                                                                                                                          <w:marRight w:val="0"/>
                                                                                                                                                                                                                                          <w:marTop w:val="0"/>
                                                                                                                                                                                                                                          <w:marBottom w:val="0"/>
                                                                                                                                                                                                                                          <w:divBdr>
                                                                                                                                                                                                                                            <w:top w:val="none" w:sz="0" w:space="0" w:color="auto"/>
                                                                                                                                                                                                                                            <w:left w:val="none" w:sz="0" w:space="0" w:color="auto"/>
                                                                                                                                                                                                                                            <w:bottom w:val="none" w:sz="0" w:space="0" w:color="auto"/>
                                                                                                                                                                                                                                            <w:right w:val="none" w:sz="0" w:space="0" w:color="auto"/>
                                                                                                                                                                                                                                          </w:divBdr>
                                                                                                                                                                                                                                          <w:divsChild>
                                                                                                                                                                                                                                            <w:div w:id="137386315">
                                                                                                                                                                                                                                              <w:marLeft w:val="0"/>
                                                                                                                                                                                                                                              <w:marRight w:val="0"/>
                                                                                                                                                                                                                                              <w:marTop w:val="0"/>
                                                                                                                                                                                                                                              <w:marBottom w:val="0"/>
                                                                                                                                                                                                                                              <w:divBdr>
                                                                                                                                                                                                                                                <w:top w:val="none" w:sz="0" w:space="0" w:color="auto"/>
                                                                                                                                                                                                                                                <w:left w:val="none" w:sz="0" w:space="0" w:color="auto"/>
                                                                                                                                                                                                                                                <w:bottom w:val="none" w:sz="0" w:space="0" w:color="auto"/>
                                                                                                                                                                                                                                                <w:right w:val="none" w:sz="0" w:space="0" w:color="auto"/>
                                                                                                                                                                                                                                              </w:divBdr>
                                                                                                                                                                                                                                              <w:divsChild>
                                                                                                                                                                                                                                                <w:div w:id="1609855251">
                                                                                                                                                                                                                                                  <w:marLeft w:val="0"/>
                                                                                                                                                                                                                                                  <w:marRight w:val="0"/>
                                                                                                                                                                                                                                                  <w:marTop w:val="0"/>
                                                                                                                                                                                                                                                  <w:marBottom w:val="0"/>
                                                                                                                                                                                                                                                  <w:divBdr>
                                                                                                                                                                                                                                                    <w:top w:val="none" w:sz="0" w:space="0" w:color="auto"/>
                                                                                                                                                                                                                                                    <w:left w:val="none" w:sz="0" w:space="0" w:color="auto"/>
                                                                                                                                                                                                                                                    <w:bottom w:val="none" w:sz="0" w:space="0" w:color="auto"/>
                                                                                                                                                                                                                                                    <w:right w:val="none" w:sz="0" w:space="0" w:color="auto"/>
                                                                                                                                                                                                                                                  </w:divBdr>
                                                                                                                                                                                                                                                  <w:divsChild>
                                                                                                                                                                                                                                                    <w:div w:id="576597221">
                                                                                                                                                                                                                                                      <w:marLeft w:val="0"/>
                                                                                                                                                                                                                                                      <w:marRight w:val="0"/>
                                                                                                                                                                                                                                                      <w:marTop w:val="0"/>
                                                                                                                                                                                                                                                      <w:marBottom w:val="0"/>
                                                                                                                                                                                                                                                      <w:divBdr>
                                                                                                                                                                                                                                                        <w:top w:val="none" w:sz="0" w:space="0" w:color="auto"/>
                                                                                                                                                                                                                                                        <w:left w:val="none" w:sz="0" w:space="0" w:color="auto"/>
                                                                                                                                                                                                                                                        <w:bottom w:val="none" w:sz="0" w:space="0" w:color="auto"/>
                                                                                                                                                                                                                                                        <w:right w:val="none" w:sz="0" w:space="0" w:color="auto"/>
                                                                                                                                                                                                                                                      </w:divBdr>
                                                                                                                                                                                                                                                      <w:divsChild>
                                                                                                                                                                                                                                                        <w:div w:id="1596594004">
                                                                                                                                                                                                                                                          <w:marLeft w:val="0"/>
                                                                                                                                                                                                                                                          <w:marRight w:val="0"/>
                                                                                                                                                                                                                                                          <w:marTop w:val="0"/>
                                                                                                                                                                                                                                                          <w:marBottom w:val="0"/>
                                                                                                                                                                                                                                                          <w:divBdr>
                                                                                                                                                                                                                                                            <w:top w:val="none" w:sz="0" w:space="0" w:color="auto"/>
                                                                                                                                                                                                                                                            <w:left w:val="none" w:sz="0" w:space="0" w:color="auto"/>
                                                                                                                                                                                                                                                            <w:bottom w:val="none" w:sz="0" w:space="0" w:color="auto"/>
                                                                                                                                                                                                                                                            <w:right w:val="none" w:sz="0" w:space="0" w:color="auto"/>
                                                                                                                                                                                                                                                          </w:divBdr>
                                                                                                                                                                                                                                                          <w:divsChild>
                                                                                                                                                                                                                                                            <w:div w:id="1655571135">
                                                                                                                                                                                                                                                              <w:marLeft w:val="0"/>
                                                                                                                                                                                                                                                              <w:marRight w:val="0"/>
                                                                                                                                                                                                                                                              <w:marTop w:val="0"/>
                                                                                                                                                                                                                                                              <w:marBottom w:val="0"/>
                                                                                                                                                                                                                                                              <w:divBdr>
                                                                                                                                                                                                                                                                <w:top w:val="none" w:sz="0" w:space="0" w:color="auto"/>
                                                                                                                                                                                                                                                                <w:left w:val="none" w:sz="0" w:space="0" w:color="auto"/>
                                                                                                                                                                                                                                                                <w:bottom w:val="none" w:sz="0" w:space="0" w:color="auto"/>
                                                                                                                                                                                                                                                                <w:right w:val="none" w:sz="0" w:space="0" w:color="auto"/>
                                                                                                                                                                                                                                                              </w:divBdr>
                                                                                                                                                                                                                                                              <w:divsChild>
                                                                                                                                                                                                                                                                <w:div w:id="2079671964">
                                                                                                                                                                                                                                                                  <w:marLeft w:val="0"/>
                                                                                                                                                                                                                                                                  <w:marRight w:val="0"/>
                                                                                                                                                                                                                                                                  <w:marTop w:val="0"/>
                                                                                                                                                                                                                                                                  <w:marBottom w:val="0"/>
                                                                                                                                                                                                                                                                  <w:divBdr>
                                                                                                                                                                                                                                                                    <w:top w:val="none" w:sz="0" w:space="0" w:color="auto"/>
                                                                                                                                                                                                                                                                    <w:left w:val="none" w:sz="0" w:space="0" w:color="auto"/>
                                                                                                                                                                                                                                                                    <w:bottom w:val="none" w:sz="0" w:space="0" w:color="auto"/>
                                                                                                                                                                                                                                                                    <w:right w:val="none" w:sz="0" w:space="0" w:color="auto"/>
                                                                                                                                                                                                                                                                  </w:divBdr>
                                                                                                                                                                                                                                                                  <w:divsChild>
                                                                                                                                                                                                                                                                    <w:div w:id="2006783491">
                                                                                                                                                                                                                                                                      <w:marLeft w:val="0"/>
                                                                                                                                                                                                                                                                      <w:marRight w:val="0"/>
                                                                                                                                                                                                                                                                      <w:marTop w:val="0"/>
                                                                                                                                                                                                                                                                      <w:marBottom w:val="0"/>
                                                                                                                                                                                                                                                                      <w:divBdr>
                                                                                                                                                                                                                                                                        <w:top w:val="none" w:sz="0" w:space="0" w:color="auto"/>
                                                                                                                                                                                                                                                                        <w:left w:val="none" w:sz="0" w:space="0" w:color="auto"/>
                                                                                                                                                                                                                                                                        <w:bottom w:val="none" w:sz="0" w:space="0" w:color="auto"/>
                                                                                                                                                                                                                                                                        <w:right w:val="none" w:sz="0" w:space="0" w:color="auto"/>
                                                                                                                                                                                                                                                                      </w:divBdr>
                                                                                                                                                                                                                                                                      <w:divsChild>
                                                                                                                                                                                                                                                                        <w:div w:id="1603149397">
                                                                                                                                                                                                                                                                          <w:marLeft w:val="0"/>
                                                                                                                                                                                                                                                                          <w:marRight w:val="0"/>
                                                                                                                                                                                                                                                                          <w:marTop w:val="0"/>
                                                                                                                                                                                                                                                                          <w:marBottom w:val="0"/>
                                                                                                                                                                                                                                                                          <w:divBdr>
                                                                                                                                                                                                                                                                            <w:top w:val="none" w:sz="0" w:space="0" w:color="auto"/>
                                                                                                                                                                                                                                                                            <w:left w:val="none" w:sz="0" w:space="0" w:color="auto"/>
                                                                                                                                                                                                                                                                            <w:bottom w:val="none" w:sz="0" w:space="0" w:color="auto"/>
                                                                                                                                                                                                                                                                            <w:right w:val="none" w:sz="0" w:space="0" w:color="auto"/>
                                                                                                                                                                                                                                                                          </w:divBdr>
                                                                                                                                                                                                                                                                          <w:divsChild>
                                                                                                                                                                                                                                                                            <w:div w:id="488983055">
                                                                                                                                                                                                                                                                              <w:marLeft w:val="0"/>
                                                                                                                                                                                                                                                                              <w:marRight w:val="0"/>
                                                                                                                                                                                                                                                                              <w:marTop w:val="0"/>
                                                                                                                                                                                                                                                                              <w:marBottom w:val="0"/>
                                                                                                                                                                                                                                                                              <w:divBdr>
                                                                                                                                                                                                                                                                                <w:top w:val="none" w:sz="0" w:space="0" w:color="auto"/>
                                                                                                                                                                                                                                                                                <w:left w:val="none" w:sz="0" w:space="0" w:color="auto"/>
                                                                                                                                                                                                                                                                                <w:bottom w:val="none" w:sz="0" w:space="0" w:color="auto"/>
                                                                                                                                                                                                                                                                                <w:right w:val="none" w:sz="0" w:space="0" w:color="auto"/>
                                                                                                                                                                                                                                                                              </w:divBdr>
                                                                                                                                                                                                                                                                              <w:divsChild>
                                                                                                                                                                                                                                                                                <w:div w:id="654265644">
                                                                                                                                                                                                                                                                                  <w:marLeft w:val="0"/>
                                                                                                                                                                                                                                                                                  <w:marRight w:val="0"/>
                                                                                                                                                                                                                                                                                  <w:marTop w:val="0"/>
                                                                                                                                                                                                                                                                                  <w:marBottom w:val="0"/>
                                                                                                                                                                                                                                                                                  <w:divBdr>
                                                                                                                                                                                                                                                                                    <w:top w:val="none" w:sz="0" w:space="0" w:color="auto"/>
                                                                                                                                                                                                                                                                                    <w:left w:val="none" w:sz="0" w:space="0" w:color="auto"/>
                                                                                                                                                                                                                                                                                    <w:bottom w:val="none" w:sz="0" w:space="0" w:color="auto"/>
                                                                                                                                                                                                                                                                                    <w:right w:val="none" w:sz="0" w:space="0" w:color="auto"/>
                                                                                                                                                                                                                                                                                  </w:divBdr>
                                                                                                                                                                                                                                                                                  <w:divsChild>
                                                                                                                                                                                                                                                                                    <w:div w:id="931009070">
                                                                                                                                                                                                                                                                                      <w:marLeft w:val="0"/>
                                                                                                                                                                                                                                                                                      <w:marRight w:val="0"/>
                                                                                                                                                                                                                                                                                      <w:marTop w:val="0"/>
                                                                                                                                                                                                                                                                                      <w:marBottom w:val="0"/>
                                                                                                                                                                                                                                                                                      <w:divBdr>
                                                                                                                                                                                                                                                                                        <w:top w:val="none" w:sz="0" w:space="0" w:color="auto"/>
                                                                                                                                                                                                                                                                                        <w:left w:val="none" w:sz="0" w:space="0" w:color="auto"/>
                                                                                                                                                                                                                                                                                        <w:bottom w:val="none" w:sz="0" w:space="0" w:color="auto"/>
                                                                                                                                                                                                                                                                                        <w:right w:val="none" w:sz="0" w:space="0" w:color="auto"/>
                                                                                                                                                                                                                                                                                      </w:divBdr>
                                                                                                                                                                                                                                                                                      <w:divsChild>
                                                                                                                                                                                                                                                                                        <w:div w:id="1726105352">
                                                                                                                                                                                                                                                                                          <w:marLeft w:val="0"/>
                                                                                                                                                                                                                                                                                          <w:marRight w:val="0"/>
                                                                                                                                                                                                                                                                                          <w:marTop w:val="0"/>
                                                                                                                                                                                                                                                                                          <w:marBottom w:val="0"/>
                                                                                                                                                                                                                                                                                          <w:divBdr>
                                                                                                                                                                                                                                                                                            <w:top w:val="none" w:sz="0" w:space="0" w:color="auto"/>
                                                                                                                                                                                                                                                                                            <w:left w:val="none" w:sz="0" w:space="0" w:color="auto"/>
                                                                                                                                                                                                                                                                                            <w:bottom w:val="none" w:sz="0" w:space="0" w:color="auto"/>
                                                                                                                                                                                                                                                                                            <w:right w:val="none" w:sz="0" w:space="0" w:color="auto"/>
                                                                                                                                                                                                                                                                                          </w:divBdr>
                                                                                                                                                                                                                                                                                          <w:divsChild>
                                                                                                                                                                                                                                                                                            <w:div w:id="1566137635">
                                                                                                                                                                                                                                                                                              <w:marLeft w:val="0"/>
                                                                                                                                                                                                                                                                                              <w:marRight w:val="0"/>
                                                                                                                                                                                                                                                                                              <w:marTop w:val="0"/>
                                                                                                                                                                                                                                                                                              <w:marBottom w:val="0"/>
                                                                                                                                                                                                                                                                                              <w:divBdr>
                                                                                                                                                                                                                                                                                                <w:top w:val="none" w:sz="0" w:space="0" w:color="auto"/>
                                                                                                                                                                                                                                                                                                <w:left w:val="none" w:sz="0" w:space="0" w:color="auto"/>
                                                                                                                                                                                                                                                                                                <w:bottom w:val="none" w:sz="0" w:space="0" w:color="auto"/>
                                                                                                                                                                                                                                                                                                <w:right w:val="none" w:sz="0" w:space="0" w:color="auto"/>
                                                                                                                                                                                                                                                                                              </w:divBdr>
                                                                                                                                                                                                                                                                                              <w:divsChild>
                                                                                                                                                                                                                                                                                                <w:div w:id="1404253162">
                                                                                                                                                                                                                                                                                                  <w:marLeft w:val="0"/>
                                                                                                                                                                                                                                                                                                  <w:marRight w:val="0"/>
                                                                                                                                                                                                                                                                                                  <w:marTop w:val="0"/>
                                                                                                                                                                                                                                                                                                  <w:marBottom w:val="0"/>
                                                                                                                                                                                                                                                                                                  <w:divBdr>
                                                                                                                                                                                                                                                                                                    <w:top w:val="none" w:sz="0" w:space="0" w:color="auto"/>
                                                                                                                                                                                                                                                                                                    <w:left w:val="none" w:sz="0" w:space="0" w:color="auto"/>
                                                                                                                                                                                                                                                                                                    <w:bottom w:val="none" w:sz="0" w:space="0" w:color="auto"/>
                                                                                                                                                                                                                                                                                                    <w:right w:val="none" w:sz="0" w:space="0" w:color="auto"/>
                                                                                                                                                                                                                                                                                                  </w:divBdr>
                                                                                                                                                                                                                                                                                                  <w:divsChild>
                                                                                                                                                                                                                                                                                                    <w:div w:id="279344167">
                                                                                                                                                                                                                                                                                                      <w:marLeft w:val="0"/>
                                                                                                                                                                                                                                                                                                      <w:marRight w:val="0"/>
                                                                                                                                                                                                                                                                                                      <w:marTop w:val="0"/>
                                                                                                                                                                                                                                                                                                      <w:marBottom w:val="0"/>
                                                                                                                                                                                                                                                                                                      <w:divBdr>
                                                                                                                                                                                                                                                                                                        <w:top w:val="none" w:sz="0" w:space="0" w:color="auto"/>
                                                                                                                                                                                                                                                                                                        <w:left w:val="none" w:sz="0" w:space="0" w:color="auto"/>
                                                                                                                                                                                                                                                                                                        <w:bottom w:val="none" w:sz="0" w:space="0" w:color="auto"/>
                                                                                                                                                                                                                                                                                                        <w:right w:val="none" w:sz="0" w:space="0" w:color="auto"/>
                                                                                                                                                                                                                                                                                                      </w:divBdr>
                                                                                                                                                                                                                                                                                                      <w:divsChild>
                                                                                                                                                                                                                                                                                                        <w:div w:id="1845391417">
                                                                                                                                                                                                                                                                                                          <w:marLeft w:val="0"/>
                                                                                                                                                                                                                                                                                                          <w:marRight w:val="0"/>
                                                                                                                                                                                                                                                                                                          <w:marTop w:val="0"/>
                                                                                                                                                                                                                                                                                                          <w:marBottom w:val="0"/>
                                                                                                                                                                                                                                                                                                          <w:divBdr>
                                                                                                                                                                                                                                                                                                            <w:top w:val="none" w:sz="0" w:space="0" w:color="auto"/>
                                                                                                                                                                                                                                                                                                            <w:left w:val="none" w:sz="0" w:space="0" w:color="auto"/>
                                                                                                                                                                                                                                                                                                            <w:bottom w:val="none" w:sz="0" w:space="0" w:color="auto"/>
                                                                                                                                                                                                                                                                                                            <w:right w:val="none" w:sz="0" w:space="0" w:color="auto"/>
                                                                                                                                                                                                                                                                                                          </w:divBdr>
                                                                                                                                                                                                                                                                                                          <w:divsChild>
                                                                                                                                                                                                                                                                                                            <w:div w:id="2036878851">
                                                                                                                                                                                                                                                                                                              <w:marLeft w:val="0"/>
                                                                                                                                                                                                                                                                                                              <w:marRight w:val="0"/>
                                                                                                                                                                                                                                                                                                              <w:marTop w:val="0"/>
                                                                                                                                                                                                                                                                                                              <w:marBottom w:val="0"/>
                                                                                                                                                                                                                                                                                                              <w:divBdr>
                                                                                                                                                                                                                                                                                                                <w:top w:val="none" w:sz="0" w:space="0" w:color="auto"/>
                                                                                                                                                                                                                                                                                                                <w:left w:val="none" w:sz="0" w:space="0" w:color="auto"/>
                                                                                                                                                                                                                                                                                                                <w:bottom w:val="none" w:sz="0" w:space="0" w:color="auto"/>
                                                                                                                                                                                                                                                                                                                <w:right w:val="none" w:sz="0" w:space="0" w:color="auto"/>
                                                                                                                                                                                                                                                                                                              </w:divBdr>
                                                                                                                                                                                                                                                                                                              <w:divsChild>
                                                                                                                                                                                                                                                                                                                <w:div w:id="372073755">
                                                                                                                                                                                                                                                                                                                  <w:marLeft w:val="0"/>
                                                                                                                                                                                                                                                                                                                  <w:marRight w:val="0"/>
                                                                                                                                                                                                                                                                                                                  <w:marTop w:val="0"/>
                                                                                                                                                                                                                                                                                                                  <w:marBottom w:val="0"/>
                                                                                                                                                                                                                                                                                                                  <w:divBdr>
                                                                                                                                                                                                                                                                                                                    <w:top w:val="none" w:sz="0" w:space="0" w:color="auto"/>
                                                                                                                                                                                                                                                                                                                    <w:left w:val="none" w:sz="0" w:space="0" w:color="auto"/>
                                                                                                                                                                                                                                                                                                                    <w:bottom w:val="none" w:sz="0" w:space="0" w:color="auto"/>
                                                                                                                                                                                                                                                                                                                    <w:right w:val="none" w:sz="0" w:space="0" w:color="auto"/>
                                                                                                                                                                                                                                                                                                                  </w:divBdr>
                                                                                                                                                                                                                                                                                                                  <w:divsChild>
                                                                                                                                                                                                                                                                                                                    <w:div w:id="2063867124">
                                                                                                                                                                                                                                                                                                                      <w:marLeft w:val="0"/>
                                                                                                                                                                                                                                                                                                                      <w:marRight w:val="0"/>
                                                                                                                                                                                                                                                                                                                      <w:marTop w:val="0"/>
                                                                                                                                                                                                                                                                                                                      <w:marBottom w:val="0"/>
                                                                                                                                                                                                                                                                                                                      <w:divBdr>
                                                                                                                                                                                                                                                                                                                        <w:top w:val="none" w:sz="0" w:space="0" w:color="auto"/>
                                                                                                                                                                                                                                                                                                                        <w:left w:val="none" w:sz="0" w:space="0" w:color="auto"/>
                                                                                                                                                                                                                                                                                                                        <w:bottom w:val="none" w:sz="0" w:space="0" w:color="auto"/>
                                                                                                                                                                                                                                                                                                                        <w:right w:val="none" w:sz="0" w:space="0" w:color="auto"/>
                                                                                                                                                                                                                                                                                                                      </w:divBdr>
                                                                                                                                                                                                                                                                                                                      <w:divsChild>
                                                                                                                                                                                                                                                                                                                        <w:div w:id="1862931753">
                                                                                                                                                                                                                                                                                                                          <w:marLeft w:val="0"/>
                                                                                                                                                                                                                                                                                                                          <w:marRight w:val="0"/>
                                                                                                                                                                                                                                                                                                                          <w:marTop w:val="0"/>
                                                                                                                                                                                                                                                                                                                          <w:marBottom w:val="0"/>
                                                                                                                                                                                                                                                                                                                          <w:divBdr>
                                                                                                                                                                                                                                                                                                                            <w:top w:val="none" w:sz="0" w:space="0" w:color="auto"/>
                                                                                                                                                                                                                                                                                                                            <w:left w:val="none" w:sz="0" w:space="0" w:color="auto"/>
                                                                                                                                                                                                                                                                                                                            <w:bottom w:val="none" w:sz="0" w:space="0" w:color="auto"/>
                                                                                                                                                                                                                                                                                                                            <w:right w:val="none" w:sz="0" w:space="0" w:color="auto"/>
                                                                                                                                                                                                                                                                                                                          </w:divBdr>
                                                                                                                                                                                                                                                                                                                          <w:divsChild>
                                                                                                                                                                                                                                                                                                                            <w:div w:id="2079161174">
                                                                                                                                                                                                                                                                                                                              <w:marLeft w:val="0"/>
                                                                                                                                                                                                                                                                                                                              <w:marRight w:val="0"/>
                                                                                                                                                                                                                                                                                                                              <w:marTop w:val="0"/>
                                                                                                                                                                                                                                                                                                                              <w:marBottom w:val="0"/>
                                                                                                                                                                                                                                                                                                                              <w:divBdr>
                                                                                                                                                                                                                                                                                                                                <w:top w:val="none" w:sz="0" w:space="0" w:color="auto"/>
                                                                                                                                                                                                                                                                                                                                <w:left w:val="none" w:sz="0" w:space="0" w:color="auto"/>
                                                                                                                                                                                                                                                                                                                                <w:bottom w:val="none" w:sz="0" w:space="0" w:color="auto"/>
                                                                                                                                                                                                                                                                                                                                <w:right w:val="none" w:sz="0" w:space="0" w:color="auto"/>
                                                                                                                                                                                                                                                                                                                              </w:divBdr>
                                                                                                                                                                                                                                                                                                                              <w:divsChild>
                                                                                                                                                                                                                                                                                                                                <w:div w:id="1825050596">
                                                                                                                                                                                                                                                                                                                                  <w:marLeft w:val="0"/>
                                                                                                                                                                                                                                                                                                                                  <w:marRight w:val="0"/>
                                                                                                                                                                                                                                                                                                                                  <w:marTop w:val="0"/>
                                                                                                                                                                                                                                                                                                                                  <w:marBottom w:val="0"/>
                                                                                                                                                                                                                                                                                                                                  <w:divBdr>
                                                                                                                                                                                                                                                                                                                                    <w:top w:val="none" w:sz="0" w:space="0" w:color="auto"/>
                                                                                                                                                                                                                                                                                                                                    <w:left w:val="none" w:sz="0" w:space="0" w:color="auto"/>
                                                                                                                                                                                                                                                                                                                                    <w:bottom w:val="none" w:sz="0" w:space="0" w:color="auto"/>
                                                                                                                                                                                                                                                                                                                                    <w:right w:val="none" w:sz="0" w:space="0" w:color="auto"/>
                                                                                                                                                                                                                                                                                                                                  </w:divBdr>
                                                                                                                                                                                                                                                                                                                                  <w:divsChild>
                                                                                                                                                                                                                                                                                                                                    <w:div w:id="1530873582">
                                                                                                                                                                                                                                                                                                                                      <w:marLeft w:val="0"/>
                                                                                                                                                                                                                                                                                                                                      <w:marRight w:val="0"/>
                                                                                                                                                                                                                                                                                                                                      <w:marTop w:val="0"/>
                                                                                                                                                                                                                                                                                                                                      <w:marBottom w:val="0"/>
                                                                                                                                                                                                                                                                                                                                      <w:divBdr>
                                                                                                                                                                                                                                                                                                                                        <w:top w:val="none" w:sz="0" w:space="0" w:color="auto"/>
                                                                                                                                                                                                                                                                                                                                        <w:left w:val="none" w:sz="0" w:space="0" w:color="auto"/>
                                                                                                                                                                                                                                                                                                                                        <w:bottom w:val="none" w:sz="0" w:space="0" w:color="auto"/>
                                                                                                                                                                                                                                                                                                                                        <w:right w:val="none" w:sz="0" w:space="0" w:color="auto"/>
                                                                                                                                                                                                                                                                                                                                      </w:divBdr>
                                                                                                                                                                                                                                                                                                                                      <w:divsChild>
                                                                                                                                                                                                                                                                                                                                        <w:div w:id="946691062">
                                                                                                                                                                                                                                                                                                                                          <w:marLeft w:val="0"/>
                                                                                                                                                                                                                                                                                                                                          <w:marRight w:val="0"/>
                                                                                                                                                                                                                                                                                                                                          <w:marTop w:val="0"/>
                                                                                                                                                                                                                                                                                                                                          <w:marBottom w:val="0"/>
                                                                                                                                                                                                                                                                                                                                          <w:divBdr>
                                                                                                                                                                                                                                                                                                                                            <w:top w:val="none" w:sz="0" w:space="0" w:color="auto"/>
                                                                                                                                                                                                                                                                                                                                            <w:left w:val="none" w:sz="0" w:space="0" w:color="auto"/>
                                                                                                                                                                                                                                                                                                                                            <w:bottom w:val="none" w:sz="0" w:space="0" w:color="auto"/>
                                                                                                                                                                                                                                                                                                                                            <w:right w:val="none" w:sz="0" w:space="0" w:color="auto"/>
                                                                                                                                                                                                                                                                                                                                          </w:divBdr>
                                                                                                                                                                                                                                                                                                                                          <w:divsChild>
                                                                                                                                                                                                                                                                                                                                            <w:div w:id="679963699">
                                                                                                                                                                                                                                                                                                                                              <w:marLeft w:val="0"/>
                                                                                                                                                                                                                                                                                                                                              <w:marRight w:val="0"/>
                                                                                                                                                                                                                                                                                                                                              <w:marTop w:val="0"/>
                                                                                                                                                                                                                                                                                                                                              <w:marBottom w:val="0"/>
                                                                                                                                                                                                                                                                                                                                              <w:divBdr>
                                                                                                                                                                                                                                                                                                                                                <w:top w:val="none" w:sz="0" w:space="0" w:color="auto"/>
                                                                                                                                                                                                                                                                                                                                                <w:left w:val="none" w:sz="0" w:space="0" w:color="auto"/>
                                                                                                                                                                                                                                                                                                                                                <w:bottom w:val="none" w:sz="0" w:space="0" w:color="auto"/>
                                                                                                                                                                                                                                                                                                                                                <w:right w:val="none" w:sz="0" w:space="0" w:color="auto"/>
                                                                                                                                                                                                                                                                                                                                              </w:divBdr>
                                                                                                                                                                                                                                                                                                                                              <w:divsChild>
                                                                                                                                                                                                                                                                                                                                                <w:div w:id="630401973">
                                                                                                                                                                                                                                                                                                                                                  <w:marLeft w:val="0"/>
                                                                                                                                                                                                                                                                                                                                                  <w:marRight w:val="0"/>
                                                                                                                                                                                                                                                                                                                                                  <w:marTop w:val="0"/>
                                                                                                                                                                                                                                                                                                                                                  <w:marBottom w:val="0"/>
                                                                                                                                                                                                                                                                                                                                                  <w:divBdr>
                                                                                                                                                                                                                                                                                                                                                    <w:top w:val="none" w:sz="0" w:space="0" w:color="auto"/>
                                                                                                                                                                                                                                                                                                                                                    <w:left w:val="none" w:sz="0" w:space="0" w:color="auto"/>
                                                                                                                                                                                                                                                                                                                                                    <w:bottom w:val="none" w:sz="0" w:space="0" w:color="auto"/>
                                                                                                                                                                                                                                                                                                                                                    <w:right w:val="none" w:sz="0" w:space="0" w:color="auto"/>
                                                                                                                                                                                                                                                                                                                                                  </w:divBdr>
                                                                                                                                                                                                                                                                                                                                                  <w:divsChild>
                                                                                                                                                                                                                                                                                                                                                    <w:div w:id="499467693">
                                                                                                                                                                                                                                                                                                                                                      <w:marLeft w:val="0"/>
                                                                                                                                                                                                                                                                                                                                                      <w:marRight w:val="0"/>
                                                                                                                                                                                                                                                                                                                                                      <w:marTop w:val="0"/>
                                                                                                                                                                                                                                                                                                                                                      <w:marBottom w:val="0"/>
                                                                                                                                                                                                                                                                                                                                                      <w:divBdr>
                                                                                                                                                                                                                                                                                                                                                        <w:top w:val="none" w:sz="0" w:space="0" w:color="auto"/>
                                                                                                                                                                                                                                                                                                                                                        <w:left w:val="none" w:sz="0" w:space="0" w:color="auto"/>
                                                                                                                                                                                                                                                                                                                                                        <w:bottom w:val="none" w:sz="0" w:space="0" w:color="auto"/>
                                                                                                                                                                                                                                                                                                                                                        <w:right w:val="none" w:sz="0" w:space="0" w:color="auto"/>
                                                                                                                                                                                                                                                                                                                                                      </w:divBdr>
                                                                                                                                                                                                                                                                                                                                                      <w:divsChild>
                                                                                                                                                                                                                                                                                                                                                        <w:div w:id="470440591">
                                                                                                                                                                                                                                                                                                                                                          <w:marLeft w:val="0"/>
                                                                                                                                                                                                                                                                                                                                                          <w:marRight w:val="0"/>
                                                                                                                                                                                                                                                                                                                                                          <w:marTop w:val="0"/>
                                                                                                                                                                                                                                                                                                                                                          <w:marBottom w:val="0"/>
                                                                                                                                                                                                                                                                                                                                                          <w:divBdr>
                                                                                                                                                                                                                                                                                                                                                            <w:top w:val="none" w:sz="0" w:space="0" w:color="auto"/>
                                                                                                                                                                                                                                                                                                                                                            <w:left w:val="none" w:sz="0" w:space="0" w:color="auto"/>
                                                                                                                                                                                                                                                                                                                                                            <w:bottom w:val="none" w:sz="0" w:space="0" w:color="auto"/>
                                                                                                                                                                                                                                                                                                                                                            <w:right w:val="none" w:sz="0" w:space="0" w:color="auto"/>
                                                                                                                                                                                                                                                                                                                                                          </w:divBdr>
                                                                                                                                                                                                                                                                                                                                                          <w:divsChild>
                                                                                                                                                                                                                                                                                                                                                            <w:div w:id="2064061480">
                                                                                                                                                                                                                                                                                                                                                              <w:marLeft w:val="0"/>
                                                                                                                                                                                                                                                                                                                                                              <w:marRight w:val="0"/>
                                                                                                                                                                                                                                                                                                                                                              <w:marTop w:val="0"/>
                                                                                                                                                                                                                                                                                                                                                              <w:marBottom w:val="0"/>
                                                                                                                                                                                                                                                                                                                                                              <w:divBdr>
                                                                                                                                                                                                                                                                                                                                                                <w:top w:val="none" w:sz="0" w:space="0" w:color="auto"/>
                                                                                                                                                                                                                                                                                                                                                                <w:left w:val="none" w:sz="0" w:space="0" w:color="auto"/>
                                                                                                                                                                                                                                                                                                                                                                <w:bottom w:val="none" w:sz="0" w:space="0" w:color="auto"/>
                                                                                                                                                                                                                                                                                                                                                                <w:right w:val="none" w:sz="0" w:space="0" w:color="auto"/>
                                                                                                                                                                                                                                                                                                                                                              </w:divBdr>
                                                                                                                                                                                                                                                                                                                                                              <w:divsChild>
                                                                                                                                                                                                                                                                                                                                                                <w:div w:id="487282001">
                                                                                                                                                                                                                                                                                                                                                                  <w:marLeft w:val="0"/>
                                                                                                                                                                                                                                                                                                                                                                  <w:marRight w:val="0"/>
                                                                                                                                                                                                                                                                                                                                                                  <w:marTop w:val="0"/>
                                                                                                                                                                                                                                                                                                                                                                  <w:marBottom w:val="0"/>
                                                                                                                                                                                                                                                                                                                                                                  <w:divBdr>
                                                                                                                                                                                                                                                                                                                                                                    <w:top w:val="none" w:sz="0" w:space="0" w:color="auto"/>
                                                                                                                                                                                                                                                                                                                                                                    <w:left w:val="none" w:sz="0" w:space="0" w:color="auto"/>
                                                                                                                                                                                                                                                                                                                                                                    <w:bottom w:val="none" w:sz="0" w:space="0" w:color="auto"/>
                                                                                                                                                                                                                                                                                                                                                                    <w:right w:val="none" w:sz="0" w:space="0" w:color="auto"/>
                                                                                                                                                                                                                                                                                                                                                                  </w:divBdr>
                                                                                                                                                                                                                                                                                                                                                                  <w:divsChild>
                                                                                                                                                                                                                                                                                                                                                                    <w:div w:id="247152295">
                                                                                                                                                                                                                                                                                                                                                                      <w:marLeft w:val="0"/>
                                                                                                                                                                                                                                                                                                                                                                      <w:marRight w:val="0"/>
                                                                                                                                                                                                                                                                                                                                                                      <w:marTop w:val="0"/>
                                                                                                                                                                                                                                                                                                                                                                      <w:marBottom w:val="0"/>
                                                                                                                                                                                                                                                                                                                                                                      <w:divBdr>
                                                                                                                                                                                                                                                                                                                                                                        <w:top w:val="none" w:sz="0" w:space="0" w:color="auto"/>
                                                                                                                                                                                                                                                                                                                                                                        <w:left w:val="none" w:sz="0" w:space="0" w:color="auto"/>
                                                                                                                                                                                                                                                                                                                                                                        <w:bottom w:val="none" w:sz="0" w:space="0" w:color="auto"/>
                                                                                                                                                                                                                                                                                                                                                                        <w:right w:val="none" w:sz="0" w:space="0" w:color="auto"/>
                                                                                                                                                                                                                                                                                                                                                                      </w:divBdr>
                                                                                                                                                                                                                                                                                                                                                                      <w:divsChild>
                                                                                                                                                                                                                                                                                                                                                                        <w:div w:id="1727489671">
                                                                                                                                                                                                                                                                                                                                                                          <w:marLeft w:val="0"/>
                                                                                                                                                                                                                                                                                                                                                                          <w:marRight w:val="0"/>
                                                                                                                                                                                                                                                                                                                                                                          <w:marTop w:val="0"/>
                                                                                                                                                                                                                                                                                                                                                                          <w:marBottom w:val="0"/>
                                                                                                                                                                                                                                                                                                                                                                          <w:divBdr>
                                                                                                                                                                                                                                                                                                                                                                            <w:top w:val="none" w:sz="0" w:space="0" w:color="auto"/>
                                                                                                                                                                                                                                                                                                                                                                            <w:left w:val="none" w:sz="0" w:space="0" w:color="auto"/>
                                                                                                                                                                                                                                                                                                                                                                            <w:bottom w:val="none" w:sz="0" w:space="0" w:color="auto"/>
                                                                                                                                                                                                                                                                                                                                                                            <w:right w:val="none" w:sz="0" w:space="0" w:color="auto"/>
                                                                                                                                                                                                                                                                                                                                                                          </w:divBdr>
                                                                                                                                                                                                                                                                                                                                                                          <w:divsChild>
                                                                                                                                                                                                                                                                                                                                                                            <w:div w:id="1518546115">
                                                                                                                                                                                                                                                                                                                                                                              <w:marLeft w:val="0"/>
                                                                                                                                                                                                                                                                                                                                                                              <w:marRight w:val="0"/>
                                                                                                                                                                                                                                                                                                                                                                              <w:marTop w:val="0"/>
                                                                                                                                                                                                                                                                                                                                                                              <w:marBottom w:val="0"/>
                                                                                                                                                                                                                                                                                                                                                                              <w:divBdr>
                                                                                                                                                                                                                                                                                                                                                                                <w:top w:val="none" w:sz="0" w:space="0" w:color="auto"/>
                                                                                                                                                                                                                                                                                                                                                                                <w:left w:val="none" w:sz="0" w:space="0" w:color="auto"/>
                                                                                                                                                                                                                                                                                                                                                                                <w:bottom w:val="none" w:sz="0" w:space="0" w:color="auto"/>
                                                                                                                                                                                                                                                                                                                                                                                <w:right w:val="none" w:sz="0" w:space="0" w:color="auto"/>
                                                                                                                                                                                                                                                                                                                                                                              </w:divBdr>
                                                                                                                                                                                                                                                                                                                                                                            </w:div>
                                                                                                                                                                                                                                                                                                                                                                            <w:div w:id="2107118874">
                                                                                                                                                                                                                                                                                                                                                                              <w:marLeft w:val="0"/>
                                                                                                                                                                                                                                                                                                                                                                              <w:marRight w:val="0"/>
                                                                                                                                                                                                                                                                                                                                                                              <w:marTop w:val="0"/>
                                                                                                                                                                                                                                                                                                                                                                              <w:marBottom w:val="0"/>
                                                                                                                                                                                                                                                                                                                                                                              <w:divBdr>
                                                                                                                                                                                                                                                                                                                                                                                <w:top w:val="none" w:sz="0" w:space="0" w:color="auto"/>
                                                                                                                                                                                                                                                                                                                                                                                <w:left w:val="none" w:sz="0" w:space="0" w:color="auto"/>
                                                                                                                                                                                                                                                                                                                                                                                <w:bottom w:val="none" w:sz="0" w:space="0" w:color="auto"/>
                                                                                                                                                                                                                                                                                                                                                                                <w:right w:val="none" w:sz="0" w:space="0" w:color="auto"/>
                                                                                                                                                                                                                                                                                                                                                                              </w:divBdr>
                                                                                                                                                                                                                                                                                                                                                                              <w:divsChild>
                                                                                                                                                                                                                                                                                                                                                                                <w:div w:id="1782066978">
                                                                                                                                                                                                                                                                                                                                                                                  <w:marLeft w:val="0"/>
                                                                                                                                                                                                                                                                                                                                                                                  <w:marRight w:val="0"/>
                                                                                                                                                                                                                                                                                                                                                                                  <w:marTop w:val="0"/>
                                                                                                                                                                                                                                                                                                                                                                                  <w:marBottom w:val="0"/>
                                                                                                                                                                                                                                                                                                                                                                                  <w:divBdr>
                                                                                                                                                                                                                                                                                                                                                                                    <w:top w:val="none" w:sz="0" w:space="0" w:color="auto"/>
                                                                                                                                                                                                                                                                                                                                                                                    <w:left w:val="none" w:sz="0" w:space="0" w:color="auto"/>
                                                                                                                                                                                                                                                                                                                                                                                    <w:bottom w:val="none" w:sz="0" w:space="0" w:color="auto"/>
                                                                                                                                                                                                                                                                                                                                                                                    <w:right w:val="none" w:sz="0" w:space="0" w:color="auto"/>
                                                                                                                                                                                                                                                                                                                                                                                  </w:divBdr>
                                                                                                                                                                                                                                                                                                                                                                                  <w:divsChild>
                                                                                                                                                                                                                                                                                                                                                                                    <w:div w:id="707486003">
                                                                                                                                                                                                                                                                                                                                                                                      <w:marLeft w:val="0"/>
                                                                                                                                                                                                                                                                                                                                                                                      <w:marRight w:val="0"/>
                                                                                                                                                                                                                                                                                                                                                                                      <w:marTop w:val="0"/>
                                                                                                                                                                                                                                                                                                                                                                                      <w:marBottom w:val="0"/>
                                                                                                                                                                                                                                                                                                                                                                                      <w:divBdr>
                                                                                                                                                                                                                                                                                                                                                                                        <w:top w:val="none" w:sz="0" w:space="0" w:color="auto"/>
                                                                                                                                                                                                                                                                                                                                                                                        <w:left w:val="none" w:sz="0" w:space="0" w:color="auto"/>
                                                                                                                                                                                                                                                                                                                                                                                        <w:bottom w:val="none" w:sz="0" w:space="0" w:color="auto"/>
                                                                                                                                                                                                                                                                                                                                                                                        <w:right w:val="none" w:sz="0" w:space="0" w:color="auto"/>
                                                                                                                                                                                                                                                                                                                                                                                      </w:divBdr>
                                                                                                                                                                                                                                                                                                                                                                                      <w:divsChild>
                                                                                                                                                                                                                                                                                                                                                                                        <w:div w:id="2028825556">
                                                                                                                                                                                                                                                                                                                                                                                          <w:marLeft w:val="0"/>
                                                                                                                                                                                                                                                                                                                                                                                          <w:marRight w:val="0"/>
                                                                                                                                                                                                                                                                                                                                                                                          <w:marTop w:val="0"/>
                                                                                                                                                                                                                                                                                                                                                                                          <w:marBottom w:val="0"/>
                                                                                                                                                                                                                                                                                                                                                                                          <w:divBdr>
                                                                                                                                                                                                                                                                                                                                                                                            <w:top w:val="none" w:sz="0" w:space="0" w:color="auto"/>
                                                                                                                                                                                                                                                                                                                                                                                            <w:left w:val="none" w:sz="0" w:space="0" w:color="auto"/>
                                                                                                                                                                                                                                                                                                                                                                                            <w:bottom w:val="none" w:sz="0" w:space="0" w:color="auto"/>
                                                                                                                                                                                                                                                                                                                                                                                            <w:right w:val="none" w:sz="0" w:space="0" w:color="auto"/>
                                                                                                                                                                                                                                                                                                                                                                                          </w:divBdr>
                                                                                                                                                                                                                                                                                                                                                                                          <w:divsChild>
                                                                                                                                                                                                                                                                                                                                                                                            <w:div w:id="445348355">
                                                                                                                                                                                                                                                                                                                                                                                              <w:marLeft w:val="0"/>
                                                                                                                                                                                                                                                                                                                                                                                              <w:marRight w:val="0"/>
                                                                                                                                                                                                                                                                                                                                                                                              <w:marTop w:val="0"/>
                                                                                                                                                                                                                                                                                                                                                                                              <w:marBottom w:val="0"/>
                                                                                                                                                                                                                                                                                                                                                                                              <w:divBdr>
                                                                                                                                                                                                                                                                                                                                                                                                <w:top w:val="none" w:sz="0" w:space="0" w:color="auto"/>
                                                                                                                                                                                                                                                                                                                                                                                                <w:left w:val="none" w:sz="0" w:space="0" w:color="auto"/>
                                                                                                                                                                                                                                                                                                                                                                                                <w:bottom w:val="none" w:sz="0" w:space="0" w:color="auto"/>
                                                                                                                                                                                                                                                                                                                                                                                                <w:right w:val="none" w:sz="0" w:space="0" w:color="auto"/>
                                                                                                                                                                                                                                                                                                                                                                                              </w:divBdr>
                                                                                                                                                                                                                                                                                                                                                                                              <w:divsChild>
                                                                                                                                                                                                                                                                                                                                                                                                <w:div w:id="510992995">
                                                                                                                                                                                                                                                                                                                                                                                                  <w:marLeft w:val="0"/>
                                                                                                                                                                                                                                                                                                                                                                                                  <w:marRight w:val="0"/>
                                                                                                                                                                                                                                                                                                                                                                                                  <w:marTop w:val="0"/>
                                                                                                                                                                                                                                                                                                                                                                                                  <w:marBottom w:val="0"/>
                                                                                                                                                                                                                                                                                                                                                                                                  <w:divBdr>
                                                                                                                                                                                                                                                                                                                                                                                                    <w:top w:val="none" w:sz="0" w:space="0" w:color="auto"/>
                                                                                                                                                                                                                                                                                                                                                                                                    <w:left w:val="none" w:sz="0" w:space="0" w:color="auto"/>
                                                                                                                                                                                                                                                                                                                                                                                                    <w:bottom w:val="none" w:sz="0" w:space="0" w:color="auto"/>
                                                                                                                                                                                                                                                                                                                                                                                                    <w:right w:val="none" w:sz="0" w:space="0" w:color="auto"/>
                                                                                                                                                                                                                                                                                                                                                                                                  </w:divBdr>
                                                                                                                                                                                                                                                                                                                                                                                                  <w:divsChild>
                                                                                                                                                                                                                                                                                                                                                                                                    <w:div w:id="1927110504">
                                                                                                                                                                                                                                                                                                                                                                                                      <w:marLeft w:val="0"/>
                                                                                                                                                                                                                                                                                                                                                                                                      <w:marRight w:val="0"/>
                                                                                                                                                                                                                                                                                                                                                                                                      <w:marTop w:val="0"/>
                                                                                                                                                                                                                                                                                                                                                                                                      <w:marBottom w:val="0"/>
                                                                                                                                                                                                                                                                                                                                                                                                      <w:divBdr>
                                                                                                                                                                                                                                                                                                                                                                                                        <w:top w:val="none" w:sz="0" w:space="0" w:color="auto"/>
                                                                                                                                                                                                                                                                                                                                                                                                        <w:left w:val="none" w:sz="0" w:space="0" w:color="auto"/>
                                                                                                                                                                                                                                                                                                                                                                                                        <w:bottom w:val="none" w:sz="0" w:space="0" w:color="auto"/>
                                                                                                                                                                                                                                                                                                                                                                                                        <w:right w:val="none" w:sz="0" w:space="0" w:color="auto"/>
                                                                                                                                                                                                                                                                                                                                                                                                      </w:divBdr>
                                                                                                                                                                                                                                                                                                                                                                                                      <w:divsChild>
                                                                                                                                                                                                                                                                                                                                                                                                        <w:div w:id="1161117316">
                                                                                                                                                                                                                                                                                                                                                                                                          <w:marLeft w:val="0"/>
                                                                                                                                                                                                                                                                                                                                                                                                          <w:marRight w:val="0"/>
                                                                                                                                                                                                                                                                                                                                                                                                          <w:marTop w:val="0"/>
                                                                                                                                                                                                                                                                                                                                                                                                          <w:marBottom w:val="0"/>
                                                                                                                                                                                                                                                                                                                                                                                                          <w:divBdr>
                                                                                                                                                                                                                                                                                                                                                                                                            <w:top w:val="none" w:sz="0" w:space="0" w:color="auto"/>
                                                                                                                                                                                                                                                                                                                                                                                                            <w:left w:val="none" w:sz="0" w:space="0" w:color="auto"/>
                                                                                                                                                                                                                                                                                                                                                                                                            <w:bottom w:val="none" w:sz="0" w:space="0" w:color="auto"/>
                                                                                                                                                                                                                                                                                                                                                                                                            <w:right w:val="none" w:sz="0" w:space="0" w:color="auto"/>
                                                                                                                                                                                                                                                                                                                                                                                                          </w:divBdr>
                                                                                                                                                                                                                                                                                                                                                                                                          <w:divsChild>
                                                                                                                                                                                                                                                                                                                                                                                                            <w:div w:id="1911847697">
                                                                                                                                                                                                                                                                                                                                                                                                              <w:marLeft w:val="0"/>
                                                                                                                                                                                                                                                                                                                                                                                                              <w:marRight w:val="0"/>
                                                                                                                                                                                                                                                                                                                                                                                                              <w:marTop w:val="0"/>
                                                                                                                                                                                                                                                                                                                                                                                                              <w:marBottom w:val="0"/>
                                                                                                                                                                                                                                                                                                                                                                                                              <w:divBdr>
                                                                                                                                                                                                                                                                                                                                                                                                                <w:top w:val="none" w:sz="0" w:space="0" w:color="auto"/>
                                                                                                                                                                                                                                                                                                                                                                                                                <w:left w:val="none" w:sz="0" w:space="0" w:color="auto"/>
                                                                                                                                                                                                                                                                                                                                                                                                                <w:bottom w:val="none" w:sz="0" w:space="0" w:color="auto"/>
                                                                                                                                                                                                                                                                                                                                                                                                                <w:right w:val="none" w:sz="0" w:space="0" w:color="auto"/>
                                                                                                                                                                                                                                                                                                                                                                                                              </w:divBdr>
                                                                                                                                                                                                                                                                                                                                                                                                              <w:divsChild>
                                                                                                                                                                                                                                                                                                                                                                                                                <w:div w:id="745222216">
                                                                                                                                                                                                                                                                                                                                                                                                                  <w:marLeft w:val="0"/>
                                                                                                                                                                                                                                                                                                                                                                                                                  <w:marRight w:val="0"/>
                                                                                                                                                                                                                                                                                                                                                                                                                  <w:marTop w:val="0"/>
                                                                                                                                                                                                                                                                                                                                                                                                                  <w:marBottom w:val="0"/>
                                                                                                                                                                                                                                                                                                                                                                                                                  <w:divBdr>
                                                                                                                                                                                                                                                                                                                                                                                                                    <w:top w:val="none" w:sz="0" w:space="0" w:color="auto"/>
                                                                                                                                                                                                                                                                                                                                                                                                                    <w:left w:val="none" w:sz="0" w:space="0" w:color="auto"/>
                                                                                                                                                                                                                                                                                                                                                                                                                    <w:bottom w:val="none" w:sz="0" w:space="0" w:color="auto"/>
                                                                                                                                                                                                                                                                                                                                                                                                                    <w:right w:val="none" w:sz="0" w:space="0" w:color="auto"/>
                                                                                                                                                                                                                                                                                                                                                                                                                  </w:divBdr>
                                                                                                                                                                                                                                                                                                                                                                                                                  <w:divsChild>
                                                                                                                                                                                                                                                                                                                                                                                                                    <w:div w:id="400828512">
                                                                                                                                                                                                                                                                                                                                                                                                                      <w:marLeft w:val="0"/>
                                                                                                                                                                                                                                                                                                                                                                                                                      <w:marRight w:val="0"/>
                                                                                                                                                                                                                                                                                                                                                                                                                      <w:marTop w:val="0"/>
                                                                                                                                                                                                                                                                                                                                                                                                                      <w:marBottom w:val="0"/>
                                                                                                                                                                                                                                                                                                                                                                                                                      <w:divBdr>
                                                                                                                                                                                                                                                                                                                                                                                                                        <w:top w:val="none" w:sz="0" w:space="0" w:color="auto"/>
                                                                                                                                                                                                                                                                                                                                                                                                                        <w:left w:val="none" w:sz="0" w:space="0" w:color="auto"/>
                                                                                                                                                                                                                                                                                                                                                                                                                        <w:bottom w:val="none" w:sz="0" w:space="0" w:color="auto"/>
                                                                                                                                                                                                                                                                                                                                                                                                                        <w:right w:val="none" w:sz="0" w:space="0" w:color="auto"/>
                                                                                                                                                                                                                                                                                                                                                                                                                      </w:divBdr>
                                                                                                                                                                                                                                                                                                                                                                                                                      <w:divsChild>
                                                                                                                                                                                                                                                                                                                                                                                                                        <w:div w:id="236205732">
                                                                                                                                                                                                                                                                                                                                                                                                                          <w:marLeft w:val="0"/>
                                                                                                                                                                                                                                                                                                                                                                                                                          <w:marRight w:val="0"/>
                                                                                                                                                                                                                                                                                                                                                                                                                          <w:marTop w:val="0"/>
                                                                                                                                                                                                                                                                                                                                                                                                                          <w:marBottom w:val="0"/>
                                                                                                                                                                                                                                                                                                                                                                                                                          <w:divBdr>
                                                                                                                                                                                                                                                                                                                                                                                                                            <w:top w:val="none" w:sz="0" w:space="0" w:color="auto"/>
                                                                                                                                                                                                                                                                                                                                                                                                                            <w:left w:val="none" w:sz="0" w:space="0" w:color="auto"/>
                                                                                                                                                                                                                                                                                                                                                                                                                            <w:bottom w:val="none" w:sz="0" w:space="0" w:color="auto"/>
                                                                                                                                                                                                                                                                                                                                                                                                                            <w:right w:val="none" w:sz="0" w:space="0" w:color="auto"/>
                                                                                                                                                                                                                                                                                                                                                                                                                          </w:divBdr>
                                                                                                                                                                                                                                                                                                                                                                                                                          <w:divsChild>
                                                                                                                                                                                                                                                                                                                                                                                                                            <w:div w:id="1401951427">
                                                                                                                                                                                                                                                                                                                                                                                                                              <w:marLeft w:val="0"/>
                                                                                                                                                                                                                                                                                                                                                                                                                              <w:marRight w:val="0"/>
                                                                                                                                                                                                                                                                                                                                                                                                                              <w:marTop w:val="0"/>
                                                                                                                                                                                                                                                                                                                                                                                                                              <w:marBottom w:val="0"/>
                                                                                                                                                                                                                                                                                                                                                                                                                              <w:divBdr>
                                                                                                                                                                                                                                                                                                                                                                                                                                <w:top w:val="none" w:sz="0" w:space="0" w:color="auto"/>
                                                                                                                                                                                                                                                                                                                                                                                                                                <w:left w:val="none" w:sz="0" w:space="0" w:color="auto"/>
                                                                                                                                                                                                                                                                                                                                                                                                                                <w:bottom w:val="none" w:sz="0" w:space="0" w:color="auto"/>
                                                                                                                                                                                                                                                                                                                                                                                                                                <w:right w:val="none" w:sz="0" w:space="0" w:color="auto"/>
                                                                                                                                                                                                                                                                                                                                                                                                                              </w:divBdr>
                                                                                                                                                                                                                                                                                                                                                                                                                              <w:divsChild>
                                                                                                                                                                                                                                                                                                                                                                                                                                <w:div w:id="1384523931">
                                                                                                                                                                                                                                                                                                                                                                                                                                  <w:marLeft w:val="0"/>
                                                                                                                                                                                                                                                                                                                                                                                                                                  <w:marRight w:val="0"/>
                                                                                                                                                                                                                                                                                                                                                                                                                                  <w:marTop w:val="0"/>
                                                                                                                                                                                                                                                                                                                                                                                                                                  <w:marBottom w:val="0"/>
                                                                                                                                                                                                                                                                                                                                                                                                                                  <w:divBdr>
                                                                                                                                                                                                                                                                                                                                                                                                                                    <w:top w:val="none" w:sz="0" w:space="0" w:color="auto"/>
                                                                                                                                                                                                                                                                                                                                                                                                                                    <w:left w:val="none" w:sz="0" w:space="0" w:color="auto"/>
                                                                                                                                                                                                                                                                                                                                                                                                                                    <w:bottom w:val="none" w:sz="0" w:space="0" w:color="auto"/>
                                                                                                                                                                                                                                                                                                                                                                                                                                    <w:right w:val="none" w:sz="0" w:space="0" w:color="auto"/>
                                                                                                                                                                                                                                                                                                                                                                                                                                  </w:divBdr>
                                                                                                                                                                                                                                                                                                                                                                                                                                  <w:divsChild>
                                                                                                                                                                                                                                                                                                                                                                                                                                    <w:div w:id="54280301">
                                                                                                                                                                                                                                                                                                                                                                                                                                      <w:marLeft w:val="0"/>
                                                                                                                                                                                                                                                                                                                                                                                                                                      <w:marRight w:val="0"/>
                                                                                                                                                                                                                                                                                                                                                                                                                                      <w:marTop w:val="0"/>
                                                                                                                                                                                                                                                                                                                                                                                                                                      <w:marBottom w:val="0"/>
                                                                                                                                                                                                                                                                                                                                                                                                                                      <w:divBdr>
                                                                                                                                                                                                                                                                                                                                                                                                                                        <w:top w:val="none" w:sz="0" w:space="0" w:color="auto"/>
                                                                                                                                                                                                                                                                                                                                                                                                                                        <w:left w:val="none" w:sz="0" w:space="0" w:color="auto"/>
                                                                                                                                                                                                                                                                                                                                                                                                                                        <w:bottom w:val="none" w:sz="0" w:space="0" w:color="auto"/>
                                                                                                                                                                                                                                                                                                                                                                                                                                        <w:right w:val="none" w:sz="0" w:space="0" w:color="auto"/>
                                                                                                                                                                                                                                                                                                                                                                                                                                      </w:divBdr>
                                                                                                                                                                                                                                                                                                                                                                                                                                      <w:divsChild>
                                                                                                                                                                                                                                                                                                                                                                                                                                        <w:div w:id="993988403">
                                                                                                                                                                                                                                                                                                                                                                                                                                          <w:marLeft w:val="0"/>
                                                                                                                                                                                                                                                                                                                                                                                                                                          <w:marRight w:val="0"/>
                                                                                                                                                                                                                                                                                                                                                                                                                                          <w:marTop w:val="0"/>
                                                                                                                                                                                                                                                                                                                                                                                                                                          <w:marBottom w:val="0"/>
                                                                                                                                                                                                                                                                                                                                                                                                                                          <w:divBdr>
                                                                                                                                                                                                                                                                                                                                                                                                                                            <w:top w:val="none" w:sz="0" w:space="0" w:color="auto"/>
                                                                                                                                                                                                                                                                                                                                                                                                                                            <w:left w:val="none" w:sz="0" w:space="0" w:color="auto"/>
                                                                                                                                                                                                                                                                                                                                                                                                                                            <w:bottom w:val="none" w:sz="0" w:space="0" w:color="auto"/>
                                                                                                                                                                                                                                                                                                                                                                                                                                            <w:right w:val="none" w:sz="0" w:space="0" w:color="auto"/>
                                                                                                                                                                                                                                                                                                                                                                                                                                          </w:divBdr>
                                                                                                                                                                                                                                                                                                                                                                                                                                          <w:divsChild>
                                                                                                                                                                                                                                                                                                                                                                                                                                            <w:div w:id="1136219607">
                                                                                                                                                                                                                                                                                                                                                                                                                                              <w:marLeft w:val="0"/>
                                                                                                                                                                                                                                                                                                                                                                                                                                              <w:marRight w:val="0"/>
                                                                                                                                                                                                                                                                                                                                                                                                                                              <w:marTop w:val="0"/>
                                                                                                                                                                                                                                                                                                                                                                                                                                              <w:marBottom w:val="0"/>
                                                                                                                                                                                                                                                                                                                                                                                                                                              <w:divBdr>
                                                                                                                                                                                                                                                                                                                                                                                                                                                <w:top w:val="none" w:sz="0" w:space="0" w:color="auto"/>
                                                                                                                                                                                                                                                                                                                                                                                                                                                <w:left w:val="none" w:sz="0" w:space="0" w:color="auto"/>
                                                                                                                                                                                                                                                                                                                                                                                                                                                <w:bottom w:val="none" w:sz="0" w:space="0" w:color="auto"/>
                                                                                                                                                                                                                                                                                                                                                                                                                                                <w:right w:val="none" w:sz="0" w:space="0" w:color="auto"/>
                                                                                                                                                                                                                                                                                                                                                                                                                                              </w:divBdr>
                                                                                                                                                                                                                                                                                                                                                                                                                                              <w:divsChild>
                                                                                                                                                                                                                                                                                                                                                                                                                                                <w:div w:id="14108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18337">
          <w:marLeft w:val="0"/>
          <w:marRight w:val="0"/>
          <w:marTop w:val="0"/>
          <w:marBottom w:val="0"/>
          <w:divBdr>
            <w:top w:val="none" w:sz="0" w:space="0" w:color="auto"/>
            <w:left w:val="none" w:sz="0" w:space="0" w:color="auto"/>
            <w:bottom w:val="none" w:sz="0" w:space="0" w:color="auto"/>
            <w:right w:val="none" w:sz="0" w:space="0" w:color="auto"/>
          </w:divBdr>
        </w:div>
      </w:divsChild>
    </w:div>
    <w:div w:id="1351565317">
      <w:bodyDiv w:val="1"/>
      <w:marLeft w:val="0"/>
      <w:marRight w:val="0"/>
      <w:marTop w:val="0"/>
      <w:marBottom w:val="0"/>
      <w:divBdr>
        <w:top w:val="none" w:sz="0" w:space="0" w:color="auto"/>
        <w:left w:val="none" w:sz="0" w:space="0" w:color="auto"/>
        <w:bottom w:val="none" w:sz="0" w:space="0" w:color="auto"/>
        <w:right w:val="none" w:sz="0" w:space="0" w:color="auto"/>
      </w:divBdr>
    </w:div>
    <w:div w:id="1370184398">
      <w:bodyDiv w:val="1"/>
      <w:marLeft w:val="0"/>
      <w:marRight w:val="0"/>
      <w:marTop w:val="0"/>
      <w:marBottom w:val="0"/>
      <w:divBdr>
        <w:top w:val="none" w:sz="0" w:space="0" w:color="auto"/>
        <w:left w:val="none" w:sz="0" w:space="0" w:color="auto"/>
        <w:bottom w:val="none" w:sz="0" w:space="0" w:color="auto"/>
        <w:right w:val="none" w:sz="0" w:space="0" w:color="auto"/>
      </w:divBdr>
    </w:div>
    <w:div w:id="1434789993">
      <w:bodyDiv w:val="1"/>
      <w:marLeft w:val="0"/>
      <w:marRight w:val="0"/>
      <w:marTop w:val="0"/>
      <w:marBottom w:val="0"/>
      <w:divBdr>
        <w:top w:val="none" w:sz="0" w:space="0" w:color="auto"/>
        <w:left w:val="none" w:sz="0" w:space="0" w:color="auto"/>
        <w:bottom w:val="none" w:sz="0" w:space="0" w:color="auto"/>
        <w:right w:val="none" w:sz="0" w:space="0" w:color="auto"/>
      </w:divBdr>
    </w:div>
    <w:div w:id="1450662925">
      <w:bodyDiv w:val="1"/>
      <w:marLeft w:val="0"/>
      <w:marRight w:val="0"/>
      <w:marTop w:val="0"/>
      <w:marBottom w:val="0"/>
      <w:divBdr>
        <w:top w:val="none" w:sz="0" w:space="0" w:color="auto"/>
        <w:left w:val="none" w:sz="0" w:space="0" w:color="auto"/>
        <w:bottom w:val="none" w:sz="0" w:space="0" w:color="auto"/>
        <w:right w:val="none" w:sz="0" w:space="0" w:color="auto"/>
      </w:divBdr>
    </w:div>
    <w:div w:id="1638686926">
      <w:bodyDiv w:val="1"/>
      <w:marLeft w:val="0"/>
      <w:marRight w:val="0"/>
      <w:marTop w:val="0"/>
      <w:marBottom w:val="0"/>
      <w:divBdr>
        <w:top w:val="none" w:sz="0" w:space="0" w:color="auto"/>
        <w:left w:val="none" w:sz="0" w:space="0" w:color="auto"/>
        <w:bottom w:val="none" w:sz="0" w:space="0" w:color="auto"/>
        <w:right w:val="none" w:sz="0" w:space="0" w:color="auto"/>
      </w:divBdr>
    </w:div>
    <w:div w:id="1706101443">
      <w:bodyDiv w:val="1"/>
      <w:marLeft w:val="0"/>
      <w:marRight w:val="0"/>
      <w:marTop w:val="0"/>
      <w:marBottom w:val="0"/>
      <w:divBdr>
        <w:top w:val="none" w:sz="0" w:space="0" w:color="auto"/>
        <w:left w:val="none" w:sz="0" w:space="0" w:color="auto"/>
        <w:bottom w:val="none" w:sz="0" w:space="0" w:color="auto"/>
        <w:right w:val="none" w:sz="0" w:space="0" w:color="auto"/>
      </w:divBdr>
    </w:div>
    <w:div w:id="1797793570">
      <w:bodyDiv w:val="1"/>
      <w:marLeft w:val="0"/>
      <w:marRight w:val="0"/>
      <w:marTop w:val="0"/>
      <w:marBottom w:val="0"/>
      <w:divBdr>
        <w:top w:val="none" w:sz="0" w:space="0" w:color="auto"/>
        <w:left w:val="none" w:sz="0" w:space="0" w:color="auto"/>
        <w:bottom w:val="none" w:sz="0" w:space="0" w:color="auto"/>
        <w:right w:val="none" w:sz="0" w:space="0" w:color="auto"/>
      </w:divBdr>
    </w:div>
    <w:div w:id="1959986665">
      <w:bodyDiv w:val="1"/>
      <w:marLeft w:val="0"/>
      <w:marRight w:val="0"/>
      <w:marTop w:val="0"/>
      <w:marBottom w:val="0"/>
      <w:divBdr>
        <w:top w:val="none" w:sz="0" w:space="0" w:color="auto"/>
        <w:left w:val="none" w:sz="0" w:space="0" w:color="auto"/>
        <w:bottom w:val="none" w:sz="0" w:space="0" w:color="auto"/>
        <w:right w:val="none" w:sz="0" w:space="0" w:color="auto"/>
      </w:divBdr>
    </w:div>
    <w:div w:id="1988968374">
      <w:bodyDiv w:val="1"/>
      <w:marLeft w:val="0"/>
      <w:marRight w:val="0"/>
      <w:marTop w:val="0"/>
      <w:marBottom w:val="0"/>
      <w:divBdr>
        <w:top w:val="none" w:sz="0" w:space="0" w:color="auto"/>
        <w:left w:val="none" w:sz="0" w:space="0" w:color="auto"/>
        <w:bottom w:val="none" w:sz="0" w:space="0" w:color="auto"/>
        <w:right w:val="none" w:sz="0" w:space="0" w:color="auto"/>
      </w:divBdr>
    </w:div>
    <w:div w:id="2065982023">
      <w:bodyDiv w:val="1"/>
      <w:marLeft w:val="0"/>
      <w:marRight w:val="0"/>
      <w:marTop w:val="0"/>
      <w:marBottom w:val="0"/>
      <w:divBdr>
        <w:top w:val="none" w:sz="0" w:space="0" w:color="auto"/>
        <w:left w:val="none" w:sz="0" w:space="0" w:color="auto"/>
        <w:bottom w:val="none" w:sz="0" w:space="0" w:color="auto"/>
        <w:right w:val="none" w:sz="0" w:space="0" w:color="auto"/>
      </w:divBdr>
    </w:div>
    <w:div w:id="2069648440">
      <w:bodyDiv w:val="1"/>
      <w:marLeft w:val="0"/>
      <w:marRight w:val="0"/>
      <w:marTop w:val="0"/>
      <w:marBottom w:val="0"/>
      <w:divBdr>
        <w:top w:val="none" w:sz="0" w:space="0" w:color="auto"/>
        <w:left w:val="none" w:sz="0" w:space="0" w:color="auto"/>
        <w:bottom w:val="none" w:sz="0" w:space="0" w:color="auto"/>
        <w:right w:val="none" w:sz="0" w:space="0" w:color="auto"/>
      </w:divBdr>
    </w:div>
    <w:div w:id="2113744062">
      <w:bodyDiv w:val="1"/>
      <w:marLeft w:val="0"/>
      <w:marRight w:val="0"/>
      <w:marTop w:val="0"/>
      <w:marBottom w:val="0"/>
      <w:divBdr>
        <w:top w:val="none" w:sz="0" w:space="0" w:color="auto"/>
        <w:left w:val="none" w:sz="0" w:space="0" w:color="auto"/>
        <w:bottom w:val="none" w:sz="0" w:space="0" w:color="auto"/>
        <w:right w:val="none" w:sz="0" w:space="0" w:color="auto"/>
      </w:divBdr>
    </w:div>
    <w:div w:id="21316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vestor"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mailto:luffm@tcd.i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tha%20O'Hagan%20Luff\Dropbox\PhD\PhD\Paper%202\Finding%20a%20breakpoi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tha%20O'Hagan%20Luff\Dropbox\PhD\PhD\Paper%202\Finding%20a%20breakpoi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S&amp;P500</a:t>
            </a:r>
          </a:p>
        </c:rich>
      </c:tx>
      <c:overlay val="0"/>
    </c:title>
    <c:autoTitleDeleted val="0"/>
    <c:plotArea>
      <c:layout/>
      <c:lineChart>
        <c:grouping val="standard"/>
        <c:varyColors val="0"/>
        <c:ser>
          <c:idx val="0"/>
          <c:order val="0"/>
          <c:tx>
            <c:strRef>
              <c:f>Sheet1!$B$1:$B$2</c:f>
              <c:strCache>
                <c:ptCount val="1"/>
                <c:pt idx="0">
                  <c:v>s&amp;p</c:v>
                </c:pt>
              </c:strCache>
            </c:strRef>
          </c:tx>
          <c:marker>
            <c:symbol val="none"/>
          </c:marker>
          <c:cat>
            <c:numRef>
              <c:f>Sheet1!$A$3:$A$797</c:f>
              <c:numCache>
                <c:formatCode>m/d/yyyy</c:formatCode>
                <c:ptCount val="795"/>
                <c:pt idx="0">
                  <c:v>35153</c:v>
                </c:pt>
                <c:pt idx="1">
                  <c:v>35160</c:v>
                </c:pt>
                <c:pt idx="2">
                  <c:v>35167</c:v>
                </c:pt>
                <c:pt idx="3">
                  <c:v>35174</c:v>
                </c:pt>
                <c:pt idx="4">
                  <c:v>35181</c:v>
                </c:pt>
                <c:pt idx="5">
                  <c:v>35188</c:v>
                </c:pt>
                <c:pt idx="6">
                  <c:v>35195</c:v>
                </c:pt>
                <c:pt idx="7">
                  <c:v>35202</c:v>
                </c:pt>
                <c:pt idx="8">
                  <c:v>35209</c:v>
                </c:pt>
                <c:pt idx="9">
                  <c:v>35216</c:v>
                </c:pt>
                <c:pt idx="10">
                  <c:v>35223</c:v>
                </c:pt>
                <c:pt idx="11">
                  <c:v>35230</c:v>
                </c:pt>
                <c:pt idx="12">
                  <c:v>35237</c:v>
                </c:pt>
                <c:pt idx="13">
                  <c:v>35244</c:v>
                </c:pt>
                <c:pt idx="14">
                  <c:v>35251</c:v>
                </c:pt>
                <c:pt idx="15">
                  <c:v>35258</c:v>
                </c:pt>
                <c:pt idx="16">
                  <c:v>35265</c:v>
                </c:pt>
                <c:pt idx="17">
                  <c:v>35272</c:v>
                </c:pt>
                <c:pt idx="18">
                  <c:v>35279</c:v>
                </c:pt>
                <c:pt idx="19">
                  <c:v>35286</c:v>
                </c:pt>
                <c:pt idx="20">
                  <c:v>35293</c:v>
                </c:pt>
                <c:pt idx="21">
                  <c:v>35300</c:v>
                </c:pt>
                <c:pt idx="22">
                  <c:v>35307</c:v>
                </c:pt>
                <c:pt idx="23">
                  <c:v>35314</c:v>
                </c:pt>
                <c:pt idx="24">
                  <c:v>35321</c:v>
                </c:pt>
                <c:pt idx="25">
                  <c:v>35328</c:v>
                </c:pt>
                <c:pt idx="26">
                  <c:v>35335</c:v>
                </c:pt>
                <c:pt idx="27">
                  <c:v>35342</c:v>
                </c:pt>
                <c:pt idx="28">
                  <c:v>35349</c:v>
                </c:pt>
                <c:pt idx="29">
                  <c:v>35356</c:v>
                </c:pt>
                <c:pt idx="30">
                  <c:v>35363</c:v>
                </c:pt>
                <c:pt idx="31">
                  <c:v>35370</c:v>
                </c:pt>
                <c:pt idx="32">
                  <c:v>35377</c:v>
                </c:pt>
                <c:pt idx="33">
                  <c:v>35384</c:v>
                </c:pt>
                <c:pt idx="34">
                  <c:v>35391</c:v>
                </c:pt>
                <c:pt idx="35">
                  <c:v>35398</c:v>
                </c:pt>
                <c:pt idx="36">
                  <c:v>35405</c:v>
                </c:pt>
                <c:pt idx="37">
                  <c:v>35412</c:v>
                </c:pt>
                <c:pt idx="38">
                  <c:v>35419</c:v>
                </c:pt>
                <c:pt idx="39">
                  <c:v>35426</c:v>
                </c:pt>
                <c:pt idx="40">
                  <c:v>35433</c:v>
                </c:pt>
                <c:pt idx="41">
                  <c:v>35440</c:v>
                </c:pt>
                <c:pt idx="42">
                  <c:v>35447</c:v>
                </c:pt>
                <c:pt idx="43">
                  <c:v>35454</c:v>
                </c:pt>
                <c:pt idx="44">
                  <c:v>35461</c:v>
                </c:pt>
                <c:pt idx="45">
                  <c:v>35468</c:v>
                </c:pt>
                <c:pt idx="46">
                  <c:v>35475</c:v>
                </c:pt>
                <c:pt idx="47">
                  <c:v>35482</c:v>
                </c:pt>
                <c:pt idx="48">
                  <c:v>35489</c:v>
                </c:pt>
                <c:pt idx="49">
                  <c:v>35496</c:v>
                </c:pt>
                <c:pt idx="50">
                  <c:v>35503</c:v>
                </c:pt>
                <c:pt idx="51">
                  <c:v>35510</c:v>
                </c:pt>
                <c:pt idx="52">
                  <c:v>35517</c:v>
                </c:pt>
                <c:pt idx="53">
                  <c:v>35524</c:v>
                </c:pt>
                <c:pt idx="54">
                  <c:v>35531</c:v>
                </c:pt>
                <c:pt idx="55">
                  <c:v>35538</c:v>
                </c:pt>
                <c:pt idx="56">
                  <c:v>35545</c:v>
                </c:pt>
                <c:pt idx="57">
                  <c:v>35552</c:v>
                </c:pt>
                <c:pt idx="58">
                  <c:v>35559</c:v>
                </c:pt>
                <c:pt idx="59">
                  <c:v>35566</c:v>
                </c:pt>
                <c:pt idx="60">
                  <c:v>35573</c:v>
                </c:pt>
                <c:pt idx="61">
                  <c:v>35580</c:v>
                </c:pt>
                <c:pt idx="62">
                  <c:v>35587</c:v>
                </c:pt>
                <c:pt idx="63">
                  <c:v>35594</c:v>
                </c:pt>
                <c:pt idx="64">
                  <c:v>35601</c:v>
                </c:pt>
                <c:pt idx="65">
                  <c:v>35608</c:v>
                </c:pt>
                <c:pt idx="66">
                  <c:v>35615</c:v>
                </c:pt>
                <c:pt idx="67">
                  <c:v>35622</c:v>
                </c:pt>
                <c:pt idx="68">
                  <c:v>35629</c:v>
                </c:pt>
                <c:pt idx="69">
                  <c:v>35636</c:v>
                </c:pt>
                <c:pt idx="70">
                  <c:v>35643</c:v>
                </c:pt>
                <c:pt idx="71">
                  <c:v>35650</c:v>
                </c:pt>
                <c:pt idx="72">
                  <c:v>35657</c:v>
                </c:pt>
                <c:pt idx="73">
                  <c:v>35664</c:v>
                </c:pt>
                <c:pt idx="74">
                  <c:v>35671</c:v>
                </c:pt>
                <c:pt idx="75">
                  <c:v>35678</c:v>
                </c:pt>
                <c:pt idx="76">
                  <c:v>35685</c:v>
                </c:pt>
                <c:pt idx="77">
                  <c:v>35692</c:v>
                </c:pt>
                <c:pt idx="78">
                  <c:v>35699</c:v>
                </c:pt>
                <c:pt idx="79">
                  <c:v>35706</c:v>
                </c:pt>
                <c:pt idx="80">
                  <c:v>35713</c:v>
                </c:pt>
                <c:pt idx="81">
                  <c:v>35720</c:v>
                </c:pt>
                <c:pt idx="82">
                  <c:v>35727</c:v>
                </c:pt>
                <c:pt idx="83">
                  <c:v>35734</c:v>
                </c:pt>
                <c:pt idx="84">
                  <c:v>35741</c:v>
                </c:pt>
                <c:pt idx="85">
                  <c:v>35748</c:v>
                </c:pt>
                <c:pt idx="86">
                  <c:v>35755</c:v>
                </c:pt>
                <c:pt idx="87">
                  <c:v>35762</c:v>
                </c:pt>
                <c:pt idx="88">
                  <c:v>35769</c:v>
                </c:pt>
                <c:pt idx="89">
                  <c:v>35776</c:v>
                </c:pt>
                <c:pt idx="90">
                  <c:v>35783</c:v>
                </c:pt>
                <c:pt idx="91">
                  <c:v>35790</c:v>
                </c:pt>
                <c:pt idx="92">
                  <c:v>35797</c:v>
                </c:pt>
                <c:pt idx="93">
                  <c:v>35804</c:v>
                </c:pt>
                <c:pt idx="94">
                  <c:v>35811</c:v>
                </c:pt>
                <c:pt idx="95">
                  <c:v>35818</c:v>
                </c:pt>
                <c:pt idx="96">
                  <c:v>35825</c:v>
                </c:pt>
                <c:pt idx="97">
                  <c:v>35832</c:v>
                </c:pt>
                <c:pt idx="98">
                  <c:v>35839</c:v>
                </c:pt>
                <c:pt idx="99">
                  <c:v>35846</c:v>
                </c:pt>
                <c:pt idx="100">
                  <c:v>35853</c:v>
                </c:pt>
                <c:pt idx="101">
                  <c:v>35860</c:v>
                </c:pt>
                <c:pt idx="102">
                  <c:v>35867</c:v>
                </c:pt>
                <c:pt idx="103">
                  <c:v>35874</c:v>
                </c:pt>
                <c:pt idx="104">
                  <c:v>35881</c:v>
                </c:pt>
                <c:pt idx="105">
                  <c:v>35888</c:v>
                </c:pt>
                <c:pt idx="106">
                  <c:v>35895</c:v>
                </c:pt>
                <c:pt idx="107">
                  <c:v>35902</c:v>
                </c:pt>
                <c:pt idx="108">
                  <c:v>35909</c:v>
                </c:pt>
                <c:pt idx="109">
                  <c:v>35916</c:v>
                </c:pt>
                <c:pt idx="110">
                  <c:v>35923</c:v>
                </c:pt>
                <c:pt idx="111">
                  <c:v>35930</c:v>
                </c:pt>
                <c:pt idx="112">
                  <c:v>35937</c:v>
                </c:pt>
                <c:pt idx="113">
                  <c:v>35944</c:v>
                </c:pt>
                <c:pt idx="114">
                  <c:v>35951</c:v>
                </c:pt>
                <c:pt idx="115">
                  <c:v>35958</c:v>
                </c:pt>
                <c:pt idx="116">
                  <c:v>35965</c:v>
                </c:pt>
                <c:pt idx="117">
                  <c:v>35972</c:v>
                </c:pt>
                <c:pt idx="118">
                  <c:v>35979</c:v>
                </c:pt>
                <c:pt idx="119">
                  <c:v>35986</c:v>
                </c:pt>
                <c:pt idx="120">
                  <c:v>35993</c:v>
                </c:pt>
                <c:pt idx="121">
                  <c:v>36000</c:v>
                </c:pt>
                <c:pt idx="122">
                  <c:v>36007</c:v>
                </c:pt>
                <c:pt idx="123">
                  <c:v>36014</c:v>
                </c:pt>
                <c:pt idx="124">
                  <c:v>36021</c:v>
                </c:pt>
                <c:pt idx="125">
                  <c:v>36028</c:v>
                </c:pt>
                <c:pt idx="126">
                  <c:v>36035</c:v>
                </c:pt>
                <c:pt idx="127">
                  <c:v>36042</c:v>
                </c:pt>
                <c:pt idx="128">
                  <c:v>36049</c:v>
                </c:pt>
                <c:pt idx="129">
                  <c:v>36056</c:v>
                </c:pt>
                <c:pt idx="130">
                  <c:v>36063</c:v>
                </c:pt>
                <c:pt idx="131">
                  <c:v>36070</c:v>
                </c:pt>
                <c:pt idx="132">
                  <c:v>36077</c:v>
                </c:pt>
                <c:pt idx="133">
                  <c:v>36084</c:v>
                </c:pt>
                <c:pt idx="134">
                  <c:v>36091</c:v>
                </c:pt>
                <c:pt idx="135">
                  <c:v>36098</c:v>
                </c:pt>
                <c:pt idx="136">
                  <c:v>36105</c:v>
                </c:pt>
                <c:pt idx="137">
                  <c:v>36112</c:v>
                </c:pt>
                <c:pt idx="138">
                  <c:v>36119</c:v>
                </c:pt>
                <c:pt idx="139">
                  <c:v>36126</c:v>
                </c:pt>
                <c:pt idx="140">
                  <c:v>36133</c:v>
                </c:pt>
                <c:pt idx="141">
                  <c:v>36140</c:v>
                </c:pt>
                <c:pt idx="142">
                  <c:v>36147</c:v>
                </c:pt>
                <c:pt idx="143">
                  <c:v>36154</c:v>
                </c:pt>
                <c:pt idx="144">
                  <c:v>36161</c:v>
                </c:pt>
                <c:pt idx="145">
                  <c:v>36168</c:v>
                </c:pt>
                <c:pt idx="146">
                  <c:v>36175</c:v>
                </c:pt>
                <c:pt idx="147">
                  <c:v>36182</c:v>
                </c:pt>
                <c:pt idx="148">
                  <c:v>36189</c:v>
                </c:pt>
                <c:pt idx="149">
                  <c:v>36196</c:v>
                </c:pt>
                <c:pt idx="150">
                  <c:v>36203</c:v>
                </c:pt>
                <c:pt idx="151">
                  <c:v>36210</c:v>
                </c:pt>
                <c:pt idx="152">
                  <c:v>36217</c:v>
                </c:pt>
                <c:pt idx="153">
                  <c:v>36224</c:v>
                </c:pt>
                <c:pt idx="154">
                  <c:v>36231</c:v>
                </c:pt>
                <c:pt idx="155">
                  <c:v>36238</c:v>
                </c:pt>
                <c:pt idx="156">
                  <c:v>36245</c:v>
                </c:pt>
                <c:pt idx="157">
                  <c:v>36252</c:v>
                </c:pt>
                <c:pt idx="158">
                  <c:v>36259</c:v>
                </c:pt>
                <c:pt idx="159">
                  <c:v>36266</c:v>
                </c:pt>
                <c:pt idx="160">
                  <c:v>36273</c:v>
                </c:pt>
                <c:pt idx="161">
                  <c:v>36280</c:v>
                </c:pt>
                <c:pt idx="162">
                  <c:v>36287</c:v>
                </c:pt>
                <c:pt idx="163">
                  <c:v>36294</c:v>
                </c:pt>
                <c:pt idx="164">
                  <c:v>36301</c:v>
                </c:pt>
                <c:pt idx="165">
                  <c:v>36308</c:v>
                </c:pt>
                <c:pt idx="166">
                  <c:v>36315</c:v>
                </c:pt>
                <c:pt idx="167">
                  <c:v>36322</c:v>
                </c:pt>
                <c:pt idx="168">
                  <c:v>36329</c:v>
                </c:pt>
                <c:pt idx="169">
                  <c:v>36336</c:v>
                </c:pt>
                <c:pt idx="170">
                  <c:v>36343</c:v>
                </c:pt>
                <c:pt idx="171">
                  <c:v>36350</c:v>
                </c:pt>
                <c:pt idx="172">
                  <c:v>36357</c:v>
                </c:pt>
                <c:pt idx="173">
                  <c:v>36364</c:v>
                </c:pt>
                <c:pt idx="174">
                  <c:v>36371</c:v>
                </c:pt>
                <c:pt idx="175">
                  <c:v>36378</c:v>
                </c:pt>
                <c:pt idx="176">
                  <c:v>36385</c:v>
                </c:pt>
                <c:pt idx="177">
                  <c:v>36392</c:v>
                </c:pt>
                <c:pt idx="178">
                  <c:v>36399</c:v>
                </c:pt>
                <c:pt idx="179">
                  <c:v>36406</c:v>
                </c:pt>
                <c:pt idx="180">
                  <c:v>36413</c:v>
                </c:pt>
                <c:pt idx="181">
                  <c:v>36420</c:v>
                </c:pt>
                <c:pt idx="182">
                  <c:v>36427</c:v>
                </c:pt>
                <c:pt idx="183">
                  <c:v>36434</c:v>
                </c:pt>
                <c:pt idx="184">
                  <c:v>36441</c:v>
                </c:pt>
                <c:pt idx="185">
                  <c:v>36448</c:v>
                </c:pt>
                <c:pt idx="186">
                  <c:v>36455</c:v>
                </c:pt>
                <c:pt idx="187">
                  <c:v>36462</c:v>
                </c:pt>
                <c:pt idx="188">
                  <c:v>36469</c:v>
                </c:pt>
                <c:pt idx="189">
                  <c:v>36476</c:v>
                </c:pt>
                <c:pt idx="190">
                  <c:v>36483</c:v>
                </c:pt>
                <c:pt idx="191">
                  <c:v>36490</c:v>
                </c:pt>
                <c:pt idx="192">
                  <c:v>36497</c:v>
                </c:pt>
                <c:pt idx="193">
                  <c:v>36504</c:v>
                </c:pt>
                <c:pt idx="194">
                  <c:v>36511</c:v>
                </c:pt>
                <c:pt idx="195">
                  <c:v>36518</c:v>
                </c:pt>
                <c:pt idx="196">
                  <c:v>36525</c:v>
                </c:pt>
                <c:pt idx="197">
                  <c:v>36532</c:v>
                </c:pt>
                <c:pt idx="198">
                  <c:v>36539</c:v>
                </c:pt>
                <c:pt idx="199">
                  <c:v>36546</c:v>
                </c:pt>
                <c:pt idx="200">
                  <c:v>36553</c:v>
                </c:pt>
                <c:pt idx="201">
                  <c:v>36560</c:v>
                </c:pt>
                <c:pt idx="202">
                  <c:v>36567</c:v>
                </c:pt>
                <c:pt idx="203">
                  <c:v>36574</c:v>
                </c:pt>
                <c:pt idx="204">
                  <c:v>36581</c:v>
                </c:pt>
                <c:pt idx="205">
                  <c:v>36588</c:v>
                </c:pt>
                <c:pt idx="206">
                  <c:v>36595</c:v>
                </c:pt>
                <c:pt idx="207">
                  <c:v>36602</c:v>
                </c:pt>
                <c:pt idx="208">
                  <c:v>36609</c:v>
                </c:pt>
                <c:pt idx="209">
                  <c:v>36616</c:v>
                </c:pt>
                <c:pt idx="210">
                  <c:v>36623</c:v>
                </c:pt>
                <c:pt idx="211">
                  <c:v>36630</c:v>
                </c:pt>
                <c:pt idx="212">
                  <c:v>36637</c:v>
                </c:pt>
                <c:pt idx="213">
                  <c:v>36644</c:v>
                </c:pt>
                <c:pt idx="214">
                  <c:v>36651</c:v>
                </c:pt>
                <c:pt idx="215">
                  <c:v>36658</c:v>
                </c:pt>
                <c:pt idx="216">
                  <c:v>36665</c:v>
                </c:pt>
                <c:pt idx="217">
                  <c:v>36672</c:v>
                </c:pt>
                <c:pt idx="218">
                  <c:v>36679</c:v>
                </c:pt>
                <c:pt idx="219">
                  <c:v>36686</c:v>
                </c:pt>
                <c:pt idx="220">
                  <c:v>36693</c:v>
                </c:pt>
                <c:pt idx="221">
                  <c:v>36700</c:v>
                </c:pt>
                <c:pt idx="222">
                  <c:v>36707</c:v>
                </c:pt>
                <c:pt idx="223">
                  <c:v>36714</c:v>
                </c:pt>
                <c:pt idx="224">
                  <c:v>36721</c:v>
                </c:pt>
                <c:pt idx="225">
                  <c:v>36728</c:v>
                </c:pt>
                <c:pt idx="226">
                  <c:v>36735</c:v>
                </c:pt>
                <c:pt idx="227">
                  <c:v>36742</c:v>
                </c:pt>
                <c:pt idx="228">
                  <c:v>36749</c:v>
                </c:pt>
                <c:pt idx="229">
                  <c:v>36756</c:v>
                </c:pt>
                <c:pt idx="230">
                  <c:v>36763</c:v>
                </c:pt>
                <c:pt idx="231">
                  <c:v>36770</c:v>
                </c:pt>
                <c:pt idx="232">
                  <c:v>36777</c:v>
                </c:pt>
                <c:pt idx="233">
                  <c:v>36784</c:v>
                </c:pt>
                <c:pt idx="234">
                  <c:v>36791</c:v>
                </c:pt>
                <c:pt idx="235">
                  <c:v>36798</c:v>
                </c:pt>
                <c:pt idx="236">
                  <c:v>36805</c:v>
                </c:pt>
                <c:pt idx="237">
                  <c:v>36812</c:v>
                </c:pt>
                <c:pt idx="238">
                  <c:v>36819</c:v>
                </c:pt>
                <c:pt idx="239">
                  <c:v>36826</c:v>
                </c:pt>
                <c:pt idx="240">
                  <c:v>36833</c:v>
                </c:pt>
                <c:pt idx="241">
                  <c:v>36840</c:v>
                </c:pt>
                <c:pt idx="242">
                  <c:v>36847</c:v>
                </c:pt>
                <c:pt idx="243">
                  <c:v>36854</c:v>
                </c:pt>
                <c:pt idx="244">
                  <c:v>36861</c:v>
                </c:pt>
                <c:pt idx="245">
                  <c:v>36868</c:v>
                </c:pt>
                <c:pt idx="246">
                  <c:v>36875</c:v>
                </c:pt>
                <c:pt idx="247">
                  <c:v>36882</c:v>
                </c:pt>
                <c:pt idx="248">
                  <c:v>36889</c:v>
                </c:pt>
                <c:pt idx="249">
                  <c:v>36896</c:v>
                </c:pt>
                <c:pt idx="250">
                  <c:v>36903</c:v>
                </c:pt>
                <c:pt idx="251">
                  <c:v>36910</c:v>
                </c:pt>
                <c:pt idx="252">
                  <c:v>36917</c:v>
                </c:pt>
                <c:pt idx="253">
                  <c:v>36924</c:v>
                </c:pt>
                <c:pt idx="254">
                  <c:v>36931</c:v>
                </c:pt>
                <c:pt idx="255">
                  <c:v>36938</c:v>
                </c:pt>
                <c:pt idx="256">
                  <c:v>36945</c:v>
                </c:pt>
                <c:pt idx="257">
                  <c:v>36952</c:v>
                </c:pt>
                <c:pt idx="258">
                  <c:v>36959</c:v>
                </c:pt>
                <c:pt idx="259">
                  <c:v>36966</c:v>
                </c:pt>
                <c:pt idx="260">
                  <c:v>36973</c:v>
                </c:pt>
                <c:pt idx="261">
                  <c:v>36980</c:v>
                </c:pt>
                <c:pt idx="262">
                  <c:v>36987</c:v>
                </c:pt>
                <c:pt idx="263">
                  <c:v>36994</c:v>
                </c:pt>
                <c:pt idx="264">
                  <c:v>37001</c:v>
                </c:pt>
                <c:pt idx="265">
                  <c:v>37008</c:v>
                </c:pt>
                <c:pt idx="266">
                  <c:v>37015</c:v>
                </c:pt>
                <c:pt idx="267">
                  <c:v>37022</c:v>
                </c:pt>
                <c:pt idx="268">
                  <c:v>37029</c:v>
                </c:pt>
                <c:pt idx="269">
                  <c:v>37036</c:v>
                </c:pt>
                <c:pt idx="270">
                  <c:v>37043</c:v>
                </c:pt>
                <c:pt idx="271">
                  <c:v>37050</c:v>
                </c:pt>
                <c:pt idx="272">
                  <c:v>37057</c:v>
                </c:pt>
                <c:pt idx="273">
                  <c:v>37064</c:v>
                </c:pt>
                <c:pt idx="274">
                  <c:v>37071</c:v>
                </c:pt>
                <c:pt idx="275">
                  <c:v>37078</c:v>
                </c:pt>
                <c:pt idx="276">
                  <c:v>37085</c:v>
                </c:pt>
                <c:pt idx="277">
                  <c:v>37092</c:v>
                </c:pt>
                <c:pt idx="278">
                  <c:v>37099</c:v>
                </c:pt>
                <c:pt idx="279">
                  <c:v>37106</c:v>
                </c:pt>
                <c:pt idx="280">
                  <c:v>37113</c:v>
                </c:pt>
                <c:pt idx="281">
                  <c:v>37120</c:v>
                </c:pt>
                <c:pt idx="282">
                  <c:v>37127</c:v>
                </c:pt>
                <c:pt idx="283">
                  <c:v>37134</c:v>
                </c:pt>
                <c:pt idx="284">
                  <c:v>37141</c:v>
                </c:pt>
                <c:pt idx="285">
                  <c:v>37148</c:v>
                </c:pt>
                <c:pt idx="286">
                  <c:v>37155</c:v>
                </c:pt>
                <c:pt idx="287">
                  <c:v>37162</c:v>
                </c:pt>
                <c:pt idx="288">
                  <c:v>37169</c:v>
                </c:pt>
                <c:pt idx="289">
                  <c:v>37176</c:v>
                </c:pt>
                <c:pt idx="290">
                  <c:v>37183</c:v>
                </c:pt>
                <c:pt idx="291">
                  <c:v>37190</c:v>
                </c:pt>
                <c:pt idx="292">
                  <c:v>37197</c:v>
                </c:pt>
                <c:pt idx="293">
                  <c:v>37204</c:v>
                </c:pt>
                <c:pt idx="294">
                  <c:v>37211</c:v>
                </c:pt>
                <c:pt idx="295">
                  <c:v>37218</c:v>
                </c:pt>
                <c:pt idx="296">
                  <c:v>37225</c:v>
                </c:pt>
                <c:pt idx="297">
                  <c:v>37232</c:v>
                </c:pt>
                <c:pt idx="298">
                  <c:v>37239</c:v>
                </c:pt>
                <c:pt idx="299">
                  <c:v>37246</c:v>
                </c:pt>
                <c:pt idx="300">
                  <c:v>37253</c:v>
                </c:pt>
                <c:pt idx="301">
                  <c:v>37260</c:v>
                </c:pt>
                <c:pt idx="302">
                  <c:v>37267</c:v>
                </c:pt>
                <c:pt idx="303">
                  <c:v>37274</c:v>
                </c:pt>
                <c:pt idx="304">
                  <c:v>37281</c:v>
                </c:pt>
                <c:pt idx="305">
                  <c:v>37288</c:v>
                </c:pt>
                <c:pt idx="306">
                  <c:v>37295</c:v>
                </c:pt>
                <c:pt idx="307">
                  <c:v>37302</c:v>
                </c:pt>
                <c:pt idx="308">
                  <c:v>37309</c:v>
                </c:pt>
                <c:pt idx="309">
                  <c:v>37316</c:v>
                </c:pt>
                <c:pt idx="310">
                  <c:v>37323</c:v>
                </c:pt>
                <c:pt idx="311">
                  <c:v>37330</c:v>
                </c:pt>
                <c:pt idx="312">
                  <c:v>37337</c:v>
                </c:pt>
                <c:pt idx="313">
                  <c:v>37344</c:v>
                </c:pt>
                <c:pt idx="314">
                  <c:v>37351</c:v>
                </c:pt>
                <c:pt idx="315">
                  <c:v>37358</c:v>
                </c:pt>
                <c:pt idx="316">
                  <c:v>37365</c:v>
                </c:pt>
                <c:pt idx="317">
                  <c:v>37372</c:v>
                </c:pt>
                <c:pt idx="318">
                  <c:v>37379</c:v>
                </c:pt>
                <c:pt idx="319">
                  <c:v>37386</c:v>
                </c:pt>
                <c:pt idx="320">
                  <c:v>37393</c:v>
                </c:pt>
                <c:pt idx="321">
                  <c:v>37400</c:v>
                </c:pt>
                <c:pt idx="322">
                  <c:v>37407</c:v>
                </c:pt>
                <c:pt idx="323">
                  <c:v>37414</c:v>
                </c:pt>
                <c:pt idx="324">
                  <c:v>37421</c:v>
                </c:pt>
                <c:pt idx="325">
                  <c:v>37428</c:v>
                </c:pt>
                <c:pt idx="326">
                  <c:v>37435</c:v>
                </c:pt>
                <c:pt idx="327">
                  <c:v>37442</c:v>
                </c:pt>
                <c:pt idx="328">
                  <c:v>37449</c:v>
                </c:pt>
                <c:pt idx="329">
                  <c:v>37456</c:v>
                </c:pt>
                <c:pt idx="330">
                  <c:v>37463</c:v>
                </c:pt>
                <c:pt idx="331">
                  <c:v>37470</c:v>
                </c:pt>
                <c:pt idx="332">
                  <c:v>37477</c:v>
                </c:pt>
                <c:pt idx="333">
                  <c:v>37484</c:v>
                </c:pt>
                <c:pt idx="334">
                  <c:v>37491</c:v>
                </c:pt>
                <c:pt idx="335">
                  <c:v>37498</c:v>
                </c:pt>
                <c:pt idx="336">
                  <c:v>37505</c:v>
                </c:pt>
                <c:pt idx="337">
                  <c:v>37512</c:v>
                </c:pt>
                <c:pt idx="338">
                  <c:v>37519</c:v>
                </c:pt>
                <c:pt idx="339">
                  <c:v>37526</c:v>
                </c:pt>
                <c:pt idx="340">
                  <c:v>37533</c:v>
                </c:pt>
                <c:pt idx="341">
                  <c:v>37540</c:v>
                </c:pt>
                <c:pt idx="342">
                  <c:v>37547</c:v>
                </c:pt>
                <c:pt idx="343">
                  <c:v>37554</c:v>
                </c:pt>
                <c:pt idx="344">
                  <c:v>37561</c:v>
                </c:pt>
                <c:pt idx="345">
                  <c:v>37568</c:v>
                </c:pt>
                <c:pt idx="346">
                  <c:v>37575</c:v>
                </c:pt>
                <c:pt idx="347">
                  <c:v>37582</c:v>
                </c:pt>
                <c:pt idx="348">
                  <c:v>37589</c:v>
                </c:pt>
                <c:pt idx="349">
                  <c:v>37596</c:v>
                </c:pt>
                <c:pt idx="350">
                  <c:v>37603</c:v>
                </c:pt>
                <c:pt idx="351">
                  <c:v>37610</c:v>
                </c:pt>
                <c:pt idx="352">
                  <c:v>37617</c:v>
                </c:pt>
                <c:pt idx="353">
                  <c:v>37624</c:v>
                </c:pt>
                <c:pt idx="354">
                  <c:v>37631</c:v>
                </c:pt>
                <c:pt idx="355">
                  <c:v>37638</c:v>
                </c:pt>
                <c:pt idx="356">
                  <c:v>37645</c:v>
                </c:pt>
                <c:pt idx="357">
                  <c:v>37652</c:v>
                </c:pt>
                <c:pt idx="358">
                  <c:v>37659</c:v>
                </c:pt>
                <c:pt idx="359">
                  <c:v>37666</c:v>
                </c:pt>
                <c:pt idx="360">
                  <c:v>37673</c:v>
                </c:pt>
                <c:pt idx="361">
                  <c:v>37680</c:v>
                </c:pt>
                <c:pt idx="362">
                  <c:v>37687</c:v>
                </c:pt>
                <c:pt idx="363">
                  <c:v>37694</c:v>
                </c:pt>
                <c:pt idx="364">
                  <c:v>37701</c:v>
                </c:pt>
                <c:pt idx="365">
                  <c:v>37708</c:v>
                </c:pt>
                <c:pt idx="366">
                  <c:v>37715</c:v>
                </c:pt>
                <c:pt idx="367">
                  <c:v>37722</c:v>
                </c:pt>
                <c:pt idx="368">
                  <c:v>37729</c:v>
                </c:pt>
                <c:pt idx="369">
                  <c:v>37736</c:v>
                </c:pt>
                <c:pt idx="370">
                  <c:v>37743</c:v>
                </c:pt>
                <c:pt idx="371">
                  <c:v>37750</c:v>
                </c:pt>
                <c:pt idx="372">
                  <c:v>37757</c:v>
                </c:pt>
                <c:pt idx="373">
                  <c:v>37764</c:v>
                </c:pt>
                <c:pt idx="374">
                  <c:v>37771</c:v>
                </c:pt>
                <c:pt idx="375">
                  <c:v>37778</c:v>
                </c:pt>
                <c:pt idx="376">
                  <c:v>37785</c:v>
                </c:pt>
                <c:pt idx="377">
                  <c:v>37792</c:v>
                </c:pt>
                <c:pt idx="378">
                  <c:v>37799</c:v>
                </c:pt>
                <c:pt idx="379">
                  <c:v>37806</c:v>
                </c:pt>
                <c:pt idx="380">
                  <c:v>37813</c:v>
                </c:pt>
                <c:pt idx="381">
                  <c:v>37820</c:v>
                </c:pt>
                <c:pt idx="382">
                  <c:v>37827</c:v>
                </c:pt>
                <c:pt idx="383">
                  <c:v>37834</c:v>
                </c:pt>
                <c:pt idx="384">
                  <c:v>37841</c:v>
                </c:pt>
                <c:pt idx="385">
                  <c:v>37848</c:v>
                </c:pt>
                <c:pt idx="386">
                  <c:v>37855</c:v>
                </c:pt>
                <c:pt idx="387">
                  <c:v>37862</c:v>
                </c:pt>
                <c:pt idx="388">
                  <c:v>37869</c:v>
                </c:pt>
                <c:pt idx="389">
                  <c:v>37876</c:v>
                </c:pt>
                <c:pt idx="390">
                  <c:v>37883</c:v>
                </c:pt>
                <c:pt idx="391">
                  <c:v>37890</c:v>
                </c:pt>
                <c:pt idx="392">
                  <c:v>37897</c:v>
                </c:pt>
                <c:pt idx="393">
                  <c:v>37904</c:v>
                </c:pt>
                <c:pt idx="394">
                  <c:v>37911</c:v>
                </c:pt>
                <c:pt idx="395">
                  <c:v>37918</c:v>
                </c:pt>
                <c:pt idx="396">
                  <c:v>37925</c:v>
                </c:pt>
                <c:pt idx="397">
                  <c:v>37932</c:v>
                </c:pt>
                <c:pt idx="398">
                  <c:v>37939</c:v>
                </c:pt>
                <c:pt idx="399">
                  <c:v>37946</c:v>
                </c:pt>
                <c:pt idx="400">
                  <c:v>37953</c:v>
                </c:pt>
                <c:pt idx="401">
                  <c:v>37960</c:v>
                </c:pt>
                <c:pt idx="402">
                  <c:v>37967</c:v>
                </c:pt>
                <c:pt idx="403">
                  <c:v>37974</c:v>
                </c:pt>
                <c:pt idx="404">
                  <c:v>37981</c:v>
                </c:pt>
                <c:pt idx="405">
                  <c:v>37988</c:v>
                </c:pt>
                <c:pt idx="406">
                  <c:v>37995</c:v>
                </c:pt>
                <c:pt idx="407">
                  <c:v>38002</c:v>
                </c:pt>
                <c:pt idx="408">
                  <c:v>38009</c:v>
                </c:pt>
                <c:pt idx="409">
                  <c:v>38016</c:v>
                </c:pt>
                <c:pt idx="410">
                  <c:v>38023</c:v>
                </c:pt>
                <c:pt idx="411">
                  <c:v>38030</c:v>
                </c:pt>
                <c:pt idx="412">
                  <c:v>38037</c:v>
                </c:pt>
                <c:pt idx="413">
                  <c:v>38044</c:v>
                </c:pt>
                <c:pt idx="414">
                  <c:v>38051</c:v>
                </c:pt>
                <c:pt idx="415">
                  <c:v>38058</c:v>
                </c:pt>
                <c:pt idx="416">
                  <c:v>38065</c:v>
                </c:pt>
                <c:pt idx="417">
                  <c:v>38072</c:v>
                </c:pt>
                <c:pt idx="418">
                  <c:v>38079</c:v>
                </c:pt>
                <c:pt idx="419">
                  <c:v>38086</c:v>
                </c:pt>
                <c:pt idx="420">
                  <c:v>38093</c:v>
                </c:pt>
                <c:pt idx="421">
                  <c:v>38100</c:v>
                </c:pt>
                <c:pt idx="422">
                  <c:v>38107</c:v>
                </c:pt>
                <c:pt idx="423">
                  <c:v>38114</c:v>
                </c:pt>
                <c:pt idx="424">
                  <c:v>38121</c:v>
                </c:pt>
                <c:pt idx="425">
                  <c:v>38128</c:v>
                </c:pt>
                <c:pt idx="426">
                  <c:v>38135</c:v>
                </c:pt>
                <c:pt idx="427">
                  <c:v>38142</c:v>
                </c:pt>
                <c:pt idx="428">
                  <c:v>38149</c:v>
                </c:pt>
                <c:pt idx="429">
                  <c:v>38156</c:v>
                </c:pt>
                <c:pt idx="430">
                  <c:v>38163</c:v>
                </c:pt>
                <c:pt idx="431">
                  <c:v>38170</c:v>
                </c:pt>
                <c:pt idx="432">
                  <c:v>38177</c:v>
                </c:pt>
                <c:pt idx="433">
                  <c:v>38184</c:v>
                </c:pt>
                <c:pt idx="434">
                  <c:v>38191</c:v>
                </c:pt>
                <c:pt idx="435">
                  <c:v>38198</c:v>
                </c:pt>
                <c:pt idx="436">
                  <c:v>38205</c:v>
                </c:pt>
                <c:pt idx="437">
                  <c:v>38212</c:v>
                </c:pt>
                <c:pt idx="438">
                  <c:v>38219</c:v>
                </c:pt>
                <c:pt idx="439">
                  <c:v>38226</c:v>
                </c:pt>
                <c:pt idx="440">
                  <c:v>38233</c:v>
                </c:pt>
                <c:pt idx="441">
                  <c:v>38240</c:v>
                </c:pt>
                <c:pt idx="442">
                  <c:v>38247</c:v>
                </c:pt>
                <c:pt idx="443">
                  <c:v>38254</c:v>
                </c:pt>
                <c:pt idx="444">
                  <c:v>38261</c:v>
                </c:pt>
                <c:pt idx="445">
                  <c:v>38268</c:v>
                </c:pt>
                <c:pt idx="446">
                  <c:v>38275</c:v>
                </c:pt>
                <c:pt idx="447">
                  <c:v>38282</c:v>
                </c:pt>
                <c:pt idx="448">
                  <c:v>38289</c:v>
                </c:pt>
                <c:pt idx="449">
                  <c:v>38296</c:v>
                </c:pt>
                <c:pt idx="450">
                  <c:v>38303</c:v>
                </c:pt>
                <c:pt idx="451">
                  <c:v>38310</c:v>
                </c:pt>
                <c:pt idx="452">
                  <c:v>38317</c:v>
                </c:pt>
                <c:pt idx="453">
                  <c:v>38324</c:v>
                </c:pt>
                <c:pt idx="454">
                  <c:v>38331</c:v>
                </c:pt>
                <c:pt idx="455">
                  <c:v>38338</c:v>
                </c:pt>
                <c:pt idx="456">
                  <c:v>38345</c:v>
                </c:pt>
                <c:pt idx="457">
                  <c:v>38352</c:v>
                </c:pt>
                <c:pt idx="458">
                  <c:v>38359</c:v>
                </c:pt>
                <c:pt idx="459">
                  <c:v>38366</c:v>
                </c:pt>
                <c:pt idx="460">
                  <c:v>38373</c:v>
                </c:pt>
                <c:pt idx="461">
                  <c:v>38380</c:v>
                </c:pt>
                <c:pt idx="462">
                  <c:v>38387</c:v>
                </c:pt>
                <c:pt idx="463">
                  <c:v>38394</c:v>
                </c:pt>
                <c:pt idx="464">
                  <c:v>38401</c:v>
                </c:pt>
                <c:pt idx="465">
                  <c:v>38408</c:v>
                </c:pt>
                <c:pt idx="466">
                  <c:v>38415</c:v>
                </c:pt>
                <c:pt idx="467">
                  <c:v>38422</c:v>
                </c:pt>
                <c:pt idx="468">
                  <c:v>38429</c:v>
                </c:pt>
                <c:pt idx="469">
                  <c:v>38436</c:v>
                </c:pt>
                <c:pt idx="470">
                  <c:v>38443</c:v>
                </c:pt>
                <c:pt idx="471">
                  <c:v>38450</c:v>
                </c:pt>
                <c:pt idx="472">
                  <c:v>38457</c:v>
                </c:pt>
                <c:pt idx="473">
                  <c:v>38464</c:v>
                </c:pt>
                <c:pt idx="474">
                  <c:v>38471</c:v>
                </c:pt>
                <c:pt idx="475">
                  <c:v>38478</c:v>
                </c:pt>
                <c:pt idx="476">
                  <c:v>38485</c:v>
                </c:pt>
                <c:pt idx="477">
                  <c:v>38492</c:v>
                </c:pt>
                <c:pt idx="478">
                  <c:v>38499</c:v>
                </c:pt>
                <c:pt idx="479">
                  <c:v>38506</c:v>
                </c:pt>
                <c:pt idx="480">
                  <c:v>38513</c:v>
                </c:pt>
                <c:pt idx="481">
                  <c:v>38520</c:v>
                </c:pt>
                <c:pt idx="482">
                  <c:v>38527</c:v>
                </c:pt>
                <c:pt idx="483">
                  <c:v>38534</c:v>
                </c:pt>
                <c:pt idx="484">
                  <c:v>38541</c:v>
                </c:pt>
                <c:pt idx="485">
                  <c:v>38548</c:v>
                </c:pt>
                <c:pt idx="486">
                  <c:v>38555</c:v>
                </c:pt>
                <c:pt idx="487">
                  <c:v>38562</c:v>
                </c:pt>
                <c:pt idx="488">
                  <c:v>38569</c:v>
                </c:pt>
                <c:pt idx="489">
                  <c:v>38576</c:v>
                </c:pt>
                <c:pt idx="490">
                  <c:v>38583</c:v>
                </c:pt>
                <c:pt idx="491">
                  <c:v>38590</c:v>
                </c:pt>
                <c:pt idx="492">
                  <c:v>38597</c:v>
                </c:pt>
                <c:pt idx="493">
                  <c:v>38604</c:v>
                </c:pt>
                <c:pt idx="494">
                  <c:v>38611</c:v>
                </c:pt>
                <c:pt idx="495">
                  <c:v>38618</c:v>
                </c:pt>
                <c:pt idx="496">
                  <c:v>38625</c:v>
                </c:pt>
                <c:pt idx="497">
                  <c:v>38632</c:v>
                </c:pt>
                <c:pt idx="498">
                  <c:v>38639</c:v>
                </c:pt>
                <c:pt idx="499">
                  <c:v>38646</c:v>
                </c:pt>
                <c:pt idx="500">
                  <c:v>38653</c:v>
                </c:pt>
                <c:pt idx="501">
                  <c:v>38660</c:v>
                </c:pt>
                <c:pt idx="502">
                  <c:v>38667</c:v>
                </c:pt>
                <c:pt idx="503">
                  <c:v>38674</c:v>
                </c:pt>
                <c:pt idx="504">
                  <c:v>38681</c:v>
                </c:pt>
                <c:pt idx="505">
                  <c:v>38688</c:v>
                </c:pt>
                <c:pt idx="506">
                  <c:v>38695</c:v>
                </c:pt>
                <c:pt idx="507">
                  <c:v>38702</c:v>
                </c:pt>
                <c:pt idx="508">
                  <c:v>38709</c:v>
                </c:pt>
                <c:pt idx="509">
                  <c:v>38716</c:v>
                </c:pt>
                <c:pt idx="510">
                  <c:v>38723</c:v>
                </c:pt>
                <c:pt idx="511">
                  <c:v>38730</c:v>
                </c:pt>
                <c:pt idx="512">
                  <c:v>38737</c:v>
                </c:pt>
                <c:pt idx="513">
                  <c:v>38744</c:v>
                </c:pt>
                <c:pt idx="514">
                  <c:v>38751</c:v>
                </c:pt>
                <c:pt idx="515">
                  <c:v>38758</c:v>
                </c:pt>
                <c:pt idx="516">
                  <c:v>38765</c:v>
                </c:pt>
                <c:pt idx="517">
                  <c:v>38772</c:v>
                </c:pt>
                <c:pt idx="518">
                  <c:v>38779</c:v>
                </c:pt>
                <c:pt idx="519">
                  <c:v>38786</c:v>
                </c:pt>
                <c:pt idx="520">
                  <c:v>38793</c:v>
                </c:pt>
                <c:pt idx="521">
                  <c:v>38800</c:v>
                </c:pt>
                <c:pt idx="522">
                  <c:v>38807</c:v>
                </c:pt>
                <c:pt idx="523">
                  <c:v>38814</c:v>
                </c:pt>
                <c:pt idx="524">
                  <c:v>38821</c:v>
                </c:pt>
                <c:pt idx="525">
                  <c:v>38828</c:v>
                </c:pt>
                <c:pt idx="526">
                  <c:v>38835</c:v>
                </c:pt>
                <c:pt idx="527">
                  <c:v>38842</c:v>
                </c:pt>
                <c:pt idx="528">
                  <c:v>38849</c:v>
                </c:pt>
                <c:pt idx="529">
                  <c:v>38856</c:v>
                </c:pt>
                <c:pt idx="530">
                  <c:v>38863</c:v>
                </c:pt>
                <c:pt idx="531">
                  <c:v>38870</c:v>
                </c:pt>
                <c:pt idx="532">
                  <c:v>38877</c:v>
                </c:pt>
                <c:pt idx="533">
                  <c:v>38884</c:v>
                </c:pt>
                <c:pt idx="534">
                  <c:v>38891</c:v>
                </c:pt>
                <c:pt idx="535">
                  <c:v>38898</c:v>
                </c:pt>
                <c:pt idx="536">
                  <c:v>38905</c:v>
                </c:pt>
                <c:pt idx="537">
                  <c:v>38912</c:v>
                </c:pt>
                <c:pt idx="538">
                  <c:v>38919</c:v>
                </c:pt>
                <c:pt idx="539">
                  <c:v>38926</c:v>
                </c:pt>
                <c:pt idx="540">
                  <c:v>38933</c:v>
                </c:pt>
                <c:pt idx="541">
                  <c:v>38940</c:v>
                </c:pt>
                <c:pt idx="542">
                  <c:v>38947</c:v>
                </c:pt>
                <c:pt idx="543">
                  <c:v>38954</c:v>
                </c:pt>
                <c:pt idx="544">
                  <c:v>38961</c:v>
                </c:pt>
                <c:pt idx="545">
                  <c:v>38968</c:v>
                </c:pt>
                <c:pt idx="546">
                  <c:v>38975</c:v>
                </c:pt>
                <c:pt idx="547">
                  <c:v>38982</c:v>
                </c:pt>
                <c:pt idx="548">
                  <c:v>38989</c:v>
                </c:pt>
                <c:pt idx="549">
                  <c:v>38996</c:v>
                </c:pt>
                <c:pt idx="550">
                  <c:v>39003</c:v>
                </c:pt>
                <c:pt idx="551">
                  <c:v>39010</c:v>
                </c:pt>
                <c:pt idx="552">
                  <c:v>39017</c:v>
                </c:pt>
                <c:pt idx="553">
                  <c:v>39024</c:v>
                </c:pt>
                <c:pt idx="554">
                  <c:v>39031</c:v>
                </c:pt>
                <c:pt idx="555">
                  <c:v>39038</c:v>
                </c:pt>
                <c:pt idx="556">
                  <c:v>39045</c:v>
                </c:pt>
                <c:pt idx="557">
                  <c:v>39052</c:v>
                </c:pt>
                <c:pt idx="558">
                  <c:v>39059</c:v>
                </c:pt>
                <c:pt idx="559">
                  <c:v>39066</c:v>
                </c:pt>
                <c:pt idx="560">
                  <c:v>39073</c:v>
                </c:pt>
                <c:pt idx="561">
                  <c:v>39080</c:v>
                </c:pt>
                <c:pt idx="562">
                  <c:v>39087</c:v>
                </c:pt>
                <c:pt idx="563">
                  <c:v>39094</c:v>
                </c:pt>
                <c:pt idx="564">
                  <c:v>39101</c:v>
                </c:pt>
                <c:pt idx="565">
                  <c:v>39108</c:v>
                </c:pt>
                <c:pt idx="566">
                  <c:v>39115</c:v>
                </c:pt>
                <c:pt idx="567">
                  <c:v>39122</c:v>
                </c:pt>
                <c:pt idx="568">
                  <c:v>39129</c:v>
                </c:pt>
                <c:pt idx="569">
                  <c:v>39136</c:v>
                </c:pt>
                <c:pt idx="570">
                  <c:v>39143</c:v>
                </c:pt>
                <c:pt idx="571">
                  <c:v>39150</c:v>
                </c:pt>
                <c:pt idx="572">
                  <c:v>39157</c:v>
                </c:pt>
                <c:pt idx="573">
                  <c:v>39164</c:v>
                </c:pt>
                <c:pt idx="574">
                  <c:v>39171</c:v>
                </c:pt>
                <c:pt idx="575">
                  <c:v>39178</c:v>
                </c:pt>
                <c:pt idx="576">
                  <c:v>39185</c:v>
                </c:pt>
                <c:pt idx="577">
                  <c:v>39192</c:v>
                </c:pt>
                <c:pt idx="578">
                  <c:v>39199</c:v>
                </c:pt>
                <c:pt idx="579">
                  <c:v>39206</c:v>
                </c:pt>
                <c:pt idx="580">
                  <c:v>39213</c:v>
                </c:pt>
                <c:pt idx="581">
                  <c:v>39220</c:v>
                </c:pt>
                <c:pt idx="582">
                  <c:v>39227</c:v>
                </c:pt>
                <c:pt idx="583">
                  <c:v>39234</c:v>
                </c:pt>
                <c:pt idx="584">
                  <c:v>39241</c:v>
                </c:pt>
                <c:pt idx="585">
                  <c:v>39248</c:v>
                </c:pt>
                <c:pt idx="586">
                  <c:v>39255</c:v>
                </c:pt>
                <c:pt idx="587">
                  <c:v>39262</c:v>
                </c:pt>
                <c:pt idx="588">
                  <c:v>39269</c:v>
                </c:pt>
                <c:pt idx="589">
                  <c:v>39276</c:v>
                </c:pt>
                <c:pt idx="590">
                  <c:v>39283</c:v>
                </c:pt>
                <c:pt idx="591">
                  <c:v>39290</c:v>
                </c:pt>
                <c:pt idx="592">
                  <c:v>39297</c:v>
                </c:pt>
                <c:pt idx="593">
                  <c:v>39304</c:v>
                </c:pt>
                <c:pt idx="594">
                  <c:v>39311</c:v>
                </c:pt>
                <c:pt idx="595">
                  <c:v>39318</c:v>
                </c:pt>
                <c:pt idx="596">
                  <c:v>39325</c:v>
                </c:pt>
                <c:pt idx="597">
                  <c:v>39332</c:v>
                </c:pt>
                <c:pt idx="598">
                  <c:v>39339</c:v>
                </c:pt>
                <c:pt idx="599">
                  <c:v>39346</c:v>
                </c:pt>
                <c:pt idx="600">
                  <c:v>39353</c:v>
                </c:pt>
                <c:pt idx="601">
                  <c:v>39360</c:v>
                </c:pt>
                <c:pt idx="602">
                  <c:v>39367</c:v>
                </c:pt>
                <c:pt idx="603">
                  <c:v>39374</c:v>
                </c:pt>
                <c:pt idx="604">
                  <c:v>39381</c:v>
                </c:pt>
                <c:pt idx="605">
                  <c:v>39388</c:v>
                </c:pt>
                <c:pt idx="606">
                  <c:v>39395</c:v>
                </c:pt>
                <c:pt idx="607">
                  <c:v>39402</c:v>
                </c:pt>
                <c:pt idx="608">
                  <c:v>39409</c:v>
                </c:pt>
                <c:pt idx="609">
                  <c:v>39416</c:v>
                </c:pt>
                <c:pt idx="610">
                  <c:v>39423</c:v>
                </c:pt>
                <c:pt idx="611">
                  <c:v>39430</c:v>
                </c:pt>
                <c:pt idx="612">
                  <c:v>39437</c:v>
                </c:pt>
                <c:pt idx="613">
                  <c:v>39444</c:v>
                </c:pt>
                <c:pt idx="614">
                  <c:v>39451</c:v>
                </c:pt>
                <c:pt idx="615">
                  <c:v>39458</c:v>
                </c:pt>
                <c:pt idx="616">
                  <c:v>39465</c:v>
                </c:pt>
                <c:pt idx="617">
                  <c:v>39472</c:v>
                </c:pt>
                <c:pt idx="618">
                  <c:v>39479</c:v>
                </c:pt>
                <c:pt idx="619">
                  <c:v>39486</c:v>
                </c:pt>
                <c:pt idx="620">
                  <c:v>39493</c:v>
                </c:pt>
                <c:pt idx="621">
                  <c:v>39500</c:v>
                </c:pt>
                <c:pt idx="622">
                  <c:v>39507</c:v>
                </c:pt>
                <c:pt idx="623">
                  <c:v>39514</c:v>
                </c:pt>
                <c:pt idx="624">
                  <c:v>39521</c:v>
                </c:pt>
                <c:pt idx="625">
                  <c:v>39528</c:v>
                </c:pt>
                <c:pt idx="626">
                  <c:v>39535</c:v>
                </c:pt>
                <c:pt idx="627">
                  <c:v>39542</c:v>
                </c:pt>
                <c:pt idx="628">
                  <c:v>39549</c:v>
                </c:pt>
                <c:pt idx="629">
                  <c:v>39556</c:v>
                </c:pt>
                <c:pt idx="630">
                  <c:v>39563</c:v>
                </c:pt>
                <c:pt idx="631">
                  <c:v>39570</c:v>
                </c:pt>
                <c:pt idx="632">
                  <c:v>39577</c:v>
                </c:pt>
                <c:pt idx="633">
                  <c:v>39584</c:v>
                </c:pt>
                <c:pt idx="634">
                  <c:v>39591</c:v>
                </c:pt>
                <c:pt idx="635">
                  <c:v>39598</c:v>
                </c:pt>
                <c:pt idx="636">
                  <c:v>39605</c:v>
                </c:pt>
                <c:pt idx="637">
                  <c:v>39612</c:v>
                </c:pt>
                <c:pt idx="638">
                  <c:v>39619</c:v>
                </c:pt>
                <c:pt idx="639">
                  <c:v>39626</c:v>
                </c:pt>
                <c:pt idx="640">
                  <c:v>39633</c:v>
                </c:pt>
                <c:pt idx="641">
                  <c:v>39640</c:v>
                </c:pt>
                <c:pt idx="642">
                  <c:v>39647</c:v>
                </c:pt>
                <c:pt idx="643">
                  <c:v>39654</c:v>
                </c:pt>
                <c:pt idx="644">
                  <c:v>39661</c:v>
                </c:pt>
                <c:pt idx="645">
                  <c:v>39668</c:v>
                </c:pt>
                <c:pt idx="646">
                  <c:v>39675</c:v>
                </c:pt>
                <c:pt idx="647">
                  <c:v>39682</c:v>
                </c:pt>
                <c:pt idx="648">
                  <c:v>39689</c:v>
                </c:pt>
                <c:pt idx="649">
                  <c:v>39696</c:v>
                </c:pt>
                <c:pt idx="650">
                  <c:v>39703</c:v>
                </c:pt>
                <c:pt idx="651">
                  <c:v>39710</c:v>
                </c:pt>
                <c:pt idx="652">
                  <c:v>39717</c:v>
                </c:pt>
                <c:pt idx="653">
                  <c:v>39724</c:v>
                </c:pt>
                <c:pt idx="654">
                  <c:v>39731</c:v>
                </c:pt>
                <c:pt idx="655">
                  <c:v>39738</c:v>
                </c:pt>
                <c:pt idx="656">
                  <c:v>39745</c:v>
                </c:pt>
                <c:pt idx="657">
                  <c:v>39752</c:v>
                </c:pt>
                <c:pt idx="658">
                  <c:v>39759</c:v>
                </c:pt>
                <c:pt idx="659">
                  <c:v>39766</c:v>
                </c:pt>
                <c:pt idx="660">
                  <c:v>39773</c:v>
                </c:pt>
                <c:pt idx="661">
                  <c:v>39780</c:v>
                </c:pt>
                <c:pt idx="662">
                  <c:v>39787</c:v>
                </c:pt>
                <c:pt idx="663">
                  <c:v>39794</c:v>
                </c:pt>
                <c:pt idx="664">
                  <c:v>39801</c:v>
                </c:pt>
                <c:pt idx="665">
                  <c:v>39808</c:v>
                </c:pt>
                <c:pt idx="666">
                  <c:v>39815</c:v>
                </c:pt>
                <c:pt idx="667">
                  <c:v>39822</c:v>
                </c:pt>
                <c:pt idx="668">
                  <c:v>39829</c:v>
                </c:pt>
                <c:pt idx="669">
                  <c:v>39836</c:v>
                </c:pt>
                <c:pt idx="670">
                  <c:v>39843</c:v>
                </c:pt>
                <c:pt idx="671">
                  <c:v>39850</c:v>
                </c:pt>
                <c:pt idx="672">
                  <c:v>39857</c:v>
                </c:pt>
                <c:pt idx="673">
                  <c:v>39864</c:v>
                </c:pt>
                <c:pt idx="674">
                  <c:v>39871</c:v>
                </c:pt>
                <c:pt idx="675">
                  <c:v>39878</c:v>
                </c:pt>
                <c:pt idx="676">
                  <c:v>39885</c:v>
                </c:pt>
                <c:pt idx="677">
                  <c:v>39892</c:v>
                </c:pt>
                <c:pt idx="678">
                  <c:v>39899</c:v>
                </c:pt>
                <c:pt idx="679">
                  <c:v>39906</c:v>
                </c:pt>
                <c:pt idx="680">
                  <c:v>39913</c:v>
                </c:pt>
                <c:pt idx="681">
                  <c:v>39920</c:v>
                </c:pt>
                <c:pt idx="682">
                  <c:v>39927</c:v>
                </c:pt>
                <c:pt idx="683">
                  <c:v>39934</c:v>
                </c:pt>
                <c:pt idx="684">
                  <c:v>39941</c:v>
                </c:pt>
                <c:pt idx="685">
                  <c:v>39948</c:v>
                </c:pt>
                <c:pt idx="686">
                  <c:v>39955</c:v>
                </c:pt>
                <c:pt idx="687">
                  <c:v>39962</c:v>
                </c:pt>
                <c:pt idx="688">
                  <c:v>39969</c:v>
                </c:pt>
                <c:pt idx="689">
                  <c:v>39976</c:v>
                </c:pt>
                <c:pt idx="690">
                  <c:v>39983</c:v>
                </c:pt>
                <c:pt idx="691">
                  <c:v>39990</c:v>
                </c:pt>
                <c:pt idx="692">
                  <c:v>39997</c:v>
                </c:pt>
                <c:pt idx="693">
                  <c:v>40004</c:v>
                </c:pt>
                <c:pt idx="694">
                  <c:v>40011</c:v>
                </c:pt>
                <c:pt idx="695">
                  <c:v>40018</c:v>
                </c:pt>
                <c:pt idx="696">
                  <c:v>40025</c:v>
                </c:pt>
                <c:pt idx="697">
                  <c:v>40032</c:v>
                </c:pt>
                <c:pt idx="698">
                  <c:v>40039</c:v>
                </c:pt>
                <c:pt idx="699">
                  <c:v>40046</c:v>
                </c:pt>
                <c:pt idx="700">
                  <c:v>40053</c:v>
                </c:pt>
                <c:pt idx="701">
                  <c:v>40060</c:v>
                </c:pt>
                <c:pt idx="702">
                  <c:v>40067</c:v>
                </c:pt>
                <c:pt idx="703">
                  <c:v>40074</c:v>
                </c:pt>
                <c:pt idx="704">
                  <c:v>40081</c:v>
                </c:pt>
                <c:pt idx="705">
                  <c:v>40088</c:v>
                </c:pt>
                <c:pt idx="706">
                  <c:v>40095</c:v>
                </c:pt>
                <c:pt idx="707">
                  <c:v>40102</c:v>
                </c:pt>
                <c:pt idx="708">
                  <c:v>40109</c:v>
                </c:pt>
                <c:pt idx="709">
                  <c:v>40116</c:v>
                </c:pt>
                <c:pt idx="710">
                  <c:v>40123</c:v>
                </c:pt>
                <c:pt idx="711">
                  <c:v>40130</c:v>
                </c:pt>
                <c:pt idx="712">
                  <c:v>40137</c:v>
                </c:pt>
                <c:pt idx="713">
                  <c:v>40144</c:v>
                </c:pt>
                <c:pt idx="714">
                  <c:v>40151</c:v>
                </c:pt>
                <c:pt idx="715">
                  <c:v>40158</c:v>
                </c:pt>
                <c:pt idx="716">
                  <c:v>40165</c:v>
                </c:pt>
                <c:pt idx="717">
                  <c:v>40172</c:v>
                </c:pt>
                <c:pt idx="718">
                  <c:v>40179</c:v>
                </c:pt>
                <c:pt idx="719">
                  <c:v>40186</c:v>
                </c:pt>
                <c:pt idx="720">
                  <c:v>40193</c:v>
                </c:pt>
                <c:pt idx="721">
                  <c:v>40200</c:v>
                </c:pt>
                <c:pt idx="722">
                  <c:v>40207</c:v>
                </c:pt>
                <c:pt idx="723">
                  <c:v>40214</c:v>
                </c:pt>
                <c:pt idx="724">
                  <c:v>40221</c:v>
                </c:pt>
                <c:pt idx="725">
                  <c:v>40228</c:v>
                </c:pt>
                <c:pt idx="726">
                  <c:v>40235</c:v>
                </c:pt>
                <c:pt idx="727">
                  <c:v>40242</c:v>
                </c:pt>
                <c:pt idx="728">
                  <c:v>40249</c:v>
                </c:pt>
                <c:pt idx="729">
                  <c:v>40256</c:v>
                </c:pt>
                <c:pt idx="730">
                  <c:v>40263</c:v>
                </c:pt>
                <c:pt idx="731">
                  <c:v>40270</c:v>
                </c:pt>
                <c:pt idx="732">
                  <c:v>40277</c:v>
                </c:pt>
                <c:pt idx="733">
                  <c:v>40284</c:v>
                </c:pt>
                <c:pt idx="734">
                  <c:v>40291</c:v>
                </c:pt>
                <c:pt idx="735">
                  <c:v>40298</c:v>
                </c:pt>
                <c:pt idx="736">
                  <c:v>40305</c:v>
                </c:pt>
                <c:pt idx="737">
                  <c:v>40312</c:v>
                </c:pt>
                <c:pt idx="738">
                  <c:v>40319</c:v>
                </c:pt>
                <c:pt idx="739">
                  <c:v>40326</c:v>
                </c:pt>
                <c:pt idx="740">
                  <c:v>40333</c:v>
                </c:pt>
                <c:pt idx="741">
                  <c:v>40340</c:v>
                </c:pt>
                <c:pt idx="742">
                  <c:v>40347</c:v>
                </c:pt>
                <c:pt idx="743">
                  <c:v>40354</c:v>
                </c:pt>
                <c:pt idx="744">
                  <c:v>40361</c:v>
                </c:pt>
                <c:pt idx="745">
                  <c:v>40368</c:v>
                </c:pt>
                <c:pt idx="746">
                  <c:v>40375</c:v>
                </c:pt>
                <c:pt idx="747">
                  <c:v>40382</c:v>
                </c:pt>
                <c:pt idx="748">
                  <c:v>40389</c:v>
                </c:pt>
                <c:pt idx="749">
                  <c:v>40396</c:v>
                </c:pt>
                <c:pt idx="750">
                  <c:v>40403</c:v>
                </c:pt>
                <c:pt idx="751">
                  <c:v>40410</c:v>
                </c:pt>
                <c:pt idx="752">
                  <c:v>40417</c:v>
                </c:pt>
                <c:pt idx="753">
                  <c:v>40424</c:v>
                </c:pt>
                <c:pt idx="754">
                  <c:v>40431</c:v>
                </c:pt>
                <c:pt idx="755">
                  <c:v>40438</c:v>
                </c:pt>
                <c:pt idx="756">
                  <c:v>40445</c:v>
                </c:pt>
                <c:pt idx="757">
                  <c:v>40452</c:v>
                </c:pt>
                <c:pt idx="758">
                  <c:v>40459</c:v>
                </c:pt>
                <c:pt idx="759">
                  <c:v>40466</c:v>
                </c:pt>
                <c:pt idx="760">
                  <c:v>40473</c:v>
                </c:pt>
                <c:pt idx="761">
                  <c:v>40480</c:v>
                </c:pt>
                <c:pt idx="762">
                  <c:v>40487</c:v>
                </c:pt>
                <c:pt idx="763">
                  <c:v>40494</c:v>
                </c:pt>
                <c:pt idx="764">
                  <c:v>40501</c:v>
                </c:pt>
                <c:pt idx="765">
                  <c:v>40508</c:v>
                </c:pt>
                <c:pt idx="766">
                  <c:v>40515</c:v>
                </c:pt>
                <c:pt idx="767">
                  <c:v>40522</c:v>
                </c:pt>
                <c:pt idx="768">
                  <c:v>40529</c:v>
                </c:pt>
                <c:pt idx="769">
                  <c:v>40536</c:v>
                </c:pt>
                <c:pt idx="770">
                  <c:v>40543</c:v>
                </c:pt>
                <c:pt idx="771">
                  <c:v>40550</c:v>
                </c:pt>
                <c:pt idx="772">
                  <c:v>40557</c:v>
                </c:pt>
                <c:pt idx="773">
                  <c:v>40564</c:v>
                </c:pt>
                <c:pt idx="774">
                  <c:v>40571</c:v>
                </c:pt>
                <c:pt idx="775">
                  <c:v>40578</c:v>
                </c:pt>
                <c:pt idx="776">
                  <c:v>40585</c:v>
                </c:pt>
                <c:pt idx="777">
                  <c:v>40592</c:v>
                </c:pt>
                <c:pt idx="778">
                  <c:v>40599</c:v>
                </c:pt>
                <c:pt idx="779">
                  <c:v>40606</c:v>
                </c:pt>
                <c:pt idx="780">
                  <c:v>40613</c:v>
                </c:pt>
                <c:pt idx="781">
                  <c:v>40620</c:v>
                </c:pt>
                <c:pt idx="782">
                  <c:v>40627</c:v>
                </c:pt>
                <c:pt idx="783">
                  <c:v>40634</c:v>
                </c:pt>
                <c:pt idx="784">
                  <c:v>40641</c:v>
                </c:pt>
                <c:pt idx="785">
                  <c:v>40648</c:v>
                </c:pt>
                <c:pt idx="786">
                  <c:v>40655</c:v>
                </c:pt>
                <c:pt idx="787">
                  <c:v>40662</c:v>
                </c:pt>
                <c:pt idx="788">
                  <c:v>40669</c:v>
                </c:pt>
                <c:pt idx="789">
                  <c:v>40676</c:v>
                </c:pt>
                <c:pt idx="790">
                  <c:v>40683</c:v>
                </c:pt>
                <c:pt idx="791">
                  <c:v>40690</c:v>
                </c:pt>
                <c:pt idx="792">
                  <c:v>40697</c:v>
                </c:pt>
                <c:pt idx="793">
                  <c:v>40704</c:v>
                </c:pt>
                <c:pt idx="794">
                  <c:v>40711</c:v>
                </c:pt>
              </c:numCache>
            </c:numRef>
          </c:cat>
          <c:val>
            <c:numRef>
              <c:f>Sheet1!$B$3:$B$797</c:f>
              <c:numCache>
                <c:formatCode>0%</c:formatCode>
                <c:ptCount val="795"/>
                <c:pt idx="0">
                  <c:v>-7.9005441346593486E-3</c:v>
                </c:pt>
                <c:pt idx="1">
                  <c:v>1.5922141247101784E-2</c:v>
                </c:pt>
                <c:pt idx="2">
                  <c:v>-2.9633058650176736E-2</c:v>
                </c:pt>
                <c:pt idx="3">
                  <c:v>1.3044545155290521E-2</c:v>
                </c:pt>
                <c:pt idx="4">
                  <c:v>1.2922484276737478E-2</c:v>
                </c:pt>
                <c:pt idx="5">
                  <c:v>-1.8269508751733277E-2</c:v>
                </c:pt>
                <c:pt idx="6">
                  <c:v>1.6170775646348723E-2</c:v>
                </c:pt>
                <c:pt idx="7">
                  <c:v>2.5466932720123125E-2</c:v>
                </c:pt>
                <c:pt idx="8">
                  <c:v>1.4249695629441561E-2</c:v>
                </c:pt>
                <c:pt idx="9">
                  <c:v>-1.3935801319561847E-2</c:v>
                </c:pt>
                <c:pt idx="10">
                  <c:v>6.2424314210804965E-3</c:v>
                </c:pt>
                <c:pt idx="11">
                  <c:v>-1.1141427713194929E-2</c:v>
                </c:pt>
                <c:pt idx="12">
                  <c:v>1.485717131676445E-3</c:v>
                </c:pt>
                <c:pt idx="13">
                  <c:v>5.6674320089324937E-3</c:v>
                </c:pt>
                <c:pt idx="14">
                  <c:v>-1.9864063953662914E-2</c:v>
                </c:pt>
                <c:pt idx="15">
                  <c:v>-1.7259926949555471E-2</c:v>
                </c:pt>
                <c:pt idx="16">
                  <c:v>-1.1611748312433612E-2</c:v>
                </c:pt>
                <c:pt idx="17">
                  <c:v>-4.4405115997490086E-3</c:v>
                </c:pt>
                <c:pt idx="18">
                  <c:v>4.096414513347213E-2</c:v>
                </c:pt>
                <c:pt idx="19">
                  <c:v>-5.8886147603320893E-4</c:v>
                </c:pt>
                <c:pt idx="20">
                  <c:v>4.686178347736103E-3</c:v>
                </c:pt>
                <c:pt idx="21">
                  <c:v>2.7322421368731753E-3</c:v>
                </c:pt>
                <c:pt idx="22">
                  <c:v>-2.2805798029689406E-2</c:v>
                </c:pt>
                <c:pt idx="23">
                  <c:v>5.6436406648137094E-3</c:v>
                </c:pt>
                <c:pt idx="24">
                  <c:v>3.7213735622088073E-2</c:v>
                </c:pt>
                <c:pt idx="25">
                  <c:v>9.4768032074918906E-3</c:v>
                </c:pt>
                <c:pt idx="26">
                  <c:v>-1.208846572736455E-3</c:v>
                </c:pt>
                <c:pt idx="27">
                  <c:v>2.200931993940447E-2</c:v>
                </c:pt>
                <c:pt idx="28">
                  <c:v>-1.1411292711205334E-3</c:v>
                </c:pt>
                <c:pt idx="29">
                  <c:v>1.4396485219061006E-2</c:v>
                </c:pt>
                <c:pt idx="30">
                  <c:v>-1.402547535450438E-2</c:v>
                </c:pt>
                <c:pt idx="31">
                  <c:v>4.0578403928126505E-3</c:v>
                </c:pt>
                <c:pt idx="32">
                  <c:v>3.7715593165089878E-2</c:v>
                </c:pt>
                <c:pt idx="33">
                  <c:v>9.2615954441210846E-3</c:v>
                </c:pt>
                <c:pt idx="34">
                  <c:v>1.4949651045357726E-2</c:v>
                </c:pt>
                <c:pt idx="35">
                  <c:v>1.1011235280104614E-2</c:v>
                </c:pt>
                <c:pt idx="36">
                  <c:v>-2.3280173654734782E-2</c:v>
                </c:pt>
                <c:pt idx="37">
                  <c:v>-1.4929716637595014E-2</c:v>
                </c:pt>
                <c:pt idx="38">
                  <c:v>2.7385620824736279E-2</c:v>
                </c:pt>
                <c:pt idx="39">
                  <c:v>1.0520400419602893E-2</c:v>
                </c:pt>
                <c:pt idx="40">
                  <c:v>-1.1642719997627005E-2</c:v>
                </c:pt>
                <c:pt idx="41">
                  <c:v>1.5217237913740966E-2</c:v>
                </c:pt>
                <c:pt idx="42">
                  <c:v>2.1711246319537025E-2</c:v>
                </c:pt>
                <c:pt idx="43">
                  <c:v>-7.3059567614075505E-3</c:v>
                </c:pt>
                <c:pt idx="44">
                  <c:v>2.009472246021371E-2</c:v>
                </c:pt>
                <c:pt idx="45">
                  <c:v>4.3154942206156122E-3</c:v>
                </c:pt>
                <c:pt idx="46">
                  <c:v>2.3680113268811809E-2</c:v>
                </c:pt>
                <c:pt idx="47">
                  <c:v>-8.3341578495987889E-3</c:v>
                </c:pt>
                <c:pt idx="48">
                  <c:v>-1.3751401872631241E-2</c:v>
                </c:pt>
                <c:pt idx="49">
                  <c:v>1.7734627822014737E-2</c:v>
                </c:pt>
                <c:pt idx="50">
                  <c:v>-1.4767435195595091E-2</c:v>
                </c:pt>
                <c:pt idx="51">
                  <c:v>-1.1501011210911294E-2</c:v>
                </c:pt>
                <c:pt idx="52">
                  <c:v>-1.3119740426590809E-2</c:v>
                </c:pt>
                <c:pt idx="53">
                  <c:v>-2.0865371992302428E-2</c:v>
                </c:pt>
                <c:pt idx="54">
                  <c:v>-2.7081993454407538E-2</c:v>
                </c:pt>
                <c:pt idx="55">
                  <c:v>3.8156478128192894E-2</c:v>
                </c:pt>
                <c:pt idx="56">
                  <c:v>-1.2665584603750446E-3</c:v>
                </c:pt>
                <c:pt idx="57">
                  <c:v>6.0334831466577477E-2</c:v>
                </c:pt>
                <c:pt idx="58">
                  <c:v>1.4422475608165009E-2</c:v>
                </c:pt>
                <c:pt idx="59">
                  <c:v>6.0077664939477415E-3</c:v>
                </c:pt>
                <c:pt idx="60">
                  <c:v>2.0611662551056398E-2</c:v>
                </c:pt>
                <c:pt idx="61">
                  <c:v>1.4746568197221421E-3</c:v>
                </c:pt>
                <c:pt idx="62">
                  <c:v>1.1404984460835266E-2</c:v>
                </c:pt>
                <c:pt idx="63">
                  <c:v>4.0273132369500253E-2</c:v>
                </c:pt>
                <c:pt idx="64">
                  <c:v>6.0603878631297903E-3</c:v>
                </c:pt>
                <c:pt idx="65">
                  <c:v>-1.2766130823036015E-2</c:v>
                </c:pt>
                <c:pt idx="66">
                  <c:v>3.2837083606183981E-2</c:v>
                </c:pt>
                <c:pt idx="67">
                  <c:v>-2.6178010620725445E-4</c:v>
                </c:pt>
                <c:pt idx="68">
                  <c:v>-1.5065669505345269E-3</c:v>
                </c:pt>
                <c:pt idx="69">
                  <c:v>2.5339931633364898E-2</c:v>
                </c:pt>
                <c:pt idx="70">
                  <c:v>8.8551055046943716E-3</c:v>
                </c:pt>
                <c:pt idx="71">
                  <c:v>-1.446310597386713E-2</c:v>
                </c:pt>
                <c:pt idx="72">
                  <c:v>-3.5689452987779369E-2</c:v>
                </c:pt>
                <c:pt idx="73">
                  <c:v>2.4919753615467499E-2</c:v>
                </c:pt>
                <c:pt idx="74">
                  <c:v>-2.6408411210358196E-2</c:v>
                </c:pt>
                <c:pt idx="75">
                  <c:v>3.2356857706507647E-2</c:v>
                </c:pt>
                <c:pt idx="76">
                  <c:v>-5.5478943784228463E-3</c:v>
                </c:pt>
                <c:pt idx="77">
                  <c:v>2.8384018351337303E-2</c:v>
                </c:pt>
                <c:pt idx="78">
                  <c:v>-5.580978019831484E-3</c:v>
                </c:pt>
                <c:pt idx="79">
                  <c:v>2.0741484306816105E-2</c:v>
                </c:pt>
                <c:pt idx="80">
                  <c:v>2.0186237774773019E-3</c:v>
                </c:pt>
                <c:pt idx="81">
                  <c:v>-2.3882169407281495E-2</c:v>
                </c:pt>
                <c:pt idx="82">
                  <c:v>-2.672607381476233E-3</c:v>
                </c:pt>
                <c:pt idx="83">
                  <c:v>-2.9114357459464557E-2</c:v>
                </c:pt>
                <c:pt idx="84">
                  <c:v>1.3994897626709246E-2</c:v>
                </c:pt>
                <c:pt idx="85">
                  <c:v>9.0524075885323185E-4</c:v>
                </c:pt>
                <c:pt idx="86">
                  <c:v>3.6738048521648636E-2</c:v>
                </c:pt>
                <c:pt idx="87">
                  <c:v>-8.0167644192679077E-3</c:v>
                </c:pt>
                <c:pt idx="88">
                  <c:v>2.9282358686102405E-2</c:v>
                </c:pt>
                <c:pt idx="89">
                  <c:v>-3.138840570325474E-2</c:v>
                </c:pt>
                <c:pt idx="90">
                  <c:v>-6.9573003073726269E-3</c:v>
                </c:pt>
                <c:pt idx="91">
                  <c:v>-1.0959944885760464E-2</c:v>
                </c:pt>
                <c:pt idx="92">
                  <c:v>4.0371687051768745E-2</c:v>
                </c:pt>
                <c:pt idx="93">
                  <c:v>-4.9780870542988076E-2</c:v>
                </c:pt>
                <c:pt idx="94">
                  <c:v>3.5807340136410737E-2</c:v>
                </c:pt>
                <c:pt idx="95">
                  <c:v>-4.0852539751305983E-3</c:v>
                </c:pt>
                <c:pt idx="96">
                  <c:v>2.3418533726141888E-2</c:v>
                </c:pt>
                <c:pt idx="97">
                  <c:v>3.2300046885686662E-2</c:v>
                </c:pt>
                <c:pt idx="98">
                  <c:v>7.5078456524648729E-3</c:v>
                </c:pt>
                <c:pt idx="99">
                  <c:v>1.3746991545055209E-2</c:v>
                </c:pt>
                <c:pt idx="100">
                  <c:v>1.4523544864169402E-2</c:v>
                </c:pt>
                <c:pt idx="101">
                  <c:v>6.0331864736422602E-3</c:v>
                </c:pt>
                <c:pt idx="102">
                  <c:v>1.2164156955643435E-2</c:v>
                </c:pt>
                <c:pt idx="103">
                  <c:v>2.8187513185616631E-2</c:v>
                </c:pt>
                <c:pt idx="104">
                  <c:v>-3.390142680078867E-3</c:v>
                </c:pt>
                <c:pt idx="105">
                  <c:v>2.4580389440755468E-2</c:v>
                </c:pt>
                <c:pt idx="106">
                  <c:v>-1.0773061650133364E-2</c:v>
                </c:pt>
                <c:pt idx="107">
                  <c:v>1.0790875689378865E-2</c:v>
                </c:pt>
                <c:pt idx="108">
                  <c:v>-1.3287980977351843E-2</c:v>
                </c:pt>
                <c:pt idx="109">
                  <c:v>1.17548125455329E-2</c:v>
                </c:pt>
                <c:pt idx="110">
                  <c:v>-1.1538209956285073E-2</c:v>
                </c:pt>
                <c:pt idx="111">
                  <c:v>5.3228201376764872E-4</c:v>
                </c:pt>
                <c:pt idx="112">
                  <c:v>1.5681329817596179E-3</c:v>
                </c:pt>
                <c:pt idx="113">
                  <c:v>-1.7853642141205661E-2</c:v>
                </c:pt>
                <c:pt idx="114">
                  <c:v>2.0901753369937381E-2</c:v>
                </c:pt>
                <c:pt idx="115">
                  <c:v>-1.3576382432493261E-2</c:v>
                </c:pt>
                <c:pt idx="116">
                  <c:v>1.6458364516998003E-3</c:v>
                </c:pt>
                <c:pt idx="117">
                  <c:v>2.9144574597021133E-2</c:v>
                </c:pt>
                <c:pt idx="118">
                  <c:v>1.1598554323077437E-2</c:v>
                </c:pt>
                <c:pt idx="119">
                  <c:v>1.5501770986590557E-2</c:v>
                </c:pt>
                <c:pt idx="120">
                  <c:v>1.9072664165397768E-2</c:v>
                </c:pt>
                <c:pt idx="121">
                  <c:v>-3.9488707771395681E-2</c:v>
                </c:pt>
                <c:pt idx="122">
                  <c:v>-1.7803049944015825E-2</c:v>
                </c:pt>
                <c:pt idx="123">
                  <c:v>-2.8253738995728916E-2</c:v>
                </c:pt>
                <c:pt idx="124">
                  <c:v>-2.481309348138705E-2</c:v>
                </c:pt>
                <c:pt idx="125">
                  <c:v>1.7193149027079357E-2</c:v>
                </c:pt>
                <c:pt idx="126">
                  <c:v>-5.1274796251236765E-2</c:v>
                </c:pt>
                <c:pt idx="127">
                  <c:v>-5.3235159094965567E-2</c:v>
                </c:pt>
                <c:pt idx="128">
                  <c:v>3.5476122482520189E-2</c:v>
                </c:pt>
                <c:pt idx="129">
                  <c:v>1.0871654277632814E-2</c:v>
                </c:pt>
                <c:pt idx="130">
                  <c:v>2.3886763648095055E-2</c:v>
                </c:pt>
                <c:pt idx="131">
                  <c:v>-4.1180996498622058E-2</c:v>
                </c:pt>
                <c:pt idx="132">
                  <c:v>-1.8329744836265149E-2</c:v>
                </c:pt>
                <c:pt idx="133">
                  <c:v>7.0618952473270546E-2</c:v>
                </c:pt>
                <c:pt idx="134">
                  <c:v>1.3398787252318911E-2</c:v>
                </c:pt>
                <c:pt idx="135">
                  <c:v>2.5815736618505447E-2</c:v>
                </c:pt>
                <c:pt idx="136">
                  <c:v>3.7813477728330547E-2</c:v>
                </c:pt>
                <c:pt idx="137">
                  <c:v>-1.3491004139702945E-2</c:v>
                </c:pt>
                <c:pt idx="138">
                  <c:v>3.3052845679129916E-2</c:v>
                </c:pt>
                <c:pt idx="139">
                  <c:v>2.4400151021039207E-2</c:v>
                </c:pt>
                <c:pt idx="140">
                  <c:v>-1.3127924362614785E-2</c:v>
                </c:pt>
                <c:pt idx="141">
                  <c:v>-8.7743820028114428E-3</c:v>
                </c:pt>
                <c:pt idx="142">
                  <c:v>1.8322951868399606E-2</c:v>
                </c:pt>
                <c:pt idx="143">
                  <c:v>3.1680568505434437E-2</c:v>
                </c:pt>
                <c:pt idx="144">
                  <c:v>2.4109154418683332E-3</c:v>
                </c:pt>
                <c:pt idx="145">
                  <c:v>3.6628807260282947E-2</c:v>
                </c:pt>
                <c:pt idx="146">
                  <c:v>-2.5279802339542634E-2</c:v>
                </c:pt>
                <c:pt idx="147">
                  <c:v>-1.464102800447975E-2</c:v>
                </c:pt>
                <c:pt idx="148">
                  <c:v>4.3482854362898671E-2</c:v>
                </c:pt>
                <c:pt idx="149">
                  <c:v>-3.1951396827457401E-2</c:v>
                </c:pt>
                <c:pt idx="150">
                  <c:v>-7.5075366895394069E-3</c:v>
                </c:pt>
                <c:pt idx="151">
                  <c:v>7.3380855092288755E-3</c:v>
                </c:pt>
                <c:pt idx="152">
                  <c:v>-6.9424265761064419E-4</c:v>
                </c:pt>
                <c:pt idx="153">
                  <c:v>2.9551040427014286E-2</c:v>
                </c:pt>
                <c:pt idx="154">
                  <c:v>1.4879304570841079E-2</c:v>
                </c:pt>
                <c:pt idx="155">
                  <c:v>3.6239187191959843E-3</c:v>
                </c:pt>
                <c:pt idx="156">
                  <c:v>-1.2772772588137471E-2</c:v>
                </c:pt>
                <c:pt idx="157">
                  <c:v>8.4766005200265226E-3</c:v>
                </c:pt>
                <c:pt idx="158">
                  <c:v>4.135983334849147E-2</c:v>
                </c:pt>
                <c:pt idx="159">
                  <c:v>-2.2007748970203522E-2</c:v>
                </c:pt>
                <c:pt idx="160">
                  <c:v>2.8291963056421565E-2</c:v>
                </c:pt>
                <c:pt idx="161">
                  <c:v>-1.6099722567656016E-2</c:v>
                </c:pt>
                <c:pt idx="162">
                  <c:v>7.3278988298595138E-3</c:v>
                </c:pt>
                <c:pt idx="163">
                  <c:v>-5.3675393516323666E-3</c:v>
                </c:pt>
                <c:pt idx="164">
                  <c:v>-5.6295101241063961E-3</c:v>
                </c:pt>
                <c:pt idx="165">
                  <c:v>-2.1618315207842187E-2</c:v>
                </c:pt>
                <c:pt idx="166">
                  <c:v>1.9707131950149837E-2</c:v>
                </c:pt>
                <c:pt idx="167">
                  <c:v>-2.6025830058176602E-2</c:v>
                </c:pt>
                <c:pt idx="168">
                  <c:v>3.7326823919517693E-2</c:v>
                </c:pt>
                <c:pt idx="169">
                  <c:v>-2.0714394889766119E-2</c:v>
                </c:pt>
                <c:pt idx="170">
                  <c:v>5.6108680740861061E-2</c:v>
                </c:pt>
                <c:pt idx="171">
                  <c:v>8.631293520580563E-3</c:v>
                </c:pt>
                <c:pt idx="172">
                  <c:v>1.0984993845077007E-2</c:v>
                </c:pt>
                <c:pt idx="173">
                  <c:v>-4.4565182703798278E-2</c:v>
                </c:pt>
                <c:pt idx="174">
                  <c:v>-2.1016091886060018E-2</c:v>
                </c:pt>
                <c:pt idx="175">
                  <c:v>-2.1628756295996254E-2</c:v>
                </c:pt>
                <c:pt idx="176">
                  <c:v>2.0845741649755389E-2</c:v>
                </c:pt>
                <c:pt idx="177">
                  <c:v>6.7034995743879833E-3</c:v>
                </c:pt>
                <c:pt idx="178">
                  <c:v>8.6857314325534674E-3</c:v>
                </c:pt>
                <c:pt idx="179">
                  <c:v>6.6309367675927433E-3</c:v>
                </c:pt>
                <c:pt idx="180">
                  <c:v>-4.1197592322870236E-3</c:v>
                </c:pt>
                <c:pt idx="181">
                  <c:v>-1.2087617589150668E-2</c:v>
                </c:pt>
                <c:pt idx="182">
                  <c:v>-4.4450401066153944E-2</c:v>
                </c:pt>
                <c:pt idx="183">
                  <c:v>4.2575362046290977E-3</c:v>
                </c:pt>
                <c:pt idx="184">
                  <c:v>4.0642060808346869E-2</c:v>
                </c:pt>
                <c:pt idx="185">
                  <c:v>-6.8625643309848883E-2</c:v>
                </c:pt>
                <c:pt idx="186">
                  <c:v>4.2563288691820134E-2</c:v>
                </c:pt>
                <c:pt idx="187">
                  <c:v>4.6004103651235084E-2</c:v>
                </c:pt>
                <c:pt idx="188">
                  <c:v>5.3418148654120756E-3</c:v>
                </c:pt>
                <c:pt idx="189">
                  <c:v>1.8675374398360312E-2</c:v>
                </c:pt>
                <c:pt idx="190">
                  <c:v>1.8410348021785872E-2</c:v>
                </c:pt>
                <c:pt idx="191">
                  <c:v>-3.790578831876168E-3</c:v>
                </c:pt>
                <c:pt idx="192">
                  <c:v>1.1705725397860078E-2</c:v>
                </c:pt>
                <c:pt idx="193">
                  <c:v>-1.1409288984828514E-2</c:v>
                </c:pt>
                <c:pt idx="194">
                  <c:v>2.8258460221177728E-3</c:v>
                </c:pt>
                <c:pt idx="195">
                  <c:v>2.5902767575268548E-2</c:v>
                </c:pt>
                <c:pt idx="196">
                  <c:v>7.4532639510325183E-3</c:v>
                </c:pt>
                <c:pt idx="197">
                  <c:v>-1.9088640285395364E-2</c:v>
                </c:pt>
                <c:pt idx="198">
                  <c:v>1.6294200080896992E-2</c:v>
                </c:pt>
                <c:pt idx="199">
                  <c:v>-1.6370513980817236E-2</c:v>
                </c:pt>
                <c:pt idx="200">
                  <c:v>-5.798477243839617E-2</c:v>
                </c:pt>
                <c:pt idx="201">
                  <c:v>4.6127270813198784E-2</c:v>
                </c:pt>
                <c:pt idx="202">
                  <c:v>-2.6499955445830281E-2</c:v>
                </c:pt>
                <c:pt idx="203">
                  <c:v>-3.002556148254687E-2</c:v>
                </c:pt>
                <c:pt idx="204">
                  <c:v>-9.5020215199497216E-3</c:v>
                </c:pt>
                <c:pt idx="205">
                  <c:v>5.529880633212958E-2</c:v>
                </c:pt>
                <c:pt idx="206">
                  <c:v>-1.0056285358048811E-2</c:v>
                </c:pt>
                <c:pt idx="207">
                  <c:v>4.8548809042869401E-2</c:v>
                </c:pt>
                <c:pt idx="208">
                  <c:v>4.2112822872627298E-2</c:v>
                </c:pt>
                <c:pt idx="209">
                  <c:v>-1.9088232071746702E-2</c:v>
                </c:pt>
                <c:pt idx="210">
                  <c:v>1.1788138216425104E-2</c:v>
                </c:pt>
                <c:pt idx="211">
                  <c:v>-0.11135404766930446</c:v>
                </c:pt>
                <c:pt idx="212">
                  <c:v>5.5892156714024921E-2</c:v>
                </c:pt>
                <c:pt idx="213">
                  <c:v>1.2393775480776803E-2</c:v>
                </c:pt>
                <c:pt idx="214">
                  <c:v>-1.3726099886050669E-2</c:v>
                </c:pt>
                <c:pt idx="215">
                  <c:v>-8.1792163974290233E-3</c:v>
                </c:pt>
                <c:pt idx="216">
                  <c:v>-9.9084586299458266E-3</c:v>
                </c:pt>
                <c:pt idx="217">
                  <c:v>-2.0776554623869181E-2</c:v>
                </c:pt>
                <c:pt idx="218">
                  <c:v>6.9541334281406186E-2</c:v>
                </c:pt>
                <c:pt idx="219">
                  <c:v>-1.3843811021335917E-2</c:v>
                </c:pt>
                <c:pt idx="220">
                  <c:v>5.1413643021946953E-3</c:v>
                </c:pt>
                <c:pt idx="221">
                  <c:v>-1.5816210272788567E-2</c:v>
                </c:pt>
                <c:pt idx="222">
                  <c:v>9.0605851745850785E-3</c:v>
                </c:pt>
                <c:pt idx="223">
                  <c:v>1.6567619452283466E-2</c:v>
                </c:pt>
                <c:pt idx="224">
                  <c:v>2.0797837515417861E-2</c:v>
                </c:pt>
                <c:pt idx="225">
                  <c:v>-1.9925947791401555E-2</c:v>
                </c:pt>
                <c:pt idx="226">
                  <c:v>-4.159105409071806E-2</c:v>
                </c:pt>
                <c:pt idx="227">
                  <c:v>2.9861870179451522E-2</c:v>
                </c:pt>
                <c:pt idx="228">
                  <c:v>6.0720447433739722E-3</c:v>
                </c:pt>
                <c:pt idx="229">
                  <c:v>1.3416497862777099E-2</c:v>
                </c:pt>
                <c:pt idx="230">
                  <c:v>9.8260729158328175E-3</c:v>
                </c:pt>
                <c:pt idx="231">
                  <c:v>9.4608960124347163E-3</c:v>
                </c:pt>
                <c:pt idx="232">
                  <c:v>-1.7425082795899272E-2</c:v>
                </c:pt>
                <c:pt idx="233">
                  <c:v>-1.938371204238809E-2</c:v>
                </c:pt>
                <c:pt idx="234">
                  <c:v>-1.1727582748517484E-2</c:v>
                </c:pt>
                <c:pt idx="235">
                  <c:v>-8.4638471735454246E-3</c:v>
                </c:pt>
                <c:pt idx="236">
                  <c:v>-1.9343425118126589E-2</c:v>
                </c:pt>
                <c:pt idx="237">
                  <c:v>-2.5023223166160236E-2</c:v>
                </c:pt>
                <c:pt idx="238">
                  <c:v>1.6427059153348189E-2</c:v>
                </c:pt>
                <c:pt idx="239">
                  <c:v>-1.2497866626638654E-2</c:v>
                </c:pt>
                <c:pt idx="240">
                  <c:v>3.3577970912211264E-2</c:v>
                </c:pt>
                <c:pt idx="241">
                  <c:v>-4.3484956179058898E-2</c:v>
                </c:pt>
                <c:pt idx="242">
                  <c:v>1.2730001353311593E-3</c:v>
                </c:pt>
                <c:pt idx="243">
                  <c:v>-1.9155482018136105E-2</c:v>
                </c:pt>
                <c:pt idx="244">
                  <c:v>-1.9978082591567414E-2</c:v>
                </c:pt>
                <c:pt idx="245">
                  <c:v>4.0718889367050259E-2</c:v>
                </c:pt>
                <c:pt idx="246">
                  <c:v>-4.306343139056068E-2</c:v>
                </c:pt>
                <c:pt idx="247">
                  <c:v>-4.7209535682153358E-3</c:v>
                </c:pt>
                <c:pt idx="248">
                  <c:v>1.0897775628995632E-2</c:v>
                </c:pt>
                <c:pt idx="249">
                  <c:v>-1.6749607773193453E-2</c:v>
                </c:pt>
                <c:pt idx="250">
                  <c:v>1.5263971177653879E-2</c:v>
                </c:pt>
                <c:pt idx="251">
                  <c:v>1.8212591934864797E-2</c:v>
                </c:pt>
                <c:pt idx="252">
                  <c:v>9.1937626266229699E-3</c:v>
                </c:pt>
                <c:pt idx="253">
                  <c:v>-4.0526305087276171E-3</c:v>
                </c:pt>
                <c:pt idx="254">
                  <c:v>-2.6057783305960314E-2</c:v>
                </c:pt>
                <c:pt idx="255">
                  <c:v>-1.0113643953762796E-2</c:v>
                </c:pt>
                <c:pt idx="256">
                  <c:v>-4.3714441011482918E-2</c:v>
                </c:pt>
                <c:pt idx="257">
                  <c:v>-9.4192725574009373E-3</c:v>
                </c:pt>
                <c:pt idx="258">
                  <c:v>-6.1598316099154005E-4</c:v>
                </c:pt>
                <c:pt idx="259">
                  <c:v>-6.9568093010882848E-2</c:v>
                </c:pt>
                <c:pt idx="260">
                  <c:v>-9.3435772931416139E-3</c:v>
                </c:pt>
                <c:pt idx="261">
                  <c:v>1.7825318939872048E-2</c:v>
                </c:pt>
                <c:pt idx="262">
                  <c:v>-2.7877161310144061E-2</c:v>
                </c:pt>
                <c:pt idx="263">
                  <c:v>4.7648863862698398E-2</c:v>
                </c:pt>
                <c:pt idx="264">
                  <c:v>4.9035572322639887E-2</c:v>
                </c:pt>
                <c:pt idx="265">
                  <c:v>8.0688570530860204E-3</c:v>
                </c:pt>
                <c:pt idx="266">
                  <c:v>1.0763460873775443E-2</c:v>
                </c:pt>
                <c:pt idx="267">
                  <c:v>-1.6670502446475943E-2</c:v>
                </c:pt>
                <c:pt idx="268">
                  <c:v>3.6486907353898701E-2</c:v>
                </c:pt>
                <c:pt idx="269">
                  <c:v>-1.0950164865368706E-2</c:v>
                </c:pt>
                <c:pt idx="270">
                  <c:v>-1.3566954595147784E-2</c:v>
                </c:pt>
                <c:pt idx="271">
                  <c:v>3.3971754578745461E-3</c:v>
                </c:pt>
                <c:pt idx="272">
                  <c:v>-4.0823312085842112E-2</c:v>
                </c:pt>
                <c:pt idx="273">
                  <c:v>9.0093284335095447E-3</c:v>
                </c:pt>
                <c:pt idx="274">
                  <c:v>-7.5925498693862892E-4</c:v>
                </c:pt>
                <c:pt idx="275">
                  <c:v>-2.8018279911523614E-2</c:v>
                </c:pt>
                <c:pt idx="276">
                  <c:v>2.0854608441735145E-2</c:v>
                </c:pt>
                <c:pt idx="277">
                  <c:v>-3.9809986927501484E-3</c:v>
                </c:pt>
                <c:pt idx="278">
                  <c:v>-4.1627588901702595E-3</c:v>
                </c:pt>
                <c:pt idx="279">
                  <c:v>7.0491207818896839E-3</c:v>
                </c:pt>
                <c:pt idx="280">
                  <c:v>-2.0121202349241862E-2</c:v>
                </c:pt>
                <c:pt idx="281">
                  <c:v>-2.3970911326348876E-2</c:v>
                </c:pt>
                <c:pt idx="282">
                  <c:v>1.956686057183088E-2</c:v>
                </c:pt>
                <c:pt idx="283">
                  <c:v>-4.4302934781188519E-2</c:v>
                </c:pt>
                <c:pt idx="284">
                  <c:v>-4.3082143610027046E-2</c:v>
                </c:pt>
                <c:pt idx="285">
                  <c:v>6.206637868552356E-3</c:v>
                </c:pt>
                <c:pt idx="286">
                  <c:v>-0.12330376613236549</c:v>
                </c:pt>
                <c:pt idx="287">
                  <c:v>7.4922656626849715E-2</c:v>
                </c:pt>
                <c:pt idx="288">
                  <c:v>2.8823386041877619E-2</c:v>
                </c:pt>
                <c:pt idx="289">
                  <c:v>1.8742776000956418E-2</c:v>
                </c:pt>
                <c:pt idx="290">
                  <c:v>-1.6784605611257497E-2</c:v>
                </c:pt>
                <c:pt idx="291">
                  <c:v>2.8586623979118819E-2</c:v>
                </c:pt>
                <c:pt idx="292">
                  <c:v>-1.5886747640053045E-2</c:v>
                </c:pt>
                <c:pt idx="293">
                  <c:v>2.9999848868393464E-2</c:v>
                </c:pt>
                <c:pt idx="294">
                  <c:v>1.62379174255598E-2</c:v>
                </c:pt>
                <c:pt idx="295">
                  <c:v>1.0214200703829945E-2</c:v>
                </c:pt>
                <c:pt idx="296">
                  <c:v>-9.5118610059365949E-3</c:v>
                </c:pt>
                <c:pt idx="297">
                  <c:v>1.6416356414219457E-2</c:v>
                </c:pt>
                <c:pt idx="298">
                  <c:v>-3.0878231240281551E-2</c:v>
                </c:pt>
                <c:pt idx="299">
                  <c:v>1.9224747501620953E-2</c:v>
                </c:pt>
                <c:pt idx="300">
                  <c:v>1.3990366574032187E-2</c:v>
                </c:pt>
                <c:pt idx="301">
                  <c:v>9.8478209903412051E-3</c:v>
                </c:pt>
                <c:pt idx="302">
                  <c:v>-2.3218232862331156E-2</c:v>
                </c:pt>
                <c:pt idx="303">
                  <c:v>-1.5854773909817155E-2</c:v>
                </c:pt>
                <c:pt idx="304">
                  <c:v>5.0423397087477895E-3</c:v>
                </c:pt>
                <c:pt idx="305">
                  <c:v>-9.8250386884402019E-3</c:v>
                </c:pt>
                <c:pt idx="306">
                  <c:v>-2.3423146025459474E-2</c:v>
                </c:pt>
                <c:pt idx="307">
                  <c:v>7.2350797337454864E-3</c:v>
                </c:pt>
                <c:pt idx="308">
                  <c:v>-1.3072081567352178E-2</c:v>
                </c:pt>
                <c:pt idx="309">
                  <c:v>3.7760718127882953E-2</c:v>
                </c:pt>
                <c:pt idx="310">
                  <c:v>2.8337022272068246E-2</c:v>
                </c:pt>
                <c:pt idx="311">
                  <c:v>1.5876629080002758E-3</c:v>
                </c:pt>
                <c:pt idx="312">
                  <c:v>-1.5085431614398459E-2</c:v>
                </c:pt>
                <c:pt idx="313">
                  <c:v>-1.1410703780247999E-3</c:v>
                </c:pt>
                <c:pt idx="314">
                  <c:v>-2.1726578368734373E-2</c:v>
                </c:pt>
                <c:pt idx="315">
                  <c:v>-1.0493707905387062E-2</c:v>
                </c:pt>
                <c:pt idx="316">
                  <c:v>1.2664623834285571E-2</c:v>
                </c:pt>
                <c:pt idx="317">
                  <c:v>-4.4386320056202244E-2</c:v>
                </c:pt>
                <c:pt idx="318">
                  <c:v>-2.6886863504991254E-3</c:v>
                </c:pt>
                <c:pt idx="319">
                  <c:v>-1.7327840734538746E-2</c:v>
                </c:pt>
                <c:pt idx="320">
                  <c:v>4.775192654196303E-2</c:v>
                </c:pt>
                <c:pt idx="321">
                  <c:v>-2.0791377183249082E-2</c:v>
                </c:pt>
                <c:pt idx="322">
                  <c:v>-1.5509664859177263E-2</c:v>
                </c:pt>
                <c:pt idx="323">
                  <c:v>-3.7824308667339324E-2</c:v>
                </c:pt>
                <c:pt idx="324">
                  <c:v>-1.9914163106443894E-2</c:v>
                </c:pt>
                <c:pt idx="325">
                  <c:v>-1.8163101185151298E-2</c:v>
                </c:pt>
                <c:pt idx="326">
                  <c:v>6.8722968302825649E-4</c:v>
                </c:pt>
                <c:pt idx="327">
                  <c:v>-7.9844358285896533E-4</c:v>
                </c:pt>
                <c:pt idx="328">
                  <c:v>-7.0841265439814727E-2</c:v>
                </c:pt>
                <c:pt idx="329">
                  <c:v>-8.3285822526634412E-2</c:v>
                </c:pt>
                <c:pt idx="330">
                  <c:v>5.9743797602243021E-3</c:v>
                </c:pt>
                <c:pt idx="331">
                  <c:v>1.3278551381924686E-2</c:v>
                </c:pt>
                <c:pt idx="332">
                  <c:v>5.0098468120393314E-2</c:v>
                </c:pt>
                <c:pt idx="333">
                  <c:v>2.1912153991308969E-2</c:v>
                </c:pt>
                <c:pt idx="334">
                  <c:v>1.2933220500563891E-2</c:v>
                </c:pt>
                <c:pt idx="335">
                  <c:v>-2.6701569652690438E-2</c:v>
                </c:pt>
                <c:pt idx="336">
                  <c:v>-2.4476495257466091E-2</c:v>
                </c:pt>
                <c:pt idx="337">
                  <c:v>-4.6083289214911005E-3</c:v>
                </c:pt>
                <c:pt idx="338">
                  <c:v>-5.1209897446750752E-2</c:v>
                </c:pt>
                <c:pt idx="339">
                  <c:v>-2.1546064130713916E-2</c:v>
                </c:pt>
                <c:pt idx="340">
                  <c:v>-3.2915530229498557E-2</c:v>
                </c:pt>
                <c:pt idx="341">
                  <c:v>4.247841998619073E-2</c:v>
                </c:pt>
                <c:pt idx="342">
                  <c:v>5.7083256849931097E-2</c:v>
                </c:pt>
                <c:pt idx="343">
                  <c:v>1.4882095498331083E-2</c:v>
                </c:pt>
                <c:pt idx="344">
                  <c:v>3.6806241894709046E-3</c:v>
                </c:pt>
                <c:pt idx="345">
                  <c:v>-6.9276882288589192E-3</c:v>
                </c:pt>
                <c:pt idx="346">
                  <c:v>1.672459559487649E-2</c:v>
                </c:pt>
                <c:pt idx="347">
                  <c:v>2.2518040317646815E-2</c:v>
                </c:pt>
                <c:pt idx="348">
                  <c:v>6.1708090353347345E-3</c:v>
                </c:pt>
                <c:pt idx="349">
                  <c:v>-2.6054466963824296E-2</c:v>
                </c:pt>
                <c:pt idx="350">
                  <c:v>-2.5255128950251837E-2</c:v>
                </c:pt>
                <c:pt idx="351">
                  <c:v>7.024333873832056E-3</c:v>
                </c:pt>
                <c:pt idx="352">
                  <c:v>-2.2980431428268666E-2</c:v>
                </c:pt>
                <c:pt idx="353">
                  <c:v>3.721302256473269E-2</c:v>
                </c:pt>
                <c:pt idx="354">
                  <c:v>2.0674316010330429E-2</c:v>
                </c:pt>
                <c:pt idx="355">
                  <c:v>-2.8197675457295901E-2</c:v>
                </c:pt>
                <c:pt idx="356">
                  <c:v>-4.5811615254551796E-2</c:v>
                </c:pt>
                <c:pt idx="357">
                  <c:v>-6.6391251960009612E-3</c:v>
                </c:pt>
                <c:pt idx="358">
                  <c:v>-3.0867710375516388E-2</c:v>
                </c:pt>
                <c:pt idx="359">
                  <c:v>6.2478425973981899E-3</c:v>
                </c:pt>
                <c:pt idx="360">
                  <c:v>1.5781107752359524E-2</c:v>
                </c:pt>
                <c:pt idx="361">
                  <c:v>-8.311084233080912E-3</c:v>
                </c:pt>
                <c:pt idx="362">
                  <c:v>-1.4682546821907394E-2</c:v>
                </c:pt>
                <c:pt idx="363">
                  <c:v>5.2702629567740189E-3</c:v>
                </c:pt>
                <c:pt idx="364">
                  <c:v>7.2348291204781923E-2</c:v>
                </c:pt>
                <c:pt idx="365">
                  <c:v>-3.6712112918085182E-2</c:v>
                </c:pt>
                <c:pt idx="366">
                  <c:v>1.7620337072174586E-2</c:v>
                </c:pt>
                <c:pt idx="367">
                  <c:v>-1.2076957592308091E-2</c:v>
                </c:pt>
                <c:pt idx="368">
                  <c:v>2.8698589059231949E-2</c:v>
                </c:pt>
                <c:pt idx="369">
                  <c:v>5.8358000691551837E-3</c:v>
                </c:pt>
                <c:pt idx="370">
                  <c:v>3.4198937758054271E-2</c:v>
                </c:pt>
                <c:pt idx="371">
                  <c:v>3.5739430257475391E-3</c:v>
                </c:pt>
                <c:pt idx="372">
                  <c:v>1.1599365290234864E-2</c:v>
                </c:pt>
                <c:pt idx="373">
                  <c:v>-1.1802940718312449E-2</c:v>
                </c:pt>
                <c:pt idx="374">
                  <c:v>3.2024921386052618E-2</c:v>
                </c:pt>
                <c:pt idx="375">
                  <c:v>2.4773860322724772E-2</c:v>
                </c:pt>
                <c:pt idx="376">
                  <c:v>8.6016287679768766E-4</c:v>
                </c:pt>
                <c:pt idx="377">
                  <c:v>7.1360480216213773E-3</c:v>
                </c:pt>
                <c:pt idx="378">
                  <c:v>-1.9747993309729317E-2</c:v>
                </c:pt>
                <c:pt idx="379">
                  <c:v>9.6640778232153224E-3</c:v>
                </c:pt>
                <c:pt idx="380">
                  <c:v>1.2541498362795167E-2</c:v>
                </c:pt>
                <c:pt idx="381">
                  <c:v>-4.8406791117265868E-3</c:v>
                </c:pt>
                <c:pt idx="382">
                  <c:v>5.3815390922595796E-3</c:v>
                </c:pt>
                <c:pt idx="383">
                  <c:v>-1.8728785838288076E-2</c:v>
                </c:pt>
                <c:pt idx="384">
                  <c:v>-2.6152619439896441E-3</c:v>
                </c:pt>
                <c:pt idx="385">
                  <c:v>1.32911226689858E-2</c:v>
                </c:pt>
                <c:pt idx="386">
                  <c:v>2.4096032790748012E-3</c:v>
                </c:pt>
                <c:pt idx="387">
                  <c:v>1.4942284036520981E-2</c:v>
                </c:pt>
                <c:pt idx="388">
                  <c:v>1.3186354464941097E-2</c:v>
                </c:pt>
                <c:pt idx="389">
                  <c:v>-2.7058574758900278E-3</c:v>
                </c:pt>
                <c:pt idx="390">
                  <c:v>1.7198089984095333E-2</c:v>
                </c:pt>
                <c:pt idx="391">
                  <c:v>-3.8811648901336149E-2</c:v>
                </c:pt>
                <c:pt idx="392">
                  <c:v>3.2568132261650895E-2</c:v>
                </c:pt>
                <c:pt idx="393">
                  <c:v>7.9404259729995985E-3</c:v>
                </c:pt>
                <c:pt idx="394">
                  <c:v>1.2130666074678942E-3</c:v>
                </c:pt>
                <c:pt idx="395">
                  <c:v>-1.0066663678915511E-2</c:v>
                </c:pt>
                <c:pt idx="396">
                  <c:v>2.0966136661948021E-2</c:v>
                </c:pt>
                <c:pt idx="397">
                  <c:v>2.3765173358603064E-3</c:v>
                </c:pt>
                <c:pt idx="398">
                  <c:v>-2.7192015081576315E-3</c:v>
                </c:pt>
                <c:pt idx="399">
                  <c:v>-1.4451520428274911E-2</c:v>
                </c:pt>
                <c:pt idx="400">
                  <c:v>2.1897429956617032E-2</c:v>
                </c:pt>
                <c:pt idx="401">
                  <c:v>3.1136506732796221E-3</c:v>
                </c:pt>
                <c:pt idx="402">
                  <c:v>1.1837339247683154E-2</c:v>
                </c:pt>
                <c:pt idx="403">
                  <c:v>1.3436426315976746E-2</c:v>
                </c:pt>
                <c:pt idx="404">
                  <c:v>6.6100508005861869E-3</c:v>
                </c:pt>
                <c:pt idx="405">
                  <c:v>1.1422888986404089E-2</c:v>
                </c:pt>
                <c:pt idx="406">
                  <c:v>1.1998314619759753E-2</c:v>
                </c:pt>
                <c:pt idx="407">
                  <c:v>1.589110634789126E-2</c:v>
                </c:pt>
                <c:pt idx="408">
                  <c:v>1.5078595638504666E-3</c:v>
                </c:pt>
                <c:pt idx="409">
                  <c:v>-9.1698549859922096E-3</c:v>
                </c:pt>
                <c:pt idx="410">
                  <c:v>1.0229255954484984E-2</c:v>
                </c:pt>
                <c:pt idx="411">
                  <c:v>2.6654214690564615E-3</c:v>
                </c:pt>
                <c:pt idx="412">
                  <c:v>-1.484768299599537E-3</c:v>
                </c:pt>
                <c:pt idx="413">
                  <c:v>7.2519170518337006E-4</c:v>
                </c:pt>
                <c:pt idx="414">
                  <c:v>1.0357204410763821E-2</c:v>
                </c:pt>
                <c:pt idx="415">
                  <c:v>-3.1871953879013759E-2</c:v>
                </c:pt>
                <c:pt idx="416">
                  <c:v>-9.6756869360223874E-3</c:v>
                </c:pt>
                <c:pt idx="417">
                  <c:v>-1.5510589986913459E-3</c:v>
                </c:pt>
                <c:pt idx="418">
                  <c:v>3.0003984127418448E-2</c:v>
                </c:pt>
                <c:pt idx="419">
                  <c:v>-2.1831294042478078E-3</c:v>
                </c:pt>
                <c:pt idx="420">
                  <c:v>-4.1426136563469385E-3</c:v>
                </c:pt>
                <c:pt idx="421">
                  <c:v>5.2654601899826403E-3</c:v>
                </c:pt>
                <c:pt idx="422">
                  <c:v>-2.9629820018375774E-2</c:v>
                </c:pt>
                <c:pt idx="423">
                  <c:v>-7.7969569972271557E-3</c:v>
                </c:pt>
                <c:pt idx="424">
                  <c:v>-2.7342342954872478E-3</c:v>
                </c:pt>
                <c:pt idx="425">
                  <c:v>-1.9549991153127166E-3</c:v>
                </c:pt>
                <c:pt idx="426">
                  <c:v>2.4497214613591112E-2</c:v>
                </c:pt>
                <c:pt idx="427">
                  <c:v>1.6226967067831666E-3</c:v>
                </c:pt>
                <c:pt idx="428">
                  <c:v>1.2368626495405266E-2</c:v>
                </c:pt>
                <c:pt idx="429">
                  <c:v>-1.2766952061875614E-3</c:v>
                </c:pt>
                <c:pt idx="430">
                  <c:v>-5.1994977927893871E-4</c:v>
                </c:pt>
                <c:pt idx="431">
                  <c:v>-8.0095657441203727E-3</c:v>
                </c:pt>
                <c:pt idx="432">
                  <c:v>-1.1232408472610089E-2</c:v>
                </c:pt>
                <c:pt idx="433">
                  <c:v>-1.0315329476004109E-2</c:v>
                </c:pt>
                <c:pt idx="434">
                  <c:v>-1.3887651832868997E-2</c:v>
                </c:pt>
                <c:pt idx="435">
                  <c:v>1.4187228342864344E-2</c:v>
                </c:pt>
                <c:pt idx="436">
                  <c:v>-3.4865399928241558E-2</c:v>
                </c:pt>
                <c:pt idx="437">
                  <c:v>7.797930655337737E-4</c:v>
                </c:pt>
                <c:pt idx="438">
                  <c:v>3.1022065579293212E-2</c:v>
                </c:pt>
                <c:pt idx="439">
                  <c:v>8.5399318716330441E-3</c:v>
                </c:pt>
                <c:pt idx="440">
                  <c:v>5.2759643406341539E-3</c:v>
                </c:pt>
                <c:pt idx="441">
                  <c:v>9.1976246709339904E-3</c:v>
                </c:pt>
                <c:pt idx="442">
                  <c:v>4.1110483343693716E-3</c:v>
                </c:pt>
                <c:pt idx="443">
                  <c:v>-1.6474513382277678E-2</c:v>
                </c:pt>
                <c:pt idx="444">
                  <c:v>1.9085076578104321E-2</c:v>
                </c:pt>
                <c:pt idx="445">
                  <c:v>-8.3066095913748583E-3</c:v>
                </c:pt>
                <c:pt idx="446">
                  <c:v>-1.2500499048967662E-2</c:v>
                </c:pt>
                <c:pt idx="447">
                  <c:v>-1.1307143345264947E-2</c:v>
                </c:pt>
                <c:pt idx="448">
                  <c:v>3.0964674107758938E-2</c:v>
                </c:pt>
                <c:pt idx="449">
                  <c:v>3.1330266685885455E-2</c:v>
                </c:pt>
                <c:pt idx="450">
                  <c:v>1.5317232336626851E-2</c:v>
                </c:pt>
                <c:pt idx="451">
                  <c:v>-1.1747802351360193E-2</c:v>
                </c:pt>
                <c:pt idx="452">
                  <c:v>1.0463378348717356E-2</c:v>
                </c:pt>
                <c:pt idx="453">
                  <c:v>7.1783341493372177E-3</c:v>
                </c:pt>
                <c:pt idx="454">
                  <c:v>-2.6647964423593962E-3</c:v>
                </c:pt>
                <c:pt idx="455">
                  <c:v>5.2220316635267494E-3</c:v>
                </c:pt>
                <c:pt idx="456">
                  <c:v>1.3234539250148281E-2</c:v>
                </c:pt>
                <c:pt idx="457">
                  <c:v>1.4780870138029201E-3</c:v>
                </c:pt>
                <c:pt idx="458">
                  <c:v>-2.1459388762548492E-2</c:v>
                </c:pt>
                <c:pt idx="459">
                  <c:v>-1.4088608697235827E-3</c:v>
                </c:pt>
                <c:pt idx="460">
                  <c:v>-1.415605239394413E-2</c:v>
                </c:pt>
                <c:pt idx="461">
                  <c:v>2.9838900744802999E-3</c:v>
                </c:pt>
                <c:pt idx="462">
                  <c:v>2.6677907421268188E-2</c:v>
                </c:pt>
                <c:pt idx="463">
                  <c:v>1.8851242746968921E-3</c:v>
                </c:pt>
                <c:pt idx="464">
                  <c:v>-3.0828188560745318E-3</c:v>
                </c:pt>
                <c:pt idx="465">
                  <c:v>8.1062707669552481E-3</c:v>
                </c:pt>
                <c:pt idx="466">
                  <c:v>8.8351050777575324E-3</c:v>
                </c:pt>
                <c:pt idx="467">
                  <c:v>-1.8198834362300964E-2</c:v>
                </c:pt>
                <c:pt idx="468">
                  <c:v>-8.7290750231963088E-3</c:v>
                </c:pt>
                <c:pt idx="469">
                  <c:v>-1.5442458100348055E-2</c:v>
                </c:pt>
                <c:pt idx="470">
                  <c:v>1.2796780370569749E-3</c:v>
                </c:pt>
                <c:pt idx="471">
                  <c:v>7.0345047356203949E-3</c:v>
                </c:pt>
                <c:pt idx="472">
                  <c:v>-3.3206999794211711E-2</c:v>
                </c:pt>
                <c:pt idx="473">
                  <c:v>8.2798524219764857E-3</c:v>
                </c:pt>
                <c:pt idx="474">
                  <c:v>4.0970706561580528E-3</c:v>
                </c:pt>
                <c:pt idx="475">
                  <c:v>1.2456135623103215E-2</c:v>
                </c:pt>
                <c:pt idx="476">
                  <c:v>-1.4879435091034843E-2</c:v>
                </c:pt>
                <c:pt idx="477">
                  <c:v>3.0070587291223916E-2</c:v>
                </c:pt>
                <c:pt idx="478">
                  <c:v>7.9562909763399858E-3</c:v>
                </c:pt>
                <c:pt idx="479">
                  <c:v>-2.3049951745370834E-3</c:v>
                </c:pt>
                <c:pt idx="480">
                  <c:v>1.7459373809369794E-3</c:v>
                </c:pt>
                <c:pt idx="481">
                  <c:v>1.5610630580171758E-2</c:v>
                </c:pt>
                <c:pt idx="482">
                  <c:v>-2.1084180451329537E-2</c:v>
                </c:pt>
                <c:pt idx="483">
                  <c:v>2.4056909938687809E-3</c:v>
                </c:pt>
                <c:pt idx="484">
                  <c:v>1.4478913123697978E-2</c:v>
                </c:pt>
                <c:pt idx="485">
                  <c:v>1.3165311599021123E-2</c:v>
                </c:pt>
                <c:pt idx="486">
                  <c:v>4.6798915442476385E-3</c:v>
                </c:pt>
                <c:pt idx="487">
                  <c:v>4.0520937722732242E-4</c:v>
                </c:pt>
                <c:pt idx="488">
                  <c:v>-6.3074256089752367E-3</c:v>
                </c:pt>
                <c:pt idx="489">
                  <c:v>3.2318359624676773E-3</c:v>
                </c:pt>
                <c:pt idx="490">
                  <c:v>-8.7180667271429257E-3</c:v>
                </c:pt>
                <c:pt idx="491">
                  <c:v>-1.2050574519631319E-2</c:v>
                </c:pt>
                <c:pt idx="492">
                  <c:v>1.0664038462931735E-2</c:v>
                </c:pt>
                <c:pt idx="493">
                  <c:v>1.9077626777277423E-2</c:v>
                </c:pt>
                <c:pt idx="494">
                  <c:v>-2.879742571472832E-3</c:v>
                </c:pt>
                <c:pt idx="495">
                  <c:v>-1.8441742280147722E-2</c:v>
                </c:pt>
                <c:pt idx="496">
                  <c:v>1.1063489959192374E-2</c:v>
                </c:pt>
                <c:pt idx="497">
                  <c:v>-2.7147181406365739E-2</c:v>
                </c:pt>
                <c:pt idx="498">
                  <c:v>-7.832247789052893E-3</c:v>
                </c:pt>
                <c:pt idx="499">
                  <c:v>-5.8998717305041026E-3</c:v>
                </c:pt>
                <c:pt idx="500">
                  <c:v>1.5828757732214704E-2</c:v>
                </c:pt>
                <c:pt idx="501">
                  <c:v>1.7969928054496265E-2</c:v>
                </c:pt>
                <c:pt idx="502">
                  <c:v>1.1878617467377062E-2</c:v>
                </c:pt>
                <c:pt idx="503">
                  <c:v>1.0914368974471955E-2</c:v>
                </c:pt>
                <c:pt idx="504">
                  <c:v>1.5879404763034621E-2</c:v>
                </c:pt>
                <c:pt idx="505">
                  <c:v>-2.5026361780939865E-3</c:v>
                </c:pt>
                <c:pt idx="506">
                  <c:v>-4.5237653648637632E-3</c:v>
                </c:pt>
                <c:pt idx="507">
                  <c:v>6.2928386425422644E-3</c:v>
                </c:pt>
                <c:pt idx="508">
                  <c:v>1.0567907670484544E-3</c:v>
                </c:pt>
                <c:pt idx="509">
                  <c:v>-1.6186610583330818E-2</c:v>
                </c:pt>
                <c:pt idx="510">
                  <c:v>2.9334236847947892E-2</c:v>
                </c:pt>
                <c:pt idx="511">
                  <c:v>1.6789352035226912E-3</c:v>
                </c:pt>
                <c:pt idx="512">
                  <c:v>-2.0494224802826366E-2</c:v>
                </c:pt>
                <c:pt idx="513">
                  <c:v>1.7468550954935047E-2</c:v>
                </c:pt>
                <c:pt idx="514">
                  <c:v>-1.5457083331313903E-2</c:v>
                </c:pt>
                <c:pt idx="515">
                  <c:v>2.3389790277992262E-3</c:v>
                </c:pt>
                <c:pt idx="516">
                  <c:v>1.585638276717205E-2</c:v>
                </c:pt>
                <c:pt idx="517">
                  <c:v>1.6998688441622889E-3</c:v>
                </c:pt>
                <c:pt idx="518">
                  <c:v>-1.7076374334248356E-3</c:v>
                </c:pt>
                <c:pt idx="519">
                  <c:v>-4.3989311088807881E-3</c:v>
                </c:pt>
                <c:pt idx="520">
                  <c:v>1.9832002369045476E-2</c:v>
                </c:pt>
                <c:pt idx="521">
                  <c:v>-3.2947696650751368E-3</c:v>
                </c:pt>
                <c:pt idx="522">
                  <c:v>-6.2515120180037798E-3</c:v>
                </c:pt>
                <c:pt idx="523">
                  <c:v>5.1730861700338693E-4</c:v>
                </c:pt>
                <c:pt idx="524">
                  <c:v>-4.9369059732784493E-3</c:v>
                </c:pt>
                <c:pt idx="525">
                  <c:v>1.7043944352218787E-2</c:v>
                </c:pt>
                <c:pt idx="526">
                  <c:v>-5.1108171173019912E-4</c:v>
                </c:pt>
                <c:pt idx="527">
                  <c:v>1.1493202219662102E-2</c:v>
                </c:pt>
                <c:pt idx="528">
                  <c:v>-2.6382882918865036E-2</c:v>
                </c:pt>
                <c:pt idx="529">
                  <c:v>-1.8927417949872627E-2</c:v>
                </c:pt>
                <c:pt idx="530">
                  <c:v>1.0309491081514466E-2</c:v>
                </c:pt>
                <c:pt idx="531">
                  <c:v>6.276350429969213E-3</c:v>
                </c:pt>
                <c:pt idx="532">
                  <c:v>-2.827955996179643E-2</c:v>
                </c:pt>
                <c:pt idx="533">
                  <c:v>-6.0706756289530261E-4</c:v>
                </c:pt>
                <c:pt idx="534">
                  <c:v>-5.6409501994441058E-3</c:v>
                </c:pt>
                <c:pt idx="535">
                  <c:v>2.0440525561227219E-2</c:v>
                </c:pt>
                <c:pt idx="536">
                  <c:v>-3.7228715386081745E-3</c:v>
                </c:pt>
                <c:pt idx="537">
                  <c:v>-2.3409338605093311E-2</c:v>
                </c:pt>
                <c:pt idx="538">
                  <c:v>3.3030649981000693E-3</c:v>
                </c:pt>
                <c:pt idx="539">
                  <c:v>3.038140007333201E-2</c:v>
                </c:pt>
                <c:pt idx="540">
                  <c:v>6.333295753755408E-4</c:v>
                </c:pt>
                <c:pt idx="541">
                  <c:v>-9.9132817646063742E-3</c:v>
                </c:pt>
                <c:pt idx="542">
                  <c:v>2.7685260866283201E-2</c:v>
                </c:pt>
                <c:pt idx="543">
                  <c:v>-5.5517411853998055E-3</c:v>
                </c:pt>
                <c:pt idx="544">
                  <c:v>1.221764171141615E-2</c:v>
                </c:pt>
                <c:pt idx="545">
                  <c:v>-9.2646825608175831E-3</c:v>
                </c:pt>
                <c:pt idx="546">
                  <c:v>1.6000096943124653E-2</c:v>
                </c:pt>
                <c:pt idx="547">
                  <c:v>-3.8638956466137131E-3</c:v>
                </c:pt>
                <c:pt idx="548">
                  <c:v>1.5898442108762012E-2</c:v>
                </c:pt>
                <c:pt idx="549">
                  <c:v>1.0225639572133183E-2</c:v>
                </c:pt>
                <c:pt idx="550">
                  <c:v>1.1815105033758933E-2</c:v>
                </c:pt>
                <c:pt idx="551">
                  <c:v>2.1797815683761712E-3</c:v>
                </c:pt>
                <c:pt idx="552">
                  <c:v>6.3657833123631491E-3</c:v>
                </c:pt>
                <c:pt idx="553">
                  <c:v>-9.5126262619320556E-3</c:v>
                </c:pt>
                <c:pt idx="554">
                  <c:v>1.2093983922476959E-2</c:v>
                </c:pt>
                <c:pt idx="555">
                  <c:v>1.4593551832026819E-2</c:v>
                </c:pt>
                <c:pt idx="556">
                  <c:v>-1.7843441690423845E-4</c:v>
                </c:pt>
                <c:pt idx="557">
                  <c:v>-3.0311068866746282E-3</c:v>
                </c:pt>
                <c:pt idx="558">
                  <c:v>9.3567517363606356E-3</c:v>
                </c:pt>
                <c:pt idx="559">
                  <c:v>1.2161183108246654E-2</c:v>
                </c:pt>
                <c:pt idx="560">
                  <c:v>-1.1508839612092814E-2</c:v>
                </c:pt>
                <c:pt idx="561">
                  <c:v>5.3304050482942955E-3</c:v>
                </c:pt>
                <c:pt idx="562">
                  <c:v>-6.074961840961457E-3</c:v>
                </c:pt>
                <c:pt idx="563">
                  <c:v>1.4800794049399713E-2</c:v>
                </c:pt>
                <c:pt idx="564">
                  <c:v>-1.60770018835521E-4</c:v>
                </c:pt>
                <c:pt idx="565">
                  <c:v>-5.8331278593577451E-3</c:v>
                </c:pt>
                <c:pt idx="566">
                  <c:v>1.8261689066727094E-2</c:v>
                </c:pt>
                <c:pt idx="567">
                  <c:v>-7.1576116694656022E-3</c:v>
                </c:pt>
                <c:pt idx="568">
                  <c:v>1.2081982744947872E-2</c:v>
                </c:pt>
                <c:pt idx="569">
                  <c:v>-2.9930562848390352E-3</c:v>
                </c:pt>
                <c:pt idx="570">
                  <c:v>-4.5118208993329745E-2</c:v>
                </c:pt>
                <c:pt idx="571">
                  <c:v>1.1240181135693916E-2</c:v>
                </c:pt>
                <c:pt idx="572">
                  <c:v>-1.139878999216748E-2</c:v>
                </c:pt>
                <c:pt idx="573">
                  <c:v>3.4830977707346555E-2</c:v>
                </c:pt>
                <c:pt idx="574">
                  <c:v>-1.067574726973497E-2</c:v>
                </c:pt>
                <c:pt idx="575">
                  <c:v>1.5988499577057169E-2</c:v>
                </c:pt>
                <c:pt idx="576">
                  <c:v>6.2763229013187427E-3</c:v>
                </c:pt>
                <c:pt idx="577">
                  <c:v>2.1449821421551718E-2</c:v>
                </c:pt>
                <c:pt idx="578">
                  <c:v>6.5269737022299879E-3</c:v>
                </c:pt>
                <c:pt idx="579">
                  <c:v>7.700833805444951E-3</c:v>
                </c:pt>
                <c:pt idx="580">
                  <c:v>1.5274932205677771E-4</c:v>
                </c:pt>
                <c:pt idx="581">
                  <c:v>1.1160387910948977E-2</c:v>
                </c:pt>
                <c:pt idx="582">
                  <c:v>-4.620739639864091E-3</c:v>
                </c:pt>
                <c:pt idx="583">
                  <c:v>1.3505793302335256E-2</c:v>
                </c:pt>
                <c:pt idx="584">
                  <c:v>-1.8837551649821371E-2</c:v>
                </c:pt>
                <c:pt idx="585">
                  <c:v>1.6602477004290961E-2</c:v>
                </c:pt>
                <c:pt idx="586">
                  <c:v>-1.9997569677230764E-2</c:v>
                </c:pt>
                <c:pt idx="587">
                  <c:v>5.2563118535697839E-4</c:v>
                </c:pt>
                <c:pt idx="588">
                  <c:v>1.7859324500475893E-2</c:v>
                </c:pt>
                <c:pt idx="589">
                  <c:v>1.4311259065497239E-2</c:v>
                </c:pt>
                <c:pt idx="590">
                  <c:v>-1.192264495690587E-2</c:v>
                </c:pt>
                <c:pt idx="591">
                  <c:v>-5.0226890963151583E-2</c:v>
                </c:pt>
                <c:pt idx="592">
                  <c:v>-1.790498073356428E-2</c:v>
                </c:pt>
                <c:pt idx="593">
                  <c:v>1.4258737435965507E-2</c:v>
                </c:pt>
                <c:pt idx="594">
                  <c:v>-5.3111265080918457E-3</c:v>
                </c:pt>
                <c:pt idx="595">
                  <c:v>2.2856692374989329E-2</c:v>
                </c:pt>
                <c:pt idx="596">
                  <c:v>-3.6433119911221112E-3</c:v>
                </c:pt>
                <c:pt idx="597">
                  <c:v>-1.396416933367739E-2</c:v>
                </c:pt>
                <c:pt idx="598">
                  <c:v>2.0900754018708945E-2</c:v>
                </c:pt>
                <c:pt idx="599">
                  <c:v>2.7576498273819361E-2</c:v>
                </c:pt>
                <c:pt idx="600">
                  <c:v>6.5520067863999998E-4</c:v>
                </c:pt>
                <c:pt idx="601">
                  <c:v>1.9998461800597944E-2</c:v>
                </c:pt>
                <c:pt idx="602">
                  <c:v>2.6992473247329229E-3</c:v>
                </c:pt>
                <c:pt idx="603">
                  <c:v>-3.9953982313584824E-2</c:v>
                </c:pt>
                <c:pt idx="604">
                  <c:v>2.2827754895001995E-2</c:v>
                </c:pt>
                <c:pt idx="605">
                  <c:v>-1.6834938947500433E-2</c:v>
                </c:pt>
                <c:pt idx="606">
                  <c:v>-3.7765805430212573E-2</c:v>
                </c:pt>
                <c:pt idx="607">
                  <c:v>3.4610189607571229E-3</c:v>
                </c:pt>
                <c:pt idx="608">
                  <c:v>-1.24439428256089E-2</c:v>
                </c:pt>
                <c:pt idx="609">
                  <c:v>2.7682954955109196E-2</c:v>
                </c:pt>
                <c:pt idx="610">
                  <c:v>1.5754897516851329E-2</c:v>
                </c:pt>
                <c:pt idx="611">
                  <c:v>-2.4700089390483626E-2</c:v>
                </c:pt>
                <c:pt idx="612">
                  <c:v>1.1184200092524854E-2</c:v>
                </c:pt>
                <c:pt idx="613">
                  <c:v>-4.0297730835394674E-3</c:v>
                </c:pt>
                <c:pt idx="614">
                  <c:v>-4.6276231603148865E-2</c:v>
                </c:pt>
                <c:pt idx="615">
                  <c:v>-7.5445223021404217E-3</c:v>
                </c:pt>
                <c:pt idx="616">
                  <c:v>-5.5644697386118658E-2</c:v>
                </c:pt>
                <c:pt idx="617">
                  <c:v>4.0816383196480288E-3</c:v>
                </c:pt>
                <c:pt idx="618">
                  <c:v>4.7557961524089976E-2</c:v>
                </c:pt>
                <c:pt idx="619">
                  <c:v>-4.7047048255527635E-2</c:v>
                </c:pt>
                <c:pt idx="620">
                  <c:v>1.3948788042941196E-2</c:v>
                </c:pt>
                <c:pt idx="621">
                  <c:v>2.3084616814310621E-3</c:v>
                </c:pt>
                <c:pt idx="622">
                  <c:v>-1.6753132405688653E-2</c:v>
                </c:pt>
                <c:pt idx="623">
                  <c:v>-2.8401299210570663E-2</c:v>
                </c:pt>
                <c:pt idx="624">
                  <c:v>-4.051897653276626E-3</c:v>
                </c:pt>
                <c:pt idx="625">
                  <c:v>3.1611135869930251E-2</c:v>
                </c:pt>
                <c:pt idx="626">
                  <c:v>-1.0806501280513636E-2</c:v>
                </c:pt>
                <c:pt idx="627">
                  <c:v>4.1098716010965042E-2</c:v>
                </c:pt>
                <c:pt idx="628">
                  <c:v>-2.7798166847054162E-2</c:v>
                </c:pt>
                <c:pt idx="629">
                  <c:v>4.2236627856512499E-2</c:v>
                </c:pt>
                <c:pt idx="630">
                  <c:v>5.3870590114142303E-3</c:v>
                </c:pt>
                <c:pt idx="631">
                  <c:v>1.1423655567012858E-2</c:v>
                </c:pt>
                <c:pt idx="632">
                  <c:v>-1.8286272768997414E-2</c:v>
                </c:pt>
                <c:pt idx="633">
                  <c:v>2.6351826750851792E-2</c:v>
                </c:pt>
                <c:pt idx="634">
                  <c:v>-3.5287531473413125E-2</c:v>
                </c:pt>
                <c:pt idx="635">
                  <c:v>1.7613762238471331E-2</c:v>
                </c:pt>
                <c:pt idx="636">
                  <c:v>-2.8759053572959381E-2</c:v>
                </c:pt>
                <c:pt idx="637">
                  <c:v>-4.778164614140934E-4</c:v>
                </c:pt>
                <c:pt idx="638">
                  <c:v>-3.1444434432208901E-2</c:v>
                </c:pt>
                <c:pt idx="639">
                  <c:v>-3.0468672544187392E-2</c:v>
                </c:pt>
                <c:pt idx="640">
                  <c:v>-1.2182987681813806E-2</c:v>
                </c:pt>
                <c:pt idx="641">
                  <c:v>-1.8710658978685402E-2</c:v>
                </c:pt>
                <c:pt idx="642">
                  <c:v>1.6951253235519381E-2</c:v>
                </c:pt>
                <c:pt idx="643">
                  <c:v>-2.3188968635121654E-3</c:v>
                </c:pt>
                <c:pt idx="644">
                  <c:v>2.0253613852627694E-3</c:v>
                </c:pt>
                <c:pt idx="645">
                  <c:v>2.8171758583616757E-2</c:v>
                </c:pt>
                <c:pt idx="646">
                  <c:v>1.4492085850426051E-3</c:v>
                </c:pt>
                <c:pt idx="647">
                  <c:v>-4.6324974753035875E-3</c:v>
                </c:pt>
                <c:pt idx="648">
                  <c:v>-7.277617236145062E-3</c:v>
                </c:pt>
                <c:pt idx="649">
                  <c:v>-3.209602511523979E-2</c:v>
                </c:pt>
                <c:pt idx="650">
                  <c:v>7.5300775612978654E-3</c:v>
                </c:pt>
                <c:pt idx="651">
                  <c:v>2.6966882201993059E-3</c:v>
                </c:pt>
                <c:pt idx="652">
                  <c:v>-3.4094441621025595E-2</c:v>
                </c:pt>
                <c:pt idx="653">
                  <c:v>-9.849493926108277E-2</c:v>
                </c:pt>
                <c:pt idx="654">
                  <c:v>-0.20083749278710883</c:v>
                </c:pt>
                <c:pt idx="655">
                  <c:v>4.493708965406995E-2</c:v>
                </c:pt>
                <c:pt idx="656">
                  <c:v>-7.022011025910313E-2</c:v>
                </c:pt>
                <c:pt idx="657">
                  <c:v>9.9761880387630342E-2</c:v>
                </c:pt>
                <c:pt idx="658">
                  <c:v>-3.9758044586736929E-2</c:v>
                </c:pt>
                <c:pt idx="659">
                  <c:v>-6.3980847545427544E-2</c:v>
                </c:pt>
                <c:pt idx="660">
                  <c:v>-8.7618461570572848E-2</c:v>
                </c:pt>
                <c:pt idx="661">
                  <c:v>0.11355900728564805</c:v>
                </c:pt>
                <c:pt idx="662">
                  <c:v>-2.2762237830804999E-2</c:v>
                </c:pt>
                <c:pt idx="663">
                  <c:v>4.1690457924428159E-3</c:v>
                </c:pt>
                <c:pt idx="664">
                  <c:v>9.2215565133546562E-3</c:v>
                </c:pt>
                <c:pt idx="665">
                  <c:v>-1.7130164206599297E-2</c:v>
                </c:pt>
                <c:pt idx="666">
                  <c:v>6.5411764863835486E-2</c:v>
                </c:pt>
                <c:pt idx="667">
                  <c:v>-4.550355553537333E-2</c:v>
                </c:pt>
                <c:pt idx="668">
                  <c:v>-4.6237127856833204E-2</c:v>
                </c:pt>
                <c:pt idx="669">
                  <c:v>-2.1605173128973476E-2</c:v>
                </c:pt>
                <c:pt idx="670">
                  <c:v>-7.3228583448381457E-3</c:v>
                </c:pt>
                <c:pt idx="671">
                  <c:v>5.043323558404289E-2</c:v>
                </c:pt>
                <c:pt idx="672">
                  <c:v>-4.927151416968556E-2</c:v>
                </c:pt>
                <c:pt idx="673">
                  <c:v>-7.115575812656072E-2</c:v>
                </c:pt>
                <c:pt idx="674">
                  <c:v>-4.6462507108310902E-2</c:v>
                </c:pt>
                <c:pt idx="675">
                  <c:v>-7.2941866880731787E-2</c:v>
                </c:pt>
                <c:pt idx="676">
                  <c:v>0.10171755108214775</c:v>
                </c:pt>
                <c:pt idx="677">
                  <c:v>1.572398617352011E-2</c:v>
                </c:pt>
                <c:pt idx="678">
                  <c:v>5.9848211777822513E-2</c:v>
                </c:pt>
                <c:pt idx="679">
                  <c:v>3.2032839377594158E-2</c:v>
                </c:pt>
                <c:pt idx="680">
                  <c:v>1.6550705623497919E-2</c:v>
                </c:pt>
                <c:pt idx="681">
                  <c:v>1.5108967956985353E-2</c:v>
                </c:pt>
                <c:pt idx="682">
                  <c:v>-3.8828735925076074E-3</c:v>
                </c:pt>
                <c:pt idx="683">
                  <c:v>1.2949284888586376E-2</c:v>
                </c:pt>
                <c:pt idx="684">
                  <c:v>5.7256539109278748E-2</c:v>
                </c:pt>
                <c:pt idx="685">
                  <c:v>-5.116699518343637E-2</c:v>
                </c:pt>
                <c:pt idx="686">
                  <c:v>4.6556912806581252E-3</c:v>
                </c:pt>
                <c:pt idx="687">
                  <c:v>3.559346794308027E-2</c:v>
                </c:pt>
                <c:pt idx="688">
                  <c:v>2.2537165109011603E-2</c:v>
                </c:pt>
                <c:pt idx="689">
                  <c:v>6.4889163696797425E-3</c:v>
                </c:pt>
                <c:pt idx="690">
                  <c:v>-2.6754798097112342E-2</c:v>
                </c:pt>
                <c:pt idx="691">
                  <c:v>-2.5324311273990929E-3</c:v>
                </c:pt>
                <c:pt idx="692">
                  <c:v>-2.4768249360869632E-2</c:v>
                </c:pt>
                <c:pt idx="693">
                  <c:v>-1.9476271060621109E-2</c:v>
                </c:pt>
                <c:pt idx="694">
                  <c:v>6.7351266808683086E-2</c:v>
                </c:pt>
                <c:pt idx="695">
                  <c:v>4.0513135496627939E-2</c:v>
                </c:pt>
                <c:pt idx="696">
                  <c:v>8.3590590149622557E-3</c:v>
                </c:pt>
                <c:pt idx="697">
                  <c:v>2.3024501060097791E-2</c:v>
                </c:pt>
                <c:pt idx="698">
                  <c:v>-6.3438067973358159E-3</c:v>
                </c:pt>
                <c:pt idx="699">
                  <c:v>2.1712785688869474E-2</c:v>
                </c:pt>
                <c:pt idx="700">
                  <c:v>2.7249829519560009E-3</c:v>
                </c:pt>
                <c:pt idx="701">
                  <c:v>-1.225245486320059E-2</c:v>
                </c:pt>
                <c:pt idx="702">
                  <c:v>2.5575301394360928E-2</c:v>
                </c:pt>
                <c:pt idx="703">
                  <c:v>2.4226326111471685E-2</c:v>
                </c:pt>
                <c:pt idx="704">
                  <c:v>-2.2645192061279573E-2</c:v>
                </c:pt>
                <c:pt idx="705">
                  <c:v>-1.852593825391402E-2</c:v>
                </c:pt>
                <c:pt idx="706">
                  <c:v>4.4152733522281551E-2</c:v>
                </c:pt>
                <c:pt idx="707">
                  <c:v>1.4996784348821457E-2</c:v>
                </c:pt>
                <c:pt idx="708">
                  <c:v>-7.4563853639011413E-3</c:v>
                </c:pt>
                <c:pt idx="709">
                  <c:v>-4.1040077456322877E-2</c:v>
                </c:pt>
                <c:pt idx="710">
                  <c:v>3.145370407508441E-2</c:v>
                </c:pt>
                <c:pt idx="711">
                  <c:v>2.2361042292115663E-2</c:v>
                </c:pt>
                <c:pt idx="712">
                  <c:v>-1.9223205575462643E-3</c:v>
                </c:pt>
                <c:pt idx="713">
                  <c:v>1.0078474677222005E-4</c:v>
                </c:pt>
                <c:pt idx="714">
                  <c:v>1.3188084492184338E-2</c:v>
                </c:pt>
                <c:pt idx="715">
                  <c:v>3.8871989605304691E-4</c:v>
                </c:pt>
                <c:pt idx="716">
                  <c:v>-3.5674225657658098E-3</c:v>
                </c:pt>
                <c:pt idx="717">
                  <c:v>2.1544609542631932E-2</c:v>
                </c:pt>
                <c:pt idx="718">
                  <c:v>-1.0153639637739964E-2</c:v>
                </c:pt>
                <c:pt idx="719">
                  <c:v>2.6443082615561053E-2</c:v>
                </c:pt>
                <c:pt idx="720">
                  <c:v>-7.8474412037738972E-3</c:v>
                </c:pt>
                <c:pt idx="721">
                  <c:v>-3.9748655453244908E-2</c:v>
                </c:pt>
                <c:pt idx="722">
                  <c:v>-1.6522127017863042E-2</c:v>
                </c:pt>
                <c:pt idx="723">
                  <c:v>-7.1773996706765431E-3</c:v>
                </c:pt>
                <c:pt idx="724">
                  <c:v>8.7034214241690222E-3</c:v>
                </c:pt>
                <c:pt idx="725">
                  <c:v>3.0817020190356814E-2</c:v>
                </c:pt>
                <c:pt idx="726">
                  <c:v>-4.2282979071890381E-3</c:v>
                </c:pt>
                <c:pt idx="727">
                  <c:v>3.0503570867903562E-2</c:v>
                </c:pt>
                <c:pt idx="728">
                  <c:v>9.8659858507552656E-3</c:v>
                </c:pt>
                <c:pt idx="729">
                  <c:v>8.5805478205163155E-3</c:v>
                </c:pt>
                <c:pt idx="730">
                  <c:v>5.7511688765714553E-3</c:v>
                </c:pt>
                <c:pt idx="731">
                  <c:v>9.8180078876710652E-3</c:v>
                </c:pt>
                <c:pt idx="732">
                  <c:v>1.3715878443800733E-2</c:v>
                </c:pt>
                <c:pt idx="733">
                  <c:v>-1.8772266145479222E-3</c:v>
                </c:pt>
                <c:pt idx="734">
                  <c:v>2.087723839558997E-2</c:v>
                </c:pt>
                <c:pt idx="735">
                  <c:v>-2.5450942570913959E-2</c:v>
                </c:pt>
                <c:pt idx="736">
                  <c:v>-6.6015424901038955E-2</c:v>
                </c:pt>
                <c:pt idx="737">
                  <c:v>2.2079096453168745E-2</c:v>
                </c:pt>
                <c:pt idx="738">
                  <c:v>-4.3175409112091501E-2</c:v>
                </c:pt>
                <c:pt idx="739">
                  <c:v>1.5800839261910227E-3</c:v>
                </c:pt>
                <c:pt idx="740">
                  <c:v>-2.2774148533467375E-2</c:v>
                </c:pt>
                <c:pt idx="741">
                  <c:v>2.4782393095419408E-2</c:v>
                </c:pt>
                <c:pt idx="742">
                  <c:v>2.345848615936319E-2</c:v>
                </c:pt>
                <c:pt idx="743">
                  <c:v>-3.7146463895580517E-2</c:v>
                </c:pt>
                <c:pt idx="744">
                  <c:v>-5.1627686632766512E-2</c:v>
                </c:pt>
                <c:pt idx="745">
                  <c:v>5.2741520563915678E-2</c:v>
                </c:pt>
                <c:pt idx="746">
                  <c:v>-1.2208249290351247E-2</c:v>
                </c:pt>
                <c:pt idx="747">
                  <c:v>3.4863325769217468E-2</c:v>
                </c:pt>
                <c:pt idx="748">
                  <c:v>-9.617740935370378E-4</c:v>
                </c:pt>
                <c:pt idx="749">
                  <c:v>1.8028231568047559E-2</c:v>
                </c:pt>
                <c:pt idx="750">
                  <c:v>-3.8525544546905266E-2</c:v>
                </c:pt>
                <c:pt idx="751">
                  <c:v>-7.0295137296572108E-3</c:v>
                </c:pt>
                <c:pt idx="752">
                  <c:v>-6.6470932107129954E-3</c:v>
                </c:pt>
                <c:pt idx="753">
                  <c:v>3.6812049194498542E-2</c:v>
                </c:pt>
                <c:pt idx="754">
                  <c:v>4.5527300122714109E-3</c:v>
                </c:pt>
                <c:pt idx="755">
                  <c:v>1.4352814908052736E-2</c:v>
                </c:pt>
                <c:pt idx="756">
                  <c:v>2.0297408720779231E-2</c:v>
                </c:pt>
                <c:pt idx="757">
                  <c:v>-2.1177308985267373E-3</c:v>
                </c:pt>
                <c:pt idx="758">
                  <c:v>1.636281364405523E-2</c:v>
                </c:pt>
                <c:pt idx="759">
                  <c:v>9.4305669579171081E-3</c:v>
                </c:pt>
                <c:pt idx="760">
                  <c:v>5.8408063406858446E-3</c:v>
                </c:pt>
                <c:pt idx="761">
                  <c:v>1.5213367508248865E-4</c:v>
                </c:pt>
                <c:pt idx="762">
                  <c:v>3.5361139858088642E-2</c:v>
                </c:pt>
                <c:pt idx="763">
                  <c:v>-2.197147426190682E-2</c:v>
                </c:pt>
                <c:pt idx="764">
                  <c:v>4.3352481357938899E-4</c:v>
                </c:pt>
                <c:pt idx="765">
                  <c:v>-8.6475531873002609E-3</c:v>
                </c:pt>
                <c:pt idx="766">
                  <c:v>2.9255102986375014E-2</c:v>
                </c:pt>
                <c:pt idx="767">
                  <c:v>1.2729826967425417E-2</c:v>
                </c:pt>
                <c:pt idx="768">
                  <c:v>2.8257361887602528E-3</c:v>
                </c:pt>
                <c:pt idx="769">
                  <c:v>1.0285293095057213E-2</c:v>
                </c:pt>
                <c:pt idx="770">
                  <c:v>6.9201127478724089E-4</c:v>
                </c:pt>
                <c:pt idx="771">
                  <c:v>1.0960357077275162E-2</c:v>
                </c:pt>
                <c:pt idx="772">
                  <c:v>1.6953391534566542E-2</c:v>
                </c:pt>
                <c:pt idx="773">
                  <c:v>-7.6768508543638703E-3</c:v>
                </c:pt>
                <c:pt idx="774">
                  <c:v>-5.4772394509337019E-3</c:v>
                </c:pt>
                <c:pt idx="775">
                  <c:v>2.6694431809642261E-2</c:v>
                </c:pt>
                <c:pt idx="776">
                  <c:v>1.3848601260336046E-2</c:v>
                </c:pt>
                <c:pt idx="777">
                  <c:v>1.0373723350475927E-2</c:v>
                </c:pt>
                <c:pt idx="778">
                  <c:v>-1.7372540154870997E-2</c:v>
                </c:pt>
                <c:pt idx="779">
                  <c:v>9.6174605959831183E-4</c:v>
                </c:pt>
                <c:pt idx="780">
                  <c:v>-1.2851405053528886E-2</c:v>
                </c:pt>
                <c:pt idx="781">
                  <c:v>-1.941628184335098E-2</c:v>
                </c:pt>
                <c:pt idx="782">
                  <c:v>2.6688818938628067E-2</c:v>
                </c:pt>
                <c:pt idx="783">
                  <c:v>1.4065631086665142E-2</c:v>
                </c:pt>
                <c:pt idx="784">
                  <c:v>-3.1872776533088398E-3</c:v>
                </c:pt>
                <c:pt idx="785">
                  <c:v>-6.4127719432427455E-3</c:v>
                </c:pt>
                <c:pt idx="786">
                  <c:v>1.3323193170460712E-2</c:v>
                </c:pt>
                <c:pt idx="787">
                  <c:v>1.9423118646805015E-2</c:v>
                </c:pt>
                <c:pt idx="788">
                  <c:v>-1.7316738226681672E-2</c:v>
                </c:pt>
                <c:pt idx="789">
                  <c:v>-1.8148079828668173E-3</c:v>
                </c:pt>
                <c:pt idx="790">
                  <c:v>-3.369477250446451E-3</c:v>
                </c:pt>
                <c:pt idx="791">
                  <c:v>-1.6289032527838643E-3</c:v>
                </c:pt>
                <c:pt idx="792">
                  <c:v>-2.3518334253610718E-2</c:v>
                </c:pt>
                <c:pt idx="793">
                  <c:v>-2.2699077374942256E-2</c:v>
                </c:pt>
                <c:pt idx="794">
                  <c:v>4.0904943775377234E-4</c:v>
                </c:pt>
              </c:numCache>
            </c:numRef>
          </c:val>
          <c:smooth val="0"/>
          <c:extLst>
            <c:ext xmlns:c16="http://schemas.microsoft.com/office/drawing/2014/chart" uri="{C3380CC4-5D6E-409C-BE32-E72D297353CC}">
              <c16:uniqueId val="{00000000-55F7-4E83-AAEC-4E29CFF4E7EB}"/>
            </c:ext>
          </c:extLst>
        </c:ser>
        <c:dLbls>
          <c:showLegendKey val="0"/>
          <c:showVal val="0"/>
          <c:showCatName val="0"/>
          <c:showSerName val="0"/>
          <c:showPercent val="0"/>
          <c:showBubbleSize val="0"/>
        </c:dLbls>
        <c:smooth val="0"/>
        <c:axId val="118397568"/>
        <c:axId val="118415744"/>
      </c:lineChart>
      <c:dateAx>
        <c:axId val="118397568"/>
        <c:scaling>
          <c:orientation val="minMax"/>
          <c:max val="40711"/>
          <c:min val="35153"/>
        </c:scaling>
        <c:delete val="0"/>
        <c:axPos val="b"/>
        <c:numFmt formatCode="m/d/yyyy" sourceLinked="0"/>
        <c:majorTickMark val="out"/>
        <c:minorTickMark val="none"/>
        <c:tickLblPos val="nextTo"/>
        <c:crossAx val="118415744"/>
        <c:crosses val="autoZero"/>
        <c:auto val="1"/>
        <c:lblOffset val="100"/>
        <c:baseTimeUnit val="days"/>
        <c:majorUnit val="1"/>
        <c:majorTimeUnit val="years"/>
        <c:minorUnit val="1"/>
        <c:minorTimeUnit val="years"/>
      </c:dateAx>
      <c:valAx>
        <c:axId val="118415744"/>
        <c:scaling>
          <c:orientation val="minMax"/>
          <c:max val="0.1"/>
          <c:min val="-0.1"/>
        </c:scaling>
        <c:delete val="0"/>
        <c:axPos val="l"/>
        <c:majorGridlines/>
        <c:numFmt formatCode="0%" sourceLinked="1"/>
        <c:majorTickMark val="out"/>
        <c:minorTickMark val="none"/>
        <c:tickLblPos val="nextTo"/>
        <c:txPr>
          <a:bodyPr/>
          <a:lstStyle/>
          <a:p>
            <a:pPr>
              <a:defRPr baseline="0"/>
            </a:pPr>
            <a:endParaRPr lang="en-US"/>
          </a:p>
        </c:txPr>
        <c:crossAx val="118397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'Breakpoint analysis'!$G$1:$G$2</c:f>
              <c:strCache>
                <c:ptCount val="1"/>
                <c:pt idx="0">
                  <c:v>S&amp;P</c:v>
                </c:pt>
              </c:strCache>
            </c:strRef>
          </c:tx>
          <c:marker>
            <c:symbol val="square"/>
            <c:size val="5"/>
          </c:marker>
          <c:cat>
            <c:numRef>
              <c:f>'Breakpoint analysis'!$F$3:$F$18</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'Breakpoint analysis'!$G$3:$G$18</c:f>
              <c:numCache>
                <c:formatCode>#,##0.00_ ;[Red]\-#,##0.00\ </c:formatCode>
                <c:ptCount val="16"/>
                <c:pt idx="0">
                  <c:v>1.4168350773550851</c:v>
                </c:pt>
                <c:pt idx="1">
                  <c:v>1.6942037499180584</c:v>
                </c:pt>
                <c:pt idx="2">
                  <c:v>1.2550739185668596</c:v>
                </c:pt>
                <c:pt idx="3">
                  <c:v>0.85013740031149898</c:v>
                </c:pt>
                <c:pt idx="4">
                  <c:v>-0.45716769802553564</c:v>
                </c:pt>
                <c:pt idx="5">
                  <c:v>-0.44744366041144229</c:v>
                </c:pt>
                <c:pt idx="6">
                  <c:v>-1.2426448536680004</c:v>
                </c:pt>
                <c:pt idx="7">
                  <c:v>1.3426367075739243</c:v>
                </c:pt>
                <c:pt idx="8">
                  <c:v>0.61739376571212123</c:v>
                </c:pt>
                <c:pt idx="9">
                  <c:v>0.81138296378859742</c:v>
                </c:pt>
                <c:pt idx="10">
                  <c:v>0.97649496956240678</c:v>
                </c:pt>
                <c:pt idx="11">
                  <c:v>9.3900031439019087E-3</c:v>
                </c:pt>
                <c:pt idx="12">
                  <c:v>-1.1935929221459469</c:v>
                </c:pt>
                <c:pt idx="13">
                  <c:v>0.71045255355873915</c:v>
                </c:pt>
                <c:pt idx="14">
                  <c:v>0.74561194652311613</c:v>
                </c:pt>
                <c:pt idx="15">
                  <c:v>0</c:v>
                </c:pt>
              </c:numCache>
            </c:numRef>
          </c:val>
          <c:smooth val="0"/>
          <c:extLst>
            <c:ext xmlns:c16="http://schemas.microsoft.com/office/drawing/2014/chart" uri="{C3380CC4-5D6E-409C-BE32-E72D297353CC}">
              <c16:uniqueId val="{00000000-3053-4333-AA5A-15549429D044}"/>
            </c:ext>
          </c:extLst>
        </c:ser>
        <c:ser>
          <c:idx val="1"/>
          <c:order val="1"/>
          <c:tx>
            <c:strRef>
              <c:f>'Breakpoint analysis'!$H$1:$H$2</c:f>
              <c:strCache>
                <c:ptCount val="1"/>
                <c:pt idx="0">
                  <c:v>All</c:v>
                </c:pt>
              </c:strCache>
            </c:strRef>
          </c:tx>
          <c:marker>
            <c:symbol val="none"/>
          </c:marker>
          <c:cat>
            <c:numRef>
              <c:f>'Breakpoint analysis'!$F$3:$F$18</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'Breakpoint analysis'!$H$3:$H$18</c:f>
              <c:numCache>
                <c:formatCode>#,##0.00_ ;[Red]\-#,##0.00\ </c:formatCode>
                <c:ptCount val="16"/>
                <c:pt idx="0">
                  <c:v>1.277092052507369</c:v>
                </c:pt>
                <c:pt idx="1">
                  <c:v>-0.41258445309492409</c:v>
                </c:pt>
                <c:pt idx="2">
                  <c:v>5.0285963191962615E-2</c:v>
                </c:pt>
                <c:pt idx="3">
                  <c:v>1.5754493389270396</c:v>
                </c:pt>
                <c:pt idx="4">
                  <c:v>-1.1527205927304762</c:v>
                </c:pt>
                <c:pt idx="5">
                  <c:v>-0.86391855538899542</c:v>
                </c:pt>
                <c:pt idx="6">
                  <c:v>-1.1103940031049802</c:v>
                </c:pt>
                <c:pt idx="7">
                  <c:v>3.187897126416718</c:v>
                </c:pt>
                <c:pt idx="8">
                  <c:v>1.3932280945745428</c:v>
                </c:pt>
                <c:pt idx="9">
                  <c:v>2.0875306981928134</c:v>
                </c:pt>
                <c:pt idx="10">
                  <c:v>1.4205816614326687</c:v>
                </c:pt>
                <c:pt idx="11">
                  <c:v>0.9162571211291749</c:v>
                </c:pt>
                <c:pt idx="12">
                  <c:v>-1.5760249846033643</c:v>
                </c:pt>
                <c:pt idx="13">
                  <c:v>1.3638849550413583</c:v>
                </c:pt>
                <c:pt idx="14">
                  <c:v>0.46245034988605399</c:v>
                </c:pt>
                <c:pt idx="15">
                  <c:v>7.5820728776246529E-2</c:v>
                </c:pt>
              </c:numCache>
            </c:numRef>
          </c:val>
          <c:smooth val="0"/>
          <c:extLst>
            <c:ext xmlns:c16="http://schemas.microsoft.com/office/drawing/2014/chart" uri="{C3380CC4-5D6E-409C-BE32-E72D297353CC}">
              <c16:uniqueId val="{00000001-3053-4333-AA5A-15549429D044}"/>
            </c:ext>
          </c:extLst>
        </c:ser>
        <c:ser>
          <c:idx val="2"/>
          <c:order val="2"/>
          <c:tx>
            <c:strRef>
              <c:f>'Breakpoint analysis'!$I$1:$I$2</c:f>
              <c:strCache>
                <c:ptCount val="1"/>
                <c:pt idx="0">
                  <c:v>DM</c:v>
                </c:pt>
              </c:strCache>
            </c:strRef>
          </c:tx>
          <c:marker>
            <c:symbol val="none"/>
          </c:marker>
          <c:cat>
            <c:numRef>
              <c:f>'Breakpoint analysis'!$F$3:$F$18</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'Breakpoint analysis'!$I$3:$I$18</c:f>
              <c:numCache>
                <c:formatCode>#,##0.00_ ;[Red]\-#,##0.00\ </c:formatCode>
                <c:ptCount val="16"/>
                <c:pt idx="0">
                  <c:v>1.6240421035130215</c:v>
                </c:pt>
                <c:pt idx="1">
                  <c:v>0.77151055847742656</c:v>
                </c:pt>
                <c:pt idx="2">
                  <c:v>0.61155555845848364</c:v>
                </c:pt>
                <c:pt idx="3">
                  <c:v>1.4168341304999053</c:v>
                </c:pt>
                <c:pt idx="4">
                  <c:v>-0.55050313691598574</c:v>
                </c:pt>
                <c:pt idx="5">
                  <c:v>-1.0472185560425455</c:v>
                </c:pt>
                <c:pt idx="6">
                  <c:v>-1.2262382881735641</c:v>
                </c:pt>
                <c:pt idx="7">
                  <c:v>2.8734451602206792</c:v>
                </c:pt>
                <c:pt idx="8">
                  <c:v>1.3148411552930945</c:v>
                </c:pt>
                <c:pt idx="9">
                  <c:v>1.6584786180119717</c:v>
                </c:pt>
                <c:pt idx="10">
                  <c:v>1.4374409277364957</c:v>
                </c:pt>
                <c:pt idx="11">
                  <c:v>0.69004880788986345</c:v>
                </c:pt>
                <c:pt idx="12">
                  <c:v>-1.6388556197919331</c:v>
                </c:pt>
                <c:pt idx="13">
                  <c:v>1.0240099303142618</c:v>
                </c:pt>
                <c:pt idx="14">
                  <c:v>0.17389664447427286</c:v>
                </c:pt>
                <c:pt idx="15">
                  <c:v>0.25553128912638218</c:v>
                </c:pt>
              </c:numCache>
            </c:numRef>
          </c:val>
          <c:smooth val="0"/>
          <c:extLst>
            <c:ext xmlns:c16="http://schemas.microsoft.com/office/drawing/2014/chart" uri="{C3380CC4-5D6E-409C-BE32-E72D297353CC}">
              <c16:uniqueId val="{00000002-3053-4333-AA5A-15549429D044}"/>
            </c:ext>
          </c:extLst>
        </c:ser>
        <c:ser>
          <c:idx val="3"/>
          <c:order val="3"/>
          <c:tx>
            <c:strRef>
              <c:f>'Breakpoint analysis'!$J$1:$J$2</c:f>
              <c:strCache>
                <c:ptCount val="1"/>
                <c:pt idx="0">
                  <c:v>EM</c:v>
                </c:pt>
              </c:strCache>
            </c:strRef>
          </c:tx>
          <c:marker>
            <c:symbol val="none"/>
          </c:marker>
          <c:cat>
            <c:numRef>
              <c:f>'Breakpoint analysis'!$F$3:$F$18</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'Breakpoint analysis'!$J$3:$J$18</c:f>
              <c:numCache>
                <c:formatCode>#,##0.00_ ;[Red]\-#,##0.00\ </c:formatCode>
                <c:ptCount val="16"/>
                <c:pt idx="0">
                  <c:v>0.23775628445418609</c:v>
                </c:pt>
                <c:pt idx="1">
                  <c:v>-1.8209340567794956</c:v>
                </c:pt>
                <c:pt idx="2">
                  <c:v>-0.56272817937656994</c:v>
                </c:pt>
                <c:pt idx="3">
                  <c:v>1.465154876463429</c:v>
                </c:pt>
                <c:pt idx="4">
                  <c:v>-2.1286498121915396</c:v>
                </c:pt>
                <c:pt idx="5">
                  <c:v>-0.18944388343032609</c:v>
                </c:pt>
                <c:pt idx="6">
                  <c:v>-0.46655752091088382</c:v>
                </c:pt>
                <c:pt idx="7">
                  <c:v>3.3837873456623244</c:v>
                </c:pt>
                <c:pt idx="8">
                  <c:v>1.3976957412274116</c:v>
                </c:pt>
                <c:pt idx="9">
                  <c:v>2.5865230909920536</c:v>
                </c:pt>
                <c:pt idx="10">
                  <c:v>1.3086095366277231</c:v>
                </c:pt>
                <c:pt idx="11">
                  <c:v>1.2159014485982609</c:v>
                </c:pt>
                <c:pt idx="12">
                  <c:v>-1.3943636523859098</c:v>
                </c:pt>
                <c:pt idx="13">
                  <c:v>2.1468889710391945</c:v>
                </c:pt>
                <c:pt idx="14">
                  <c:v>1.1075414857857255</c:v>
                </c:pt>
                <c:pt idx="15">
                  <c:v>-0.29655740260540525</c:v>
                </c:pt>
              </c:numCache>
            </c:numRef>
          </c:val>
          <c:smooth val="0"/>
          <c:extLst>
            <c:ext xmlns:c16="http://schemas.microsoft.com/office/drawing/2014/chart" uri="{C3380CC4-5D6E-409C-BE32-E72D297353CC}">
              <c16:uniqueId val="{00000003-3053-4333-AA5A-15549429D044}"/>
            </c:ext>
          </c:extLst>
        </c:ser>
        <c:dLbls>
          <c:showLegendKey val="0"/>
          <c:showVal val="0"/>
          <c:showCatName val="0"/>
          <c:showSerName val="0"/>
          <c:showPercent val="0"/>
          <c:showBubbleSize val="0"/>
        </c:dLbls>
        <c:marker val="1"/>
        <c:smooth val="0"/>
        <c:axId val="118540544"/>
        <c:axId val="118542336"/>
      </c:lineChart>
      <c:catAx>
        <c:axId val="118540544"/>
        <c:scaling>
          <c:orientation val="minMax"/>
        </c:scaling>
        <c:delete val="0"/>
        <c:axPos val="b"/>
        <c:numFmt formatCode="General" sourceLinked="1"/>
        <c:majorTickMark val="out"/>
        <c:minorTickMark val="none"/>
        <c:tickLblPos val="nextTo"/>
        <c:crossAx val="118542336"/>
        <c:crosses val="autoZero"/>
        <c:auto val="1"/>
        <c:lblAlgn val="ctr"/>
        <c:lblOffset val="100"/>
        <c:noMultiLvlLbl val="0"/>
      </c:catAx>
      <c:valAx>
        <c:axId val="118542336"/>
        <c:scaling>
          <c:orientation val="minMax"/>
        </c:scaling>
        <c:delete val="0"/>
        <c:axPos val="l"/>
        <c:majorGridlines/>
        <c:numFmt formatCode="#,##0.00_ ;[Red]\-#,##0.00\ " sourceLinked="1"/>
        <c:majorTickMark val="out"/>
        <c:minorTickMark val="none"/>
        <c:tickLblPos val="nextTo"/>
        <c:crossAx val="1185405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325409-A33B-46D5-997C-EEBC0BCA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43</Pages>
  <Words>41888</Words>
  <Characters>238768</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O'Hagan Luff</dc:creator>
  <cp:lastModifiedBy>Martha O'Hagan Luff</cp:lastModifiedBy>
  <cp:revision>11</cp:revision>
  <cp:lastPrinted>2013-09-04T14:29:00Z</cp:lastPrinted>
  <dcterms:created xsi:type="dcterms:W3CDTF">2014-04-10T15:26:00Z</dcterms:created>
  <dcterms:modified xsi:type="dcterms:W3CDTF">2022-06-20T13:35:00Z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marthaluff@eircom.net@www.mendeley.com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http://www.zotero.org/styles/acs-applied-materials-and-interfaces</vt:lpwstr>
  </property>
  <property fmtid="{D5CDD505-2E9C-101B-9397-08002B2CF9AE}" pid="6" name="Mendeley Recent Style Name 0_1">
    <vt:lpwstr>ACS Applied Materials &amp; Interfaces</vt:lpwstr>
  </property>
  <property fmtid="{D5CDD505-2E9C-101B-9397-08002B2CF9AE}" pid="7" name="Mendeley Recent Style Id 1_1">
    <vt:lpwstr>http://www.zotero.org/styles/acs-chemical-biology</vt:lpwstr>
  </property>
  <property fmtid="{D5CDD505-2E9C-101B-9397-08002B2CF9AE}" pid="8" name="Mendeley Recent Style Name 1_1">
    <vt:lpwstr>ACS Chemical Biology</vt:lpwstr>
  </property>
  <property fmtid="{D5CDD505-2E9C-101B-9397-08002B2CF9AE}" pid="9" name="Mendeley Recent Style Id 2_1">
    <vt:lpwstr>http://www.zotero.org/styles/acs-nano</vt:lpwstr>
  </property>
  <property fmtid="{D5CDD505-2E9C-101B-9397-08002B2CF9AE}" pid="10" name="Mendeley Recent Style Name 2_1">
    <vt:lpwstr>ACS Nano</vt:lpwstr>
  </property>
  <property fmtid="{D5CDD505-2E9C-101B-9397-08002B2CF9AE}" pid="11" name="Mendeley Recent Style Id 3_1">
    <vt:lpwstr>http://www.zotero.org/styles/academy-of-management-journal</vt:lpwstr>
  </property>
  <property fmtid="{D5CDD505-2E9C-101B-9397-08002B2CF9AE}" pid="12" name="Mendeley Recent Style Name 3_1">
    <vt:lpwstr>Academy of Management Journal</vt:lpwstr>
  </property>
  <property fmtid="{D5CDD505-2E9C-101B-9397-08002B2CF9AE}" pid="13" name="Mendeley Recent Style Id 4_1">
    <vt:lpwstr>http://www.zotero.org/styles/academy-of-management-review</vt:lpwstr>
  </property>
  <property fmtid="{D5CDD505-2E9C-101B-9397-08002B2CF9AE}" pid="14" name="Mendeley Recent Style Name 4_1">
    <vt:lpwstr>Academy of Management Review</vt:lpwstr>
  </property>
  <property fmtid="{D5CDD505-2E9C-101B-9397-08002B2CF9AE}" pid="15" name="Mendeley Recent Style Id 5_1">
    <vt:lpwstr>http://www.zotero.org/styles/acta-anatomica</vt:lpwstr>
  </property>
  <property fmtid="{D5CDD505-2E9C-101B-9397-08002B2CF9AE}" pid="16" name="Mendeley Recent Style Name 5_1">
    <vt:lpwstr>Acta Anatomica</vt:lpwstr>
  </property>
  <property fmtid="{D5CDD505-2E9C-101B-9397-08002B2CF9AE}" pid="17" name="Mendeley Recent Style Id 6_1">
    <vt:lpwstr>http://www.zotero.org/styles/acta-chirurgica-hellenica</vt:lpwstr>
  </property>
  <property fmtid="{D5CDD505-2E9C-101B-9397-08002B2CF9AE}" pid="18" name="Mendeley Recent Style Name 6_1">
    <vt:lpwstr>Acta Chirurgica Hellenica</vt:lpwstr>
  </property>
  <property fmtid="{D5CDD505-2E9C-101B-9397-08002B2CF9AE}" pid="19" name="Mendeley Recent Style Id 7_1">
    <vt:lpwstr>http://www.zotero.org/styles/acta-crystallographica-section-a-foundations-of-crystallography</vt:lpwstr>
  </property>
  <property fmtid="{D5CDD505-2E9C-101B-9397-08002B2CF9AE}" pid="20" name="Mendeley Recent Style Name 7_1">
    <vt:lpwstr>Acta Crystallographica Section A: Foundations of Crystallography</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