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F23" w14:textId="0021CCF6" w:rsidR="00A937C4" w:rsidRDefault="00A937C4" w:rsidP="00912850">
      <w:pPr>
        <w:pStyle w:val="NormalWeb"/>
        <w:spacing w:after="0" w:line="360" w:lineRule="auto"/>
        <w:rPr>
          <w:rFonts w:asciiTheme="minorHAnsi" w:hAnsiTheme="minorHAnsi"/>
          <w:b/>
        </w:rPr>
      </w:pPr>
      <w:r>
        <w:rPr>
          <w:rFonts w:asciiTheme="minorHAnsi" w:hAnsiTheme="minorHAnsi"/>
          <w:b/>
        </w:rPr>
        <w:t>[</w:t>
      </w:r>
      <w:r w:rsidR="00682E02">
        <w:rPr>
          <w:rFonts w:asciiTheme="minorHAnsi" w:hAnsiTheme="minorHAnsi"/>
          <w:b/>
        </w:rPr>
        <w:t>in</w:t>
      </w:r>
      <w:r>
        <w:rPr>
          <w:rFonts w:asciiTheme="minorHAnsi" w:hAnsiTheme="minorHAnsi"/>
          <w:b/>
        </w:rPr>
        <w:t xml:space="preserve"> </w:t>
      </w:r>
      <w:r w:rsidRPr="00682E02">
        <w:rPr>
          <w:rFonts w:asciiTheme="minorHAnsi" w:hAnsiTheme="minorHAnsi"/>
          <w:b/>
          <w:i/>
          <w:iCs/>
        </w:rPr>
        <w:t>Women and the Future of International Law</w:t>
      </w:r>
      <w:r w:rsidR="00682E02">
        <w:rPr>
          <w:rFonts w:asciiTheme="minorHAnsi" w:hAnsiTheme="minorHAnsi"/>
          <w:b/>
        </w:rPr>
        <w:t xml:space="preserve">, </w:t>
      </w:r>
      <w:r>
        <w:rPr>
          <w:rFonts w:asciiTheme="minorHAnsi" w:hAnsiTheme="minorHAnsi"/>
          <w:b/>
        </w:rPr>
        <w:t xml:space="preserve"> </w:t>
      </w:r>
      <w:r w:rsidR="00682E02">
        <w:rPr>
          <w:rFonts w:asciiTheme="minorHAnsi" w:hAnsiTheme="minorHAnsi"/>
          <w:b/>
        </w:rPr>
        <w:t>Susan Harris Rimmer and Kate Ogg</w:t>
      </w:r>
      <w:r w:rsidR="00682E02">
        <w:rPr>
          <w:rFonts w:asciiTheme="minorHAnsi" w:hAnsiTheme="minorHAnsi"/>
          <w:b/>
        </w:rPr>
        <w:t xml:space="preserve"> (e</w:t>
      </w:r>
      <w:r w:rsidR="00682E02">
        <w:rPr>
          <w:rFonts w:asciiTheme="minorHAnsi" w:hAnsiTheme="minorHAnsi"/>
          <w:b/>
        </w:rPr>
        <w:t>ditors</w:t>
      </w:r>
      <w:r w:rsidR="00682E02">
        <w:rPr>
          <w:rFonts w:asciiTheme="minorHAnsi" w:hAnsiTheme="minorHAnsi"/>
          <w:b/>
        </w:rPr>
        <w:t xml:space="preserve">), </w:t>
      </w:r>
      <w:r w:rsidR="003C3150">
        <w:rPr>
          <w:rFonts w:asciiTheme="minorHAnsi" w:hAnsiTheme="minorHAnsi"/>
          <w:b/>
        </w:rPr>
        <w:t>Edward Elgar in 2</w:t>
      </w:r>
      <w:r>
        <w:rPr>
          <w:rFonts w:asciiTheme="minorHAnsi" w:hAnsiTheme="minorHAnsi"/>
          <w:b/>
        </w:rPr>
        <w:t>019.].</w:t>
      </w:r>
    </w:p>
    <w:p w14:paraId="4010EF24" w14:textId="77777777" w:rsidR="00A937C4" w:rsidRDefault="00A937C4" w:rsidP="00912850">
      <w:pPr>
        <w:pStyle w:val="NormalWeb"/>
        <w:spacing w:after="0" w:line="360" w:lineRule="auto"/>
        <w:rPr>
          <w:rFonts w:asciiTheme="minorHAnsi" w:hAnsiTheme="minorHAnsi"/>
          <w:b/>
        </w:rPr>
      </w:pPr>
    </w:p>
    <w:p w14:paraId="4010EF25" w14:textId="77777777" w:rsidR="00070EFB" w:rsidRPr="002E6F2A" w:rsidRDefault="00D746CC" w:rsidP="00912850">
      <w:pPr>
        <w:pStyle w:val="NormalWeb"/>
        <w:spacing w:after="0" w:line="360" w:lineRule="auto"/>
        <w:rPr>
          <w:rFonts w:asciiTheme="minorHAnsi" w:hAnsiTheme="minorHAnsi"/>
          <w:b/>
        </w:rPr>
      </w:pPr>
      <w:r w:rsidRPr="002E6F2A">
        <w:rPr>
          <w:rFonts w:asciiTheme="minorHAnsi" w:hAnsiTheme="minorHAnsi"/>
          <w:b/>
        </w:rPr>
        <w:t>Sexing c</w:t>
      </w:r>
      <w:r w:rsidR="00A50F59" w:rsidRPr="002E6F2A">
        <w:rPr>
          <w:rFonts w:asciiTheme="minorHAnsi" w:hAnsiTheme="minorHAnsi"/>
          <w:b/>
        </w:rPr>
        <w:t>onsent in International Law</w:t>
      </w:r>
    </w:p>
    <w:p w14:paraId="4010EF26" w14:textId="77777777" w:rsidR="00070EFB" w:rsidRPr="002E6F2A" w:rsidRDefault="00070EFB" w:rsidP="00912850">
      <w:pPr>
        <w:pStyle w:val="NormalWeb"/>
        <w:spacing w:after="0" w:line="360" w:lineRule="auto"/>
        <w:rPr>
          <w:rFonts w:asciiTheme="minorHAnsi" w:hAnsiTheme="minorHAnsi"/>
        </w:rPr>
      </w:pPr>
      <w:r w:rsidRPr="002E6F2A">
        <w:rPr>
          <w:rFonts w:asciiTheme="minorHAnsi" w:hAnsiTheme="minorHAnsi"/>
        </w:rPr>
        <w:t>Siobhán Airey</w:t>
      </w:r>
    </w:p>
    <w:p w14:paraId="4010EF27" w14:textId="77777777" w:rsidR="00070EFB" w:rsidRPr="002E6F2A" w:rsidRDefault="00070EFB" w:rsidP="00912850">
      <w:pPr>
        <w:pStyle w:val="NormalWeb"/>
        <w:spacing w:after="0" w:line="360" w:lineRule="auto"/>
        <w:rPr>
          <w:rFonts w:asciiTheme="minorHAnsi" w:hAnsiTheme="minorHAnsi"/>
          <w:b/>
        </w:rPr>
      </w:pPr>
    </w:p>
    <w:p w14:paraId="4010EF28" w14:textId="77777777" w:rsidR="007B3CAB" w:rsidRPr="002E6F2A" w:rsidRDefault="007B3CAB" w:rsidP="00FE4EF2">
      <w:pPr>
        <w:pStyle w:val="NormalWeb"/>
        <w:numPr>
          <w:ilvl w:val="0"/>
          <w:numId w:val="10"/>
        </w:numPr>
        <w:spacing w:after="0" w:line="360" w:lineRule="auto"/>
        <w:rPr>
          <w:rFonts w:asciiTheme="minorHAnsi" w:hAnsiTheme="minorHAnsi"/>
        </w:rPr>
      </w:pPr>
      <w:r w:rsidRPr="002E6F2A">
        <w:rPr>
          <w:rFonts w:asciiTheme="minorHAnsi" w:hAnsiTheme="minorHAnsi"/>
          <w:b/>
        </w:rPr>
        <w:t>Introduction</w:t>
      </w:r>
    </w:p>
    <w:p w14:paraId="4010EF29" w14:textId="77777777" w:rsidR="007B3CAB" w:rsidRPr="002E6F2A" w:rsidRDefault="007B3CAB" w:rsidP="00912850">
      <w:pPr>
        <w:pStyle w:val="NormalWeb"/>
        <w:spacing w:after="0" w:line="360" w:lineRule="auto"/>
        <w:rPr>
          <w:rFonts w:asciiTheme="minorHAnsi" w:hAnsiTheme="minorHAnsi"/>
        </w:rPr>
      </w:pPr>
    </w:p>
    <w:p w14:paraId="4010EF2A" w14:textId="77777777" w:rsidR="005C375B" w:rsidRPr="002E6F2A" w:rsidRDefault="00AB5E4D" w:rsidP="005C375B">
      <w:pPr>
        <w:spacing w:line="360" w:lineRule="auto"/>
        <w:rPr>
          <w:rFonts w:eastAsia="Times New Roman" w:cs="Times New Roman"/>
          <w:color w:val="000000"/>
          <w:sz w:val="24"/>
          <w:szCs w:val="24"/>
          <w:lang w:val="en-CA" w:eastAsia="en-IE"/>
        </w:rPr>
      </w:pPr>
      <w:r w:rsidRPr="002E6F2A">
        <w:rPr>
          <w:rFonts w:eastAsia="Times New Roman" w:cs="Times New Roman"/>
          <w:color w:val="000000"/>
          <w:sz w:val="24"/>
          <w:szCs w:val="24"/>
          <w:lang w:val="en-CA" w:eastAsia="en-IE"/>
        </w:rPr>
        <w:t>Thi</w:t>
      </w:r>
      <w:r w:rsidR="00EA5850" w:rsidRPr="002E6F2A">
        <w:rPr>
          <w:rFonts w:eastAsia="Times New Roman" w:cs="Times New Roman"/>
          <w:color w:val="000000"/>
          <w:sz w:val="24"/>
          <w:szCs w:val="24"/>
          <w:lang w:val="en-CA" w:eastAsia="en-IE"/>
        </w:rPr>
        <w:t>s paper brings</w:t>
      </w:r>
      <w:r w:rsidRPr="002E6F2A">
        <w:rPr>
          <w:rFonts w:eastAsia="Times New Roman" w:cs="Times New Roman"/>
          <w:color w:val="000000"/>
          <w:sz w:val="24"/>
          <w:szCs w:val="24"/>
          <w:lang w:val="en-CA" w:eastAsia="en-IE"/>
        </w:rPr>
        <w:t xml:space="preserve"> feminist legal insights to </w:t>
      </w:r>
      <w:r w:rsidR="00EA5850" w:rsidRPr="002E6F2A">
        <w:rPr>
          <w:rFonts w:eastAsia="Times New Roman" w:cs="Times New Roman"/>
          <w:color w:val="000000"/>
          <w:sz w:val="24"/>
          <w:szCs w:val="24"/>
          <w:lang w:val="en-CA" w:eastAsia="en-IE"/>
        </w:rPr>
        <w:t xml:space="preserve">bear on </w:t>
      </w:r>
      <w:r w:rsidR="003659A8" w:rsidRPr="002E6F2A">
        <w:rPr>
          <w:rFonts w:eastAsia="Times New Roman" w:cs="Times New Roman"/>
          <w:color w:val="000000"/>
          <w:sz w:val="24"/>
          <w:szCs w:val="24"/>
          <w:lang w:val="en-CA" w:eastAsia="en-IE"/>
        </w:rPr>
        <w:t>the concept of</w:t>
      </w:r>
      <w:r w:rsidRPr="002E6F2A">
        <w:rPr>
          <w:rFonts w:eastAsia="Times New Roman" w:cs="Times New Roman"/>
          <w:color w:val="000000"/>
          <w:sz w:val="24"/>
          <w:szCs w:val="24"/>
          <w:lang w:val="en-CA" w:eastAsia="en-IE"/>
        </w:rPr>
        <w:t xml:space="preserve"> consent in </w:t>
      </w:r>
      <w:r w:rsidR="00342C56" w:rsidRPr="002E6F2A">
        <w:rPr>
          <w:rFonts w:eastAsia="Times New Roman" w:cs="Times New Roman"/>
          <w:color w:val="000000"/>
          <w:sz w:val="24"/>
          <w:szCs w:val="24"/>
          <w:lang w:val="en-CA" w:eastAsia="en-IE"/>
        </w:rPr>
        <w:t>international treaty-</w:t>
      </w:r>
      <w:r w:rsidR="002174A3" w:rsidRPr="002E6F2A">
        <w:rPr>
          <w:rFonts w:eastAsia="Times New Roman" w:cs="Times New Roman"/>
          <w:color w:val="000000"/>
          <w:sz w:val="24"/>
          <w:szCs w:val="24"/>
          <w:lang w:val="en-CA" w:eastAsia="en-IE"/>
        </w:rPr>
        <w:t>making</w:t>
      </w:r>
      <w:r w:rsidR="005C375B" w:rsidRPr="002E6F2A">
        <w:rPr>
          <w:rFonts w:eastAsia="Times New Roman" w:cs="Times New Roman"/>
          <w:color w:val="000000"/>
          <w:sz w:val="24"/>
          <w:szCs w:val="24"/>
          <w:lang w:val="en-CA" w:eastAsia="en-IE"/>
        </w:rPr>
        <w:t xml:space="preserve"> </w:t>
      </w:r>
      <w:proofErr w:type="gramStart"/>
      <w:r w:rsidR="005C375B" w:rsidRPr="002E6F2A">
        <w:rPr>
          <w:rFonts w:eastAsia="Times New Roman" w:cs="Times New Roman"/>
          <w:color w:val="000000"/>
          <w:sz w:val="24"/>
          <w:szCs w:val="24"/>
          <w:lang w:val="en-CA" w:eastAsia="en-IE"/>
        </w:rPr>
        <w:t>in order to</w:t>
      </w:r>
      <w:proofErr w:type="gramEnd"/>
      <w:r w:rsidR="005C375B" w:rsidRPr="002E6F2A">
        <w:rPr>
          <w:rFonts w:eastAsia="Times New Roman" w:cs="Times New Roman"/>
          <w:color w:val="000000"/>
          <w:sz w:val="24"/>
          <w:szCs w:val="24"/>
          <w:lang w:val="en-CA" w:eastAsia="en-IE"/>
        </w:rPr>
        <w:t xml:space="preserve"> </w:t>
      </w:r>
      <w:r w:rsidR="007411F4" w:rsidRPr="002E6F2A">
        <w:rPr>
          <w:rFonts w:eastAsia="Times New Roman" w:cs="Times New Roman"/>
          <w:color w:val="000000"/>
          <w:sz w:val="24"/>
          <w:szCs w:val="24"/>
          <w:lang w:val="en-CA" w:eastAsia="en-IE"/>
        </w:rPr>
        <w:t>reveal</w:t>
      </w:r>
      <w:r w:rsidR="005C375B" w:rsidRPr="002E6F2A">
        <w:rPr>
          <w:rFonts w:eastAsia="Times New Roman" w:cs="Times New Roman"/>
          <w:color w:val="000000"/>
          <w:sz w:val="24"/>
          <w:szCs w:val="24"/>
          <w:lang w:val="en-CA" w:eastAsia="en-IE"/>
        </w:rPr>
        <w:t xml:space="preserve"> how </w:t>
      </w:r>
      <w:r w:rsidR="00EF31C0" w:rsidRPr="002E6F2A">
        <w:rPr>
          <w:rFonts w:eastAsia="Times New Roman" w:cs="Times New Roman"/>
          <w:color w:val="000000"/>
          <w:sz w:val="24"/>
          <w:szCs w:val="24"/>
          <w:lang w:val="en-CA" w:eastAsia="en-IE"/>
        </w:rPr>
        <w:t xml:space="preserve">consent, formalised in a particular way </w:t>
      </w:r>
      <w:r w:rsidR="007411F4" w:rsidRPr="002E6F2A">
        <w:rPr>
          <w:rFonts w:eastAsia="Times New Roman" w:cs="Times New Roman"/>
          <w:color w:val="000000"/>
          <w:sz w:val="24"/>
          <w:szCs w:val="24"/>
          <w:lang w:val="en-CA" w:eastAsia="en-IE"/>
        </w:rPr>
        <w:t xml:space="preserve">in </w:t>
      </w:r>
      <w:r w:rsidR="005C375B" w:rsidRPr="002E6F2A">
        <w:rPr>
          <w:rFonts w:eastAsia="Times New Roman" w:cs="Times New Roman"/>
          <w:color w:val="000000"/>
          <w:sz w:val="24"/>
          <w:szCs w:val="24"/>
          <w:lang w:val="en-CA" w:eastAsia="en-IE"/>
        </w:rPr>
        <w:t>international law</w:t>
      </w:r>
      <w:r w:rsidR="00875A86">
        <w:rPr>
          <w:rFonts w:eastAsia="Times New Roman" w:cs="Times New Roman"/>
          <w:color w:val="000000"/>
          <w:sz w:val="24"/>
          <w:szCs w:val="24"/>
          <w:lang w:val="en-CA" w:eastAsia="en-IE"/>
        </w:rPr>
        <w:t xml:space="preserve"> through the 1969 Vienna Convention on the Law of Treaties</w:t>
      </w:r>
      <w:r w:rsidR="007411F4" w:rsidRPr="002E6F2A">
        <w:rPr>
          <w:rFonts w:eastAsia="Times New Roman" w:cs="Times New Roman"/>
          <w:color w:val="000000"/>
          <w:sz w:val="24"/>
          <w:szCs w:val="24"/>
          <w:lang w:val="en-CA" w:eastAsia="en-IE"/>
        </w:rPr>
        <w:t>,</w:t>
      </w:r>
      <w:r w:rsidR="005C375B" w:rsidRPr="002E6F2A">
        <w:rPr>
          <w:rFonts w:eastAsia="Times New Roman" w:cs="Times New Roman"/>
          <w:color w:val="000000"/>
          <w:sz w:val="24"/>
          <w:szCs w:val="24"/>
          <w:lang w:val="en-CA" w:eastAsia="en-IE"/>
        </w:rPr>
        <w:t xml:space="preserve"> continues to perpetuate the myth of the ending of empire with the formal ending of colonial rule</w:t>
      </w:r>
      <w:r w:rsidR="007411F4" w:rsidRPr="002E6F2A">
        <w:rPr>
          <w:rFonts w:eastAsia="Times New Roman" w:cs="Times New Roman"/>
          <w:color w:val="000000"/>
          <w:sz w:val="24"/>
          <w:szCs w:val="24"/>
          <w:lang w:val="en-CA" w:eastAsia="en-IE"/>
        </w:rPr>
        <w:t xml:space="preserve">. </w:t>
      </w:r>
      <w:r w:rsidR="00EF31C0" w:rsidRPr="002E6F2A">
        <w:rPr>
          <w:rFonts w:eastAsia="Times New Roman" w:cs="Times New Roman"/>
          <w:color w:val="000000"/>
          <w:sz w:val="24"/>
          <w:szCs w:val="24"/>
          <w:lang w:val="en-CA" w:eastAsia="en-IE"/>
        </w:rPr>
        <w:t>I draw</w:t>
      </w:r>
      <w:r w:rsidR="005C375B" w:rsidRPr="002E6F2A">
        <w:rPr>
          <w:rFonts w:eastAsia="Times New Roman" w:cs="Times New Roman"/>
          <w:color w:val="000000"/>
          <w:sz w:val="24"/>
          <w:szCs w:val="24"/>
          <w:lang w:val="en-CA" w:eastAsia="en-IE"/>
        </w:rPr>
        <w:t xml:space="preserve"> on feminist legal ideas </w:t>
      </w:r>
      <w:r w:rsidR="00875A86">
        <w:rPr>
          <w:rFonts w:eastAsia="Times New Roman" w:cs="Times New Roman"/>
          <w:color w:val="000000"/>
          <w:sz w:val="24"/>
          <w:szCs w:val="24"/>
          <w:lang w:val="en-CA" w:eastAsia="en-IE"/>
        </w:rPr>
        <w:t>on law and subjectivity-formation to</w:t>
      </w:r>
      <w:r w:rsidR="00EF31C0" w:rsidRPr="002E6F2A">
        <w:rPr>
          <w:rFonts w:eastAsia="Times New Roman" w:cs="Times New Roman"/>
          <w:color w:val="000000"/>
          <w:sz w:val="24"/>
          <w:szCs w:val="24"/>
          <w:lang w:val="en-CA" w:eastAsia="en-IE"/>
        </w:rPr>
        <w:t xml:space="preserve"> analyse the</w:t>
      </w:r>
      <w:r w:rsidR="005C375B" w:rsidRPr="002E6F2A">
        <w:rPr>
          <w:rFonts w:eastAsia="Times New Roman" w:cs="Times New Roman"/>
          <w:color w:val="000000"/>
          <w:sz w:val="24"/>
          <w:szCs w:val="24"/>
          <w:lang w:val="en-CA" w:eastAsia="en-IE"/>
        </w:rPr>
        <w:t xml:space="preserve"> current conception of the state</w:t>
      </w:r>
      <w:r w:rsidR="00875A86">
        <w:rPr>
          <w:rFonts w:eastAsia="Times New Roman" w:cs="Times New Roman"/>
          <w:color w:val="000000"/>
          <w:sz w:val="24"/>
          <w:szCs w:val="24"/>
          <w:lang w:val="en-CA" w:eastAsia="en-IE"/>
        </w:rPr>
        <w:t>, the region</w:t>
      </w:r>
      <w:r w:rsidR="005C375B" w:rsidRPr="002E6F2A">
        <w:rPr>
          <w:rFonts w:eastAsia="Times New Roman" w:cs="Times New Roman"/>
          <w:color w:val="000000"/>
          <w:sz w:val="24"/>
          <w:szCs w:val="24"/>
          <w:lang w:val="en-CA" w:eastAsia="en-IE"/>
        </w:rPr>
        <w:t xml:space="preserve"> and </w:t>
      </w:r>
      <w:r w:rsidR="00CA6DFC" w:rsidRPr="002E6F2A">
        <w:rPr>
          <w:rFonts w:eastAsia="Times New Roman" w:cs="Times New Roman"/>
          <w:color w:val="000000"/>
          <w:sz w:val="24"/>
          <w:szCs w:val="24"/>
          <w:lang w:val="en-CA" w:eastAsia="en-IE"/>
        </w:rPr>
        <w:t xml:space="preserve">inter-state relations that are implicit in </w:t>
      </w:r>
      <w:r w:rsidR="00EF31C0" w:rsidRPr="002E6F2A">
        <w:rPr>
          <w:rFonts w:eastAsia="Times New Roman" w:cs="Times New Roman"/>
          <w:color w:val="000000"/>
          <w:sz w:val="24"/>
          <w:szCs w:val="24"/>
          <w:lang w:val="en-CA" w:eastAsia="en-IE"/>
        </w:rPr>
        <w:t xml:space="preserve">the concept of consent in </w:t>
      </w:r>
      <w:r w:rsidR="00CA6DFC" w:rsidRPr="002E6F2A">
        <w:rPr>
          <w:rFonts w:eastAsia="Times New Roman" w:cs="Times New Roman"/>
          <w:color w:val="000000"/>
          <w:sz w:val="24"/>
          <w:szCs w:val="24"/>
          <w:lang w:val="en-CA" w:eastAsia="en-IE"/>
        </w:rPr>
        <w:t>international law</w:t>
      </w:r>
      <w:r w:rsidR="00EF31C0" w:rsidRPr="002E6F2A">
        <w:rPr>
          <w:rFonts w:eastAsia="Times New Roman" w:cs="Times New Roman"/>
          <w:color w:val="000000"/>
          <w:sz w:val="24"/>
          <w:szCs w:val="24"/>
          <w:lang w:val="en-CA" w:eastAsia="en-IE"/>
        </w:rPr>
        <w:t>. In doing so,</w:t>
      </w:r>
      <w:r w:rsidR="00DE7DF4" w:rsidRPr="002E6F2A">
        <w:rPr>
          <w:rFonts w:eastAsia="Times New Roman" w:cs="Times New Roman"/>
          <w:color w:val="000000"/>
          <w:sz w:val="24"/>
          <w:szCs w:val="24"/>
          <w:lang w:val="en-CA" w:eastAsia="en-IE"/>
        </w:rPr>
        <w:t xml:space="preserve"> </w:t>
      </w:r>
      <w:r w:rsidR="005C375B" w:rsidRPr="002E6F2A">
        <w:rPr>
          <w:rFonts w:eastAsia="Times New Roman" w:cs="Times New Roman"/>
          <w:color w:val="000000"/>
          <w:sz w:val="24"/>
          <w:szCs w:val="24"/>
          <w:lang w:val="en-CA" w:eastAsia="en-IE"/>
        </w:rPr>
        <w:t>I aim to illustrate how feminist legal insight can be a unique, critical</w:t>
      </w:r>
      <w:r w:rsidR="005C375B" w:rsidRPr="002E6F2A">
        <w:rPr>
          <w:rStyle w:val="FootnoteReference"/>
          <w:rFonts w:eastAsia="Times New Roman" w:cs="Times New Roman"/>
          <w:color w:val="000000"/>
          <w:sz w:val="24"/>
          <w:szCs w:val="24"/>
          <w:lang w:val="en-CA" w:eastAsia="en-IE"/>
        </w:rPr>
        <w:footnoteReference w:id="1"/>
      </w:r>
      <w:r w:rsidR="005C375B" w:rsidRPr="002E6F2A">
        <w:rPr>
          <w:rFonts w:eastAsia="Times New Roman" w:cs="Times New Roman"/>
          <w:color w:val="000000"/>
          <w:sz w:val="24"/>
          <w:szCs w:val="24"/>
          <w:lang w:val="en-CA" w:eastAsia="en-IE"/>
        </w:rPr>
        <w:t xml:space="preserve"> and perceptive way of </w:t>
      </w:r>
      <w:r w:rsidR="00085050" w:rsidRPr="002E6F2A">
        <w:rPr>
          <w:rFonts w:eastAsia="Times New Roman" w:cs="Times New Roman"/>
          <w:color w:val="000000"/>
          <w:sz w:val="24"/>
          <w:szCs w:val="24"/>
          <w:lang w:val="en-CA" w:eastAsia="en-IE"/>
        </w:rPr>
        <w:t>articulating the relationship betw</w:t>
      </w:r>
      <w:r w:rsidR="004C7951">
        <w:rPr>
          <w:rFonts w:eastAsia="Times New Roman" w:cs="Times New Roman"/>
          <w:color w:val="000000"/>
          <w:sz w:val="24"/>
          <w:szCs w:val="24"/>
          <w:lang w:val="en-CA" w:eastAsia="en-IE"/>
        </w:rPr>
        <w:t xml:space="preserve">een international law and power, while </w:t>
      </w:r>
      <w:r w:rsidR="00342C56" w:rsidRPr="002E6F2A">
        <w:rPr>
          <w:rFonts w:eastAsia="Times New Roman" w:cs="Times New Roman"/>
          <w:color w:val="000000"/>
          <w:sz w:val="24"/>
          <w:szCs w:val="24"/>
          <w:lang w:val="en-CA" w:eastAsia="en-IE"/>
        </w:rPr>
        <w:t>reveal</w:t>
      </w:r>
      <w:r w:rsidR="004C7951">
        <w:rPr>
          <w:rFonts w:eastAsia="Times New Roman" w:cs="Times New Roman"/>
          <w:color w:val="000000"/>
          <w:sz w:val="24"/>
          <w:szCs w:val="24"/>
          <w:lang w:val="en-CA" w:eastAsia="en-IE"/>
        </w:rPr>
        <w:t>ing</w:t>
      </w:r>
      <w:r w:rsidR="00342C56" w:rsidRPr="002E6F2A">
        <w:rPr>
          <w:rFonts w:eastAsia="Times New Roman" w:cs="Times New Roman"/>
          <w:color w:val="000000"/>
          <w:sz w:val="24"/>
          <w:szCs w:val="24"/>
          <w:lang w:val="en-CA" w:eastAsia="en-IE"/>
        </w:rPr>
        <w:t xml:space="preserve"> sites and spaces for further theorising and analysis</w:t>
      </w:r>
      <w:r w:rsidR="00EF31C0" w:rsidRPr="002E6F2A">
        <w:rPr>
          <w:rFonts w:eastAsia="Times New Roman" w:cs="Times New Roman"/>
          <w:color w:val="000000"/>
          <w:sz w:val="24"/>
          <w:szCs w:val="24"/>
          <w:lang w:val="en-CA" w:eastAsia="en-IE"/>
        </w:rPr>
        <w:t xml:space="preserve"> of this relationship</w:t>
      </w:r>
      <w:r w:rsidR="00085050" w:rsidRPr="002E6F2A">
        <w:rPr>
          <w:rFonts w:eastAsia="Times New Roman" w:cs="Times New Roman"/>
          <w:color w:val="000000"/>
          <w:sz w:val="24"/>
          <w:szCs w:val="24"/>
          <w:lang w:val="en-CA" w:eastAsia="en-IE"/>
        </w:rPr>
        <w:t xml:space="preserve">. </w:t>
      </w:r>
    </w:p>
    <w:p w14:paraId="4010EF2B" w14:textId="77777777" w:rsidR="00286296" w:rsidRPr="002E6F2A" w:rsidRDefault="00342C56" w:rsidP="00286296">
      <w:pPr>
        <w:spacing w:line="360" w:lineRule="auto"/>
        <w:rPr>
          <w:rFonts w:eastAsia="Times New Roman" w:cs="Times New Roman"/>
          <w:color w:val="000000"/>
          <w:sz w:val="24"/>
          <w:szCs w:val="24"/>
          <w:lang w:val="en-CA" w:eastAsia="en-IE"/>
        </w:rPr>
      </w:pPr>
      <w:r w:rsidRPr="002E6F2A">
        <w:rPr>
          <w:rFonts w:eastAsia="Times New Roman" w:cs="Times New Roman"/>
          <w:color w:val="000000"/>
          <w:sz w:val="24"/>
          <w:szCs w:val="24"/>
          <w:lang w:val="en-CA" w:eastAsia="en-IE"/>
        </w:rPr>
        <w:t xml:space="preserve">This paper proceeds in </w:t>
      </w:r>
      <w:r w:rsidR="00766229" w:rsidRPr="002E6F2A">
        <w:rPr>
          <w:rFonts w:eastAsia="Times New Roman" w:cs="Times New Roman"/>
          <w:color w:val="000000"/>
          <w:sz w:val="24"/>
          <w:szCs w:val="24"/>
          <w:lang w:val="en-CA" w:eastAsia="en-IE"/>
        </w:rPr>
        <w:t>four</w:t>
      </w:r>
      <w:r w:rsidRPr="002E6F2A">
        <w:rPr>
          <w:rFonts w:eastAsia="Times New Roman" w:cs="Times New Roman"/>
          <w:color w:val="000000"/>
          <w:sz w:val="24"/>
          <w:szCs w:val="24"/>
          <w:lang w:val="en-CA" w:eastAsia="en-IE"/>
        </w:rPr>
        <w:t xml:space="preserve"> sections. First, </w:t>
      </w:r>
      <w:r w:rsidR="00092984" w:rsidRPr="002E6F2A">
        <w:rPr>
          <w:rFonts w:eastAsia="Times New Roman" w:cs="Times New Roman"/>
          <w:color w:val="000000"/>
          <w:sz w:val="24"/>
          <w:szCs w:val="24"/>
          <w:lang w:val="en-CA" w:eastAsia="en-IE"/>
        </w:rPr>
        <w:t>I analyse how the principle of consent is currently conceived of in international law, focusing on its articulation in the 1969 Vienna Convention on the Law of Treaties.</w:t>
      </w:r>
      <w:r w:rsidR="004C7951">
        <w:rPr>
          <w:rStyle w:val="FootnoteReference"/>
          <w:rFonts w:eastAsia="Times New Roman" w:cs="Times New Roman"/>
          <w:color w:val="000000"/>
          <w:sz w:val="24"/>
          <w:szCs w:val="24"/>
          <w:lang w:val="en-CA" w:eastAsia="en-IE"/>
        </w:rPr>
        <w:footnoteReference w:id="2"/>
      </w:r>
      <w:r w:rsidR="00092984" w:rsidRPr="002E6F2A">
        <w:rPr>
          <w:rFonts w:eastAsia="Times New Roman" w:cs="Times New Roman"/>
          <w:color w:val="000000"/>
          <w:sz w:val="24"/>
          <w:szCs w:val="24"/>
          <w:lang w:val="en-CA" w:eastAsia="en-IE"/>
        </w:rPr>
        <w:t xml:space="preserve"> I highlight a range of coercive state practices that are currently permissible under that principle, and the implicit ideas of the nature of the state and relations between states, that this approach foregrounds. </w:t>
      </w:r>
      <w:r w:rsidR="00092984">
        <w:rPr>
          <w:rFonts w:eastAsia="Times New Roman" w:cs="Times New Roman"/>
          <w:color w:val="000000"/>
          <w:sz w:val="24"/>
          <w:szCs w:val="24"/>
          <w:lang w:val="en-CA" w:eastAsia="en-IE"/>
        </w:rPr>
        <w:t xml:space="preserve">Secondly, </w:t>
      </w:r>
      <w:r w:rsidRPr="002E6F2A">
        <w:rPr>
          <w:rFonts w:eastAsia="Times New Roman" w:cs="Times New Roman"/>
          <w:color w:val="000000"/>
          <w:sz w:val="24"/>
          <w:szCs w:val="24"/>
          <w:lang w:val="en-CA" w:eastAsia="en-IE"/>
        </w:rPr>
        <w:t xml:space="preserve">I offer a recent example of a point of deep tension in peace-time international </w:t>
      </w:r>
      <w:r w:rsidR="00537328">
        <w:rPr>
          <w:rFonts w:eastAsia="Times New Roman" w:cs="Times New Roman"/>
          <w:color w:val="000000"/>
          <w:sz w:val="24"/>
          <w:szCs w:val="24"/>
          <w:lang w:val="en-CA" w:eastAsia="en-IE"/>
        </w:rPr>
        <w:t>treaty-making</w:t>
      </w:r>
      <w:r w:rsidRPr="002E6F2A">
        <w:rPr>
          <w:rFonts w:eastAsia="Times New Roman" w:cs="Times New Roman"/>
          <w:color w:val="000000"/>
          <w:sz w:val="24"/>
          <w:szCs w:val="24"/>
          <w:lang w:val="en-CA" w:eastAsia="en-IE"/>
        </w:rPr>
        <w:t xml:space="preserve"> that exemplifies the challenge of </w:t>
      </w:r>
      <w:r w:rsidR="00EF31C0" w:rsidRPr="002E6F2A">
        <w:rPr>
          <w:rFonts w:eastAsia="Times New Roman" w:cs="Times New Roman"/>
          <w:color w:val="000000"/>
          <w:sz w:val="24"/>
          <w:szCs w:val="24"/>
          <w:lang w:val="en-CA" w:eastAsia="en-IE"/>
        </w:rPr>
        <w:t>legally recognising contemporary practices of inter-state c</w:t>
      </w:r>
      <w:r w:rsidRPr="002E6F2A">
        <w:rPr>
          <w:rFonts w:eastAsia="Times New Roman" w:cs="Times New Roman"/>
          <w:color w:val="000000"/>
          <w:sz w:val="24"/>
          <w:szCs w:val="24"/>
          <w:lang w:val="en-CA" w:eastAsia="en-IE"/>
        </w:rPr>
        <w:t xml:space="preserve">oercion through the current </w:t>
      </w:r>
      <w:r w:rsidR="00EF31C0" w:rsidRPr="002E6F2A">
        <w:rPr>
          <w:rFonts w:eastAsia="Times New Roman" w:cs="Times New Roman"/>
          <w:color w:val="000000"/>
          <w:sz w:val="24"/>
          <w:szCs w:val="24"/>
          <w:lang w:val="en-CA" w:eastAsia="en-IE"/>
        </w:rPr>
        <w:t xml:space="preserve">conceptualisation of consent that underpins </w:t>
      </w:r>
      <w:r w:rsidRPr="002E6F2A">
        <w:rPr>
          <w:rFonts w:eastAsia="Times New Roman" w:cs="Times New Roman"/>
          <w:color w:val="000000"/>
          <w:sz w:val="24"/>
          <w:szCs w:val="24"/>
          <w:lang w:val="en-CA" w:eastAsia="en-IE"/>
        </w:rPr>
        <w:t>international law.</w:t>
      </w:r>
      <w:r w:rsidR="00EF31C0" w:rsidRPr="002E6F2A">
        <w:rPr>
          <w:rStyle w:val="FootnoteReference"/>
          <w:rFonts w:eastAsia="Times New Roman" w:cs="Times New Roman"/>
          <w:color w:val="000000"/>
          <w:sz w:val="24"/>
          <w:szCs w:val="24"/>
          <w:lang w:val="en-CA" w:eastAsia="en-IE"/>
        </w:rPr>
        <w:footnoteReference w:id="3"/>
      </w:r>
      <w:r w:rsidRPr="002E6F2A">
        <w:rPr>
          <w:rFonts w:eastAsia="Times New Roman" w:cs="Times New Roman"/>
          <w:color w:val="000000"/>
          <w:sz w:val="24"/>
          <w:szCs w:val="24"/>
          <w:lang w:val="en-CA" w:eastAsia="en-IE"/>
        </w:rPr>
        <w:t xml:space="preserve"> This encounter is </w:t>
      </w:r>
      <w:r w:rsidRPr="002E6F2A">
        <w:rPr>
          <w:rFonts w:eastAsia="Times New Roman" w:cs="Times New Roman"/>
          <w:color w:val="000000"/>
          <w:sz w:val="24"/>
          <w:szCs w:val="24"/>
          <w:lang w:val="en-CA" w:eastAsia="en-IE"/>
        </w:rPr>
        <w:lastRenderedPageBreak/>
        <w:t xml:space="preserve">between the </w:t>
      </w:r>
      <w:r w:rsidR="00EF31C0" w:rsidRPr="002E6F2A">
        <w:rPr>
          <w:rFonts w:eastAsia="Times New Roman" w:cs="Times New Roman"/>
          <w:color w:val="000000"/>
          <w:sz w:val="24"/>
          <w:szCs w:val="24"/>
          <w:lang w:val="en-CA" w:eastAsia="en-IE"/>
        </w:rPr>
        <w:t>European Union</w:t>
      </w:r>
      <w:r w:rsidRPr="002E6F2A">
        <w:rPr>
          <w:rFonts w:eastAsia="Times New Roman" w:cs="Times New Roman"/>
          <w:color w:val="000000"/>
          <w:sz w:val="24"/>
          <w:szCs w:val="24"/>
          <w:lang w:val="en-CA" w:eastAsia="en-IE"/>
        </w:rPr>
        <w:t xml:space="preserve"> </w:t>
      </w:r>
      <w:r w:rsidR="00EF31C0" w:rsidRPr="002E6F2A">
        <w:rPr>
          <w:rFonts w:eastAsia="Times New Roman" w:cs="Times New Roman"/>
          <w:color w:val="000000"/>
          <w:sz w:val="24"/>
          <w:szCs w:val="24"/>
          <w:lang w:val="en-CA" w:eastAsia="en-IE"/>
        </w:rPr>
        <w:t xml:space="preserve">(EU) </w:t>
      </w:r>
      <w:r w:rsidRPr="002E6F2A">
        <w:rPr>
          <w:rFonts w:eastAsia="Times New Roman" w:cs="Times New Roman"/>
          <w:color w:val="000000"/>
          <w:sz w:val="24"/>
          <w:szCs w:val="24"/>
          <w:lang w:val="en-CA" w:eastAsia="en-IE"/>
        </w:rPr>
        <w:t xml:space="preserve">and </w:t>
      </w:r>
      <w:r w:rsidR="00EF31C0" w:rsidRPr="002E6F2A">
        <w:rPr>
          <w:rFonts w:eastAsia="Times New Roman" w:cs="Times New Roman"/>
          <w:color w:val="000000"/>
          <w:sz w:val="24"/>
          <w:szCs w:val="24"/>
          <w:lang w:val="en-CA" w:eastAsia="en-IE"/>
        </w:rPr>
        <w:t xml:space="preserve">certain </w:t>
      </w:r>
      <w:r w:rsidRPr="002E6F2A">
        <w:rPr>
          <w:rFonts w:eastAsia="Times New Roman" w:cs="Times New Roman"/>
          <w:color w:val="000000"/>
          <w:sz w:val="24"/>
          <w:szCs w:val="24"/>
          <w:lang w:val="en-CA" w:eastAsia="en-IE"/>
        </w:rPr>
        <w:t xml:space="preserve">African states and </w:t>
      </w:r>
      <w:r w:rsidR="00EF31C0" w:rsidRPr="002E6F2A">
        <w:rPr>
          <w:rFonts w:eastAsia="Times New Roman" w:cs="Times New Roman"/>
          <w:color w:val="000000"/>
          <w:sz w:val="24"/>
          <w:szCs w:val="24"/>
          <w:lang w:val="en-CA" w:eastAsia="en-IE"/>
        </w:rPr>
        <w:t xml:space="preserve">regional entities, where the EU exerted </w:t>
      </w:r>
      <w:r w:rsidRPr="002E6F2A">
        <w:rPr>
          <w:rFonts w:eastAsia="Times New Roman" w:cs="Times New Roman"/>
          <w:color w:val="000000"/>
          <w:sz w:val="24"/>
          <w:szCs w:val="24"/>
          <w:lang w:val="en-CA" w:eastAsia="en-IE"/>
        </w:rPr>
        <w:t xml:space="preserve">legal and economic pressure to deliver a definitive conclusion to protracted negotiations and agreement on trade.  </w:t>
      </w:r>
      <w:r w:rsidR="00EF31C0" w:rsidRPr="002E6F2A">
        <w:rPr>
          <w:rFonts w:eastAsia="Times New Roman" w:cs="Times New Roman"/>
          <w:color w:val="000000"/>
          <w:sz w:val="24"/>
          <w:szCs w:val="24"/>
          <w:lang w:val="en-CA" w:eastAsia="en-IE"/>
        </w:rPr>
        <w:t>By tracing the origins of this</w:t>
      </w:r>
      <w:r w:rsidRPr="002E6F2A">
        <w:rPr>
          <w:rFonts w:eastAsia="Times New Roman" w:cs="Times New Roman"/>
          <w:color w:val="000000"/>
          <w:sz w:val="24"/>
          <w:szCs w:val="24"/>
          <w:lang w:val="en-CA" w:eastAsia="en-IE"/>
        </w:rPr>
        <w:t xml:space="preserve"> point of tension in colonial history, </w:t>
      </w:r>
      <w:r w:rsidR="00EF31C0" w:rsidRPr="002E6F2A">
        <w:rPr>
          <w:rFonts w:eastAsia="Times New Roman" w:cs="Times New Roman"/>
          <w:color w:val="000000"/>
          <w:sz w:val="24"/>
          <w:szCs w:val="24"/>
          <w:lang w:val="en-CA" w:eastAsia="en-IE"/>
        </w:rPr>
        <w:t>I aim to show how</w:t>
      </w:r>
      <w:r w:rsidRPr="002E6F2A">
        <w:rPr>
          <w:rFonts w:eastAsia="Times New Roman" w:cs="Times New Roman"/>
          <w:color w:val="000000"/>
          <w:sz w:val="24"/>
          <w:szCs w:val="24"/>
          <w:lang w:val="en-CA" w:eastAsia="en-IE"/>
        </w:rPr>
        <w:t xml:space="preserve"> its current manifestation is the result of </w:t>
      </w:r>
      <w:r w:rsidR="00286296" w:rsidRPr="002E6F2A">
        <w:rPr>
          <w:rFonts w:eastAsia="Times New Roman" w:cs="Times New Roman"/>
          <w:color w:val="000000"/>
          <w:sz w:val="24"/>
          <w:szCs w:val="24"/>
          <w:lang w:val="en-CA" w:eastAsia="en-IE"/>
        </w:rPr>
        <w:t xml:space="preserve">legal, </w:t>
      </w:r>
      <w:proofErr w:type="gramStart"/>
      <w:r w:rsidR="00286296" w:rsidRPr="002E6F2A">
        <w:rPr>
          <w:rFonts w:eastAsia="Times New Roman" w:cs="Times New Roman"/>
          <w:color w:val="000000"/>
          <w:sz w:val="24"/>
          <w:szCs w:val="24"/>
          <w:lang w:val="en-CA" w:eastAsia="en-IE"/>
        </w:rPr>
        <w:t>economic</w:t>
      </w:r>
      <w:proofErr w:type="gramEnd"/>
      <w:r w:rsidR="00286296" w:rsidRPr="002E6F2A">
        <w:rPr>
          <w:rFonts w:eastAsia="Times New Roman" w:cs="Times New Roman"/>
          <w:color w:val="000000"/>
          <w:sz w:val="24"/>
          <w:szCs w:val="24"/>
          <w:lang w:val="en-CA" w:eastAsia="en-IE"/>
        </w:rPr>
        <w:t xml:space="preserve"> and political continuities </w:t>
      </w:r>
      <w:r w:rsidRPr="002E6F2A">
        <w:rPr>
          <w:rFonts w:eastAsia="Times New Roman" w:cs="Times New Roman"/>
          <w:color w:val="000000"/>
          <w:sz w:val="24"/>
          <w:szCs w:val="24"/>
          <w:lang w:val="en-CA" w:eastAsia="en-IE"/>
        </w:rPr>
        <w:t xml:space="preserve">across time, across different institutionalised legal spaces at international and regional levels. </w:t>
      </w:r>
      <w:r w:rsidR="00286296" w:rsidRPr="002E6F2A">
        <w:rPr>
          <w:rFonts w:eastAsia="Times New Roman" w:cs="Times New Roman"/>
          <w:color w:val="000000"/>
          <w:sz w:val="24"/>
          <w:szCs w:val="24"/>
          <w:lang w:val="en-CA" w:eastAsia="en-IE"/>
        </w:rPr>
        <w:t xml:space="preserve">Thus, the complex context of EU-ACP relations and its significance to the recent treaty-making practices exhibited by the EU and recalcitrant African and Pacific states, proves difficult to adequately capture through current notion of consent in international law. </w:t>
      </w:r>
    </w:p>
    <w:p w14:paraId="4010EF2C" w14:textId="77777777" w:rsidR="00875A86" w:rsidRDefault="00537328" w:rsidP="00342C56">
      <w:pPr>
        <w:spacing w:line="360" w:lineRule="auto"/>
        <w:rPr>
          <w:rFonts w:eastAsia="Times New Roman" w:cs="Times New Roman"/>
          <w:color w:val="000000"/>
          <w:sz w:val="24"/>
          <w:szCs w:val="24"/>
          <w:lang w:val="en-CA" w:eastAsia="en-IE"/>
        </w:rPr>
      </w:pPr>
      <w:r>
        <w:rPr>
          <w:rFonts w:eastAsia="Times New Roman" w:cs="Times New Roman"/>
          <w:color w:val="000000"/>
          <w:sz w:val="24"/>
          <w:szCs w:val="24"/>
          <w:lang w:val="en-CA" w:eastAsia="en-IE"/>
        </w:rPr>
        <w:t>I</w:t>
      </w:r>
      <w:r w:rsidR="007C657C">
        <w:rPr>
          <w:rFonts w:eastAsia="Times New Roman" w:cs="Times New Roman"/>
          <w:color w:val="000000"/>
          <w:sz w:val="24"/>
          <w:szCs w:val="24"/>
          <w:lang w:val="en-CA" w:eastAsia="en-IE"/>
        </w:rPr>
        <w:t xml:space="preserve">n the third section, </w:t>
      </w:r>
      <w:r w:rsidRPr="002E6F2A">
        <w:rPr>
          <w:rFonts w:eastAsia="Times New Roman" w:cs="Times New Roman"/>
          <w:color w:val="000000"/>
          <w:sz w:val="24"/>
          <w:szCs w:val="24"/>
          <w:lang w:val="en-CA" w:eastAsia="en-IE"/>
        </w:rPr>
        <w:t>I draw from asp</w:t>
      </w:r>
      <w:r>
        <w:rPr>
          <w:rFonts w:eastAsia="Times New Roman" w:cs="Times New Roman"/>
          <w:color w:val="000000"/>
          <w:sz w:val="24"/>
          <w:szCs w:val="24"/>
          <w:lang w:val="en-CA" w:eastAsia="en-IE"/>
        </w:rPr>
        <w:t xml:space="preserve">ects of feminist legal scholarship on the sexed nature of law and of the state in international law </w:t>
      </w:r>
      <w:proofErr w:type="gramStart"/>
      <w:r>
        <w:rPr>
          <w:rFonts w:eastAsia="Times New Roman" w:cs="Times New Roman"/>
          <w:color w:val="000000"/>
          <w:sz w:val="24"/>
          <w:szCs w:val="24"/>
          <w:lang w:val="en-CA" w:eastAsia="en-IE"/>
        </w:rPr>
        <w:t>in order to</w:t>
      </w:r>
      <w:proofErr w:type="gramEnd"/>
      <w:r>
        <w:rPr>
          <w:rFonts w:eastAsia="Times New Roman" w:cs="Times New Roman"/>
          <w:color w:val="000000"/>
          <w:sz w:val="24"/>
          <w:szCs w:val="24"/>
          <w:lang w:val="en-CA" w:eastAsia="en-IE"/>
        </w:rPr>
        <w:t xml:space="preserve"> better reveal</w:t>
      </w:r>
      <w:r w:rsidRPr="002E6F2A">
        <w:rPr>
          <w:rFonts w:eastAsia="Times New Roman" w:cs="Times New Roman"/>
          <w:color w:val="000000"/>
          <w:sz w:val="24"/>
          <w:szCs w:val="24"/>
          <w:lang w:val="en-CA" w:eastAsia="en-IE"/>
        </w:rPr>
        <w:t xml:space="preserve"> </w:t>
      </w:r>
      <w:r w:rsidR="00E53230">
        <w:rPr>
          <w:rFonts w:eastAsia="Times New Roman" w:cs="Times New Roman"/>
          <w:color w:val="000000"/>
          <w:sz w:val="24"/>
          <w:szCs w:val="24"/>
          <w:lang w:val="en-CA" w:eastAsia="en-IE"/>
        </w:rPr>
        <w:t>the strategies of power and exclusion involved in</w:t>
      </w:r>
      <w:r>
        <w:rPr>
          <w:rFonts w:eastAsia="Times New Roman" w:cs="Times New Roman"/>
          <w:color w:val="000000"/>
          <w:sz w:val="24"/>
          <w:szCs w:val="24"/>
          <w:lang w:val="en-CA" w:eastAsia="en-IE"/>
        </w:rPr>
        <w:t xml:space="preserve"> treaty-making under the VCLT. </w:t>
      </w:r>
      <w:r w:rsidR="00E53230">
        <w:rPr>
          <w:rFonts w:eastAsia="Times New Roman" w:cs="Times New Roman"/>
          <w:color w:val="000000"/>
          <w:sz w:val="24"/>
          <w:szCs w:val="24"/>
          <w:lang w:val="en-CA" w:eastAsia="en-IE"/>
        </w:rPr>
        <w:t>By ‘sexing’ consent under the VCLT – by this I mean revealing the masculine/feminine dichotomy underpinning concepts</w:t>
      </w:r>
      <w:r w:rsidR="00875A86">
        <w:rPr>
          <w:rFonts w:eastAsia="Times New Roman" w:cs="Times New Roman"/>
          <w:color w:val="000000"/>
          <w:sz w:val="24"/>
          <w:szCs w:val="24"/>
          <w:lang w:val="en-CA" w:eastAsia="en-IE"/>
        </w:rPr>
        <w:t xml:space="preserve">, </w:t>
      </w:r>
      <w:proofErr w:type="gramStart"/>
      <w:r w:rsidR="00875A86">
        <w:rPr>
          <w:rFonts w:eastAsia="Times New Roman" w:cs="Times New Roman"/>
          <w:color w:val="000000"/>
          <w:sz w:val="24"/>
          <w:szCs w:val="24"/>
          <w:lang w:val="en-CA" w:eastAsia="en-IE"/>
        </w:rPr>
        <w:t>techniques</w:t>
      </w:r>
      <w:proofErr w:type="gramEnd"/>
      <w:r w:rsidR="00E53230">
        <w:rPr>
          <w:rFonts w:eastAsia="Times New Roman" w:cs="Times New Roman"/>
          <w:color w:val="000000"/>
          <w:sz w:val="24"/>
          <w:szCs w:val="24"/>
          <w:lang w:val="en-CA" w:eastAsia="en-IE"/>
        </w:rPr>
        <w:t xml:space="preserve"> and rationales in the VCLT – I aim to show how a sensibility towards sexual differentiation can profoundly deepen critical inquiry and focus on spaces and sites within law that merit further</w:t>
      </w:r>
      <w:r w:rsidR="009870FB">
        <w:rPr>
          <w:rFonts w:eastAsia="Times New Roman" w:cs="Times New Roman"/>
          <w:color w:val="000000"/>
          <w:sz w:val="24"/>
          <w:szCs w:val="24"/>
          <w:lang w:val="en-CA" w:eastAsia="en-IE"/>
        </w:rPr>
        <w:t xml:space="preserve"> feminist theorising and analysis. Three aspects of treaty-making practices under the VCLT are highlighted – the reliance on use of force or threats of force against a </w:t>
      </w:r>
      <w:proofErr w:type="gramStart"/>
      <w:r w:rsidR="009870FB">
        <w:rPr>
          <w:rFonts w:eastAsia="Times New Roman" w:cs="Times New Roman"/>
          <w:color w:val="000000"/>
          <w:sz w:val="24"/>
          <w:szCs w:val="24"/>
          <w:lang w:val="en-CA" w:eastAsia="en-IE"/>
        </w:rPr>
        <w:t>state;</w:t>
      </w:r>
      <w:proofErr w:type="gramEnd"/>
      <w:r w:rsidR="009870FB">
        <w:rPr>
          <w:rFonts w:eastAsia="Times New Roman" w:cs="Times New Roman"/>
          <w:color w:val="000000"/>
          <w:sz w:val="24"/>
          <w:szCs w:val="24"/>
          <w:lang w:val="en-CA" w:eastAsia="en-IE"/>
        </w:rPr>
        <w:t xml:space="preserve"> the legal reconfiguration of relations between states against their will, and the sheer dominance of the particular legal form and rationality of international trade law, over other forms</w:t>
      </w:r>
      <w:r w:rsidR="00875A86">
        <w:rPr>
          <w:rFonts w:eastAsia="Times New Roman" w:cs="Times New Roman"/>
          <w:color w:val="000000"/>
          <w:sz w:val="24"/>
          <w:szCs w:val="24"/>
          <w:lang w:val="en-CA" w:eastAsia="en-IE"/>
        </w:rPr>
        <w:t xml:space="preserve"> and rationalities</w:t>
      </w:r>
      <w:r w:rsidR="009870FB">
        <w:rPr>
          <w:rFonts w:eastAsia="Times New Roman" w:cs="Times New Roman"/>
          <w:color w:val="000000"/>
          <w:sz w:val="24"/>
          <w:szCs w:val="24"/>
          <w:lang w:val="en-CA" w:eastAsia="en-IE"/>
        </w:rPr>
        <w:t xml:space="preserve"> permissible within international law. </w:t>
      </w:r>
    </w:p>
    <w:p w14:paraId="4010EF2D" w14:textId="77777777" w:rsidR="00FE4EF2" w:rsidRDefault="00FE4EF2" w:rsidP="00342C56">
      <w:pPr>
        <w:spacing w:line="360" w:lineRule="auto"/>
        <w:rPr>
          <w:rFonts w:eastAsia="Times New Roman" w:cs="Times New Roman"/>
          <w:color w:val="000000"/>
          <w:sz w:val="24"/>
          <w:szCs w:val="24"/>
          <w:lang w:val="en-CA" w:eastAsia="en-IE"/>
        </w:rPr>
      </w:pPr>
      <w:r>
        <w:rPr>
          <w:rFonts w:eastAsia="Times New Roman" w:cs="Times New Roman"/>
          <w:color w:val="000000"/>
          <w:sz w:val="24"/>
          <w:szCs w:val="24"/>
          <w:lang w:val="en-CA" w:eastAsia="en-IE"/>
        </w:rPr>
        <w:t xml:space="preserve">In the concluding section, I offer reflections on the unique contribution that feminist perspectives on international law can make to the identification and analysis of the ongoing legalisation of exploitative international relations. </w:t>
      </w:r>
    </w:p>
    <w:p w14:paraId="4010EF2E" w14:textId="77777777" w:rsidR="00FE4EF2" w:rsidRPr="00FE4EF2" w:rsidRDefault="00FE4EF2" w:rsidP="00FE4EF2">
      <w:pPr>
        <w:pStyle w:val="ListParagraph"/>
        <w:numPr>
          <w:ilvl w:val="0"/>
          <w:numId w:val="10"/>
        </w:numPr>
        <w:spacing w:line="360" w:lineRule="auto"/>
        <w:rPr>
          <w:b/>
          <w:sz w:val="24"/>
          <w:szCs w:val="24"/>
        </w:rPr>
      </w:pPr>
      <w:r w:rsidRPr="00FE4EF2">
        <w:rPr>
          <w:b/>
          <w:sz w:val="24"/>
          <w:szCs w:val="24"/>
        </w:rPr>
        <w:t>The concept of consent in international law</w:t>
      </w:r>
    </w:p>
    <w:p w14:paraId="4010EF2F" w14:textId="77777777" w:rsidR="00FE4EF2" w:rsidRPr="002E6F2A" w:rsidRDefault="00FE4EF2" w:rsidP="00FE4EF2">
      <w:pPr>
        <w:spacing w:line="360" w:lineRule="auto"/>
        <w:rPr>
          <w:sz w:val="24"/>
          <w:szCs w:val="24"/>
        </w:rPr>
      </w:pPr>
      <w:r w:rsidRPr="002E6F2A">
        <w:rPr>
          <w:sz w:val="24"/>
          <w:szCs w:val="24"/>
        </w:rPr>
        <w:t xml:space="preserve">The principle of consent is widely recognised to be one of the foundational principles of international law, central to its authority, legitimacy, </w:t>
      </w:r>
      <w:proofErr w:type="gramStart"/>
      <w:r w:rsidRPr="002E6F2A">
        <w:rPr>
          <w:sz w:val="24"/>
          <w:szCs w:val="24"/>
        </w:rPr>
        <w:t>validity</w:t>
      </w:r>
      <w:proofErr w:type="gramEnd"/>
      <w:r w:rsidRPr="002E6F2A">
        <w:rPr>
          <w:sz w:val="24"/>
          <w:szCs w:val="24"/>
        </w:rPr>
        <w:t xml:space="preserve"> and </w:t>
      </w:r>
      <w:r>
        <w:rPr>
          <w:sz w:val="24"/>
          <w:szCs w:val="24"/>
        </w:rPr>
        <w:t xml:space="preserve">its role in </w:t>
      </w:r>
      <w:r w:rsidRPr="002E6F2A">
        <w:rPr>
          <w:sz w:val="24"/>
          <w:szCs w:val="24"/>
        </w:rPr>
        <w:t xml:space="preserve">the wider international order. </w:t>
      </w:r>
      <w:r w:rsidRPr="002E6F2A">
        <w:rPr>
          <w:rStyle w:val="FootnoteReference"/>
          <w:sz w:val="24"/>
          <w:szCs w:val="24"/>
        </w:rPr>
        <w:footnoteReference w:id="4"/>
      </w:r>
      <w:r w:rsidRPr="002E6F2A">
        <w:rPr>
          <w:sz w:val="24"/>
          <w:szCs w:val="24"/>
        </w:rPr>
        <w:t xml:space="preserve"> International law is generally acknowledged to be ‘based on’ the </w:t>
      </w:r>
      <w:r w:rsidRPr="002E6F2A">
        <w:rPr>
          <w:sz w:val="24"/>
          <w:szCs w:val="24"/>
        </w:rPr>
        <w:lastRenderedPageBreak/>
        <w:t>concept of consent.</w:t>
      </w:r>
      <w:r w:rsidRPr="002E6F2A">
        <w:rPr>
          <w:rStyle w:val="FootnoteReference"/>
          <w:sz w:val="24"/>
          <w:szCs w:val="24"/>
        </w:rPr>
        <w:footnoteReference w:id="5"/>
      </w:r>
      <w:r w:rsidRPr="002E6F2A">
        <w:rPr>
          <w:sz w:val="24"/>
          <w:szCs w:val="24"/>
        </w:rPr>
        <w:t xml:space="preserve"> In contemporary international law, the recognisable methods of expression of consent are articulated in Articles 11-17 in the 1969 Vienna Conventio</w:t>
      </w:r>
      <w:r>
        <w:rPr>
          <w:sz w:val="24"/>
          <w:szCs w:val="24"/>
        </w:rPr>
        <w:t>n on the Law of Treaties (VCLT).</w:t>
      </w:r>
      <w:r w:rsidRPr="002E6F2A">
        <w:rPr>
          <w:sz w:val="24"/>
          <w:szCs w:val="24"/>
        </w:rPr>
        <w:t xml:space="preserve"> </w:t>
      </w:r>
    </w:p>
    <w:p w14:paraId="4010EF30" w14:textId="77777777" w:rsidR="00FE4EF2" w:rsidRPr="002E6F2A" w:rsidRDefault="00FE4EF2" w:rsidP="00FE4EF2">
      <w:pPr>
        <w:spacing w:line="360" w:lineRule="auto"/>
        <w:rPr>
          <w:sz w:val="24"/>
          <w:szCs w:val="24"/>
        </w:rPr>
      </w:pPr>
      <w:r w:rsidRPr="002E6F2A">
        <w:rPr>
          <w:sz w:val="24"/>
          <w:szCs w:val="24"/>
        </w:rPr>
        <w:t xml:space="preserve">Article 11 of the VCLT addresses </w:t>
      </w:r>
      <w:proofErr w:type="gramStart"/>
      <w:r w:rsidRPr="002E6F2A">
        <w:rPr>
          <w:sz w:val="24"/>
          <w:szCs w:val="24"/>
        </w:rPr>
        <w:t>the means by which</w:t>
      </w:r>
      <w:proofErr w:type="gramEnd"/>
      <w:r w:rsidRPr="002E6F2A">
        <w:rPr>
          <w:sz w:val="24"/>
          <w:szCs w:val="24"/>
        </w:rPr>
        <w:t xml:space="preserve"> a state expresses consent to be bound by a treaty – by signature, exchange of instrument constituting a treaty, ratification, acceptance, approval or accession, ‘or by any other means if so agreed’. </w:t>
      </w:r>
      <w:r w:rsidRPr="002E6F2A">
        <w:rPr>
          <w:rStyle w:val="FootnoteReference"/>
          <w:sz w:val="24"/>
          <w:szCs w:val="24"/>
        </w:rPr>
        <w:footnoteReference w:id="6"/>
      </w:r>
      <w:r w:rsidRPr="002E6F2A">
        <w:rPr>
          <w:sz w:val="24"/>
          <w:szCs w:val="24"/>
        </w:rPr>
        <w:t xml:space="preserve"> It is clear from the details of Articles 11-17, that the concept of consent implied is one in which actions (signature, exchange, approval etc.) are assumed to express the clear and unambiguous intention of the state.</w:t>
      </w:r>
      <w:r w:rsidRPr="002E6F2A">
        <w:rPr>
          <w:rStyle w:val="FootnoteReference"/>
          <w:sz w:val="24"/>
          <w:szCs w:val="24"/>
        </w:rPr>
        <w:footnoteReference w:id="7"/>
      </w:r>
    </w:p>
    <w:p w14:paraId="4010EF31" w14:textId="77777777" w:rsidR="00FE4EF2" w:rsidRPr="002E6F2A" w:rsidRDefault="00FE4EF2" w:rsidP="00FE4EF2">
      <w:pPr>
        <w:spacing w:line="360" w:lineRule="auto"/>
        <w:rPr>
          <w:sz w:val="24"/>
          <w:szCs w:val="24"/>
        </w:rPr>
      </w:pPr>
      <w:r w:rsidRPr="002E6F2A">
        <w:rPr>
          <w:sz w:val="24"/>
          <w:szCs w:val="24"/>
        </w:rPr>
        <w:t xml:space="preserve">But how does the VCLT view differences between states that may manifest as inequalities of power and possibly affect the freedom of </w:t>
      </w:r>
      <w:r>
        <w:rPr>
          <w:sz w:val="24"/>
          <w:szCs w:val="24"/>
        </w:rPr>
        <w:t>less powerful</w:t>
      </w:r>
      <w:r w:rsidRPr="002E6F2A">
        <w:rPr>
          <w:sz w:val="24"/>
          <w:szCs w:val="24"/>
        </w:rPr>
        <w:t xml:space="preserve"> states to consent to be bound by a treaty? Article 52 notes that if a treaty has been ‘procured’ by the threat or use of force ‘in violation of the principles of international law embodied in the Charter of the United Nations’,</w:t>
      </w:r>
      <w:r w:rsidRPr="002E6F2A">
        <w:rPr>
          <w:rStyle w:val="FootnoteReference"/>
          <w:sz w:val="24"/>
          <w:szCs w:val="24"/>
        </w:rPr>
        <w:footnoteReference w:id="8"/>
      </w:r>
      <w:r w:rsidRPr="002E6F2A">
        <w:rPr>
          <w:sz w:val="24"/>
          <w:szCs w:val="24"/>
        </w:rPr>
        <w:t xml:space="preserve"> then the treaty is ‘void’. Similarly, if a state’s expression of consent to be bound by a treaty has been ‘procured by the coercion of its representative through acts of threats directed against him’, this expression ‘shall be without any legal effect.’</w:t>
      </w:r>
      <w:r w:rsidRPr="002E6F2A">
        <w:rPr>
          <w:rStyle w:val="FootnoteReference"/>
          <w:sz w:val="24"/>
          <w:szCs w:val="24"/>
        </w:rPr>
        <w:footnoteReference w:id="9"/>
      </w:r>
      <w:r w:rsidRPr="002E6F2A">
        <w:rPr>
          <w:sz w:val="24"/>
          <w:szCs w:val="24"/>
        </w:rPr>
        <w:t xml:space="preserve"> The ideas of ‘threat’ and ‘use of force’ here in the VCLT limit the meaning of those terms to only those forms that are ‘in violation of the principles of international law.’ In other words, only those forms of threat and force currently already recognised by international law </w:t>
      </w:r>
      <w:r w:rsidRPr="002E6F2A">
        <w:rPr>
          <w:i/>
          <w:sz w:val="24"/>
          <w:szCs w:val="24"/>
        </w:rPr>
        <w:t>as such</w:t>
      </w:r>
      <w:r w:rsidRPr="002E6F2A">
        <w:rPr>
          <w:sz w:val="24"/>
          <w:szCs w:val="24"/>
        </w:rPr>
        <w:t xml:space="preserve">, will be the basis of a determination of coercion of a state, potentially resulting in the voiding of the treaty in question. </w:t>
      </w:r>
      <w:r>
        <w:rPr>
          <w:sz w:val="24"/>
          <w:szCs w:val="24"/>
        </w:rPr>
        <w:t>Peters notes that reference to the Charter implies that ‘f</w:t>
      </w:r>
      <w:r w:rsidR="004C7951">
        <w:rPr>
          <w:sz w:val="24"/>
          <w:szCs w:val="24"/>
        </w:rPr>
        <w:t xml:space="preserve">orce’ means only </w:t>
      </w:r>
      <w:r w:rsidR="004C7951">
        <w:rPr>
          <w:sz w:val="24"/>
          <w:szCs w:val="24"/>
        </w:rPr>
        <w:lastRenderedPageBreak/>
        <w:t>military force. T</w:t>
      </w:r>
      <w:r>
        <w:rPr>
          <w:sz w:val="24"/>
          <w:szCs w:val="24"/>
        </w:rPr>
        <w:t>he limited scope of that term was controversial during the drafting process, with some African and socialist states arguing for the inclusion of a prohibition on economic and political pressure.</w:t>
      </w:r>
      <w:r>
        <w:rPr>
          <w:rStyle w:val="FootnoteReference"/>
          <w:sz w:val="24"/>
          <w:szCs w:val="24"/>
        </w:rPr>
        <w:footnoteReference w:id="10"/>
      </w:r>
      <w:r>
        <w:rPr>
          <w:sz w:val="24"/>
          <w:szCs w:val="24"/>
        </w:rPr>
        <w:t xml:space="preserve"> Though an additional declaration was </w:t>
      </w:r>
      <w:r w:rsidR="00875A86">
        <w:rPr>
          <w:sz w:val="24"/>
          <w:szCs w:val="24"/>
        </w:rPr>
        <w:t xml:space="preserve">subsequently </w:t>
      </w:r>
      <w:r>
        <w:rPr>
          <w:sz w:val="24"/>
          <w:szCs w:val="24"/>
        </w:rPr>
        <w:t>added to the VCLT that ‘condemns the threat or use of pressure in any form, whether military, political, or economic, by any State in order to coerce another State to perform any act relating to the conclusion of a treaty in violation of the principles of sovereign equality of States and freedom of consent,’</w:t>
      </w:r>
      <w:r>
        <w:rPr>
          <w:rStyle w:val="FootnoteReference"/>
          <w:sz w:val="24"/>
          <w:szCs w:val="24"/>
        </w:rPr>
        <w:footnoteReference w:id="11"/>
      </w:r>
      <w:r>
        <w:rPr>
          <w:sz w:val="24"/>
          <w:szCs w:val="24"/>
        </w:rPr>
        <w:t xml:space="preserve"> no clause was added that </w:t>
      </w:r>
      <w:r w:rsidR="00875A86">
        <w:rPr>
          <w:sz w:val="24"/>
          <w:szCs w:val="24"/>
        </w:rPr>
        <w:t>further elaborated on the concept of ‘freedom of consent’ such that the kinds of political or economic coercion that would nullify a treaty could be identified</w:t>
      </w:r>
      <w:r>
        <w:rPr>
          <w:sz w:val="24"/>
          <w:szCs w:val="24"/>
        </w:rPr>
        <w:t xml:space="preserve">. </w:t>
      </w:r>
    </w:p>
    <w:p w14:paraId="4010EF32" w14:textId="77777777" w:rsidR="00FE4EF2" w:rsidRDefault="00FE4EF2" w:rsidP="00FE4EF2">
      <w:pPr>
        <w:spacing w:line="360" w:lineRule="auto"/>
        <w:rPr>
          <w:sz w:val="24"/>
          <w:szCs w:val="24"/>
        </w:rPr>
      </w:pPr>
      <w:r>
        <w:rPr>
          <w:sz w:val="24"/>
          <w:szCs w:val="24"/>
        </w:rPr>
        <w:t xml:space="preserve">Maria Drakopoulou makes the point that </w:t>
      </w:r>
      <w:r w:rsidR="00A937C4">
        <w:rPr>
          <w:sz w:val="24"/>
          <w:szCs w:val="24"/>
        </w:rPr>
        <w:t xml:space="preserve">though </w:t>
      </w:r>
      <w:r>
        <w:rPr>
          <w:sz w:val="24"/>
          <w:szCs w:val="24"/>
        </w:rPr>
        <w:t>the ‘founding of law’s jurisdiction always announces a discontinuity with, and rejection of, the past. Yet, despite this demarcation, it</w:t>
      </w:r>
      <w:r w:rsidRPr="00E7228D">
        <w:rPr>
          <w:sz w:val="24"/>
          <w:szCs w:val="24"/>
        </w:rPr>
        <w:t xml:space="preserve"> </w:t>
      </w:r>
      <w:r>
        <w:rPr>
          <w:sz w:val="24"/>
          <w:szCs w:val="24"/>
        </w:rPr>
        <w:t>remains closely linked with this past (because) the axiom of non-law (or corrupt law) founds the new law’s jurisdiction.’</w:t>
      </w:r>
      <w:r>
        <w:rPr>
          <w:rStyle w:val="FootnoteReference"/>
          <w:sz w:val="24"/>
          <w:szCs w:val="24"/>
        </w:rPr>
        <w:footnoteReference w:id="12"/>
      </w:r>
      <w:r>
        <w:rPr>
          <w:sz w:val="24"/>
          <w:szCs w:val="24"/>
        </w:rPr>
        <w:t xml:space="preserve"> In this context, we can see that, against a former international legal order that enabled and legitimised a colonial order based on a denial of sovereign statehood and legal personality to people and territories of the Orient, the VCLT is established as the legal code through which international treaties will be developed into the future. In this ‘new’ order, the VCLT for the first time, brings into being an idea of coercion </w:t>
      </w:r>
      <w:r w:rsidR="003F3AF3">
        <w:rPr>
          <w:sz w:val="24"/>
          <w:szCs w:val="24"/>
        </w:rPr>
        <w:t>base</w:t>
      </w:r>
      <w:r w:rsidR="00A119E3">
        <w:rPr>
          <w:sz w:val="24"/>
          <w:szCs w:val="24"/>
        </w:rPr>
        <w:t>d only on military intervention</w:t>
      </w:r>
      <w:r w:rsidR="003F3AF3">
        <w:rPr>
          <w:sz w:val="24"/>
          <w:szCs w:val="24"/>
        </w:rPr>
        <w:t xml:space="preserve"> </w:t>
      </w:r>
      <w:r>
        <w:rPr>
          <w:sz w:val="24"/>
          <w:szCs w:val="24"/>
        </w:rPr>
        <w:t xml:space="preserve">which invalidates treaties that have been consented to under that </w:t>
      </w:r>
      <w:r w:rsidR="00A119E3">
        <w:rPr>
          <w:sz w:val="24"/>
          <w:szCs w:val="24"/>
        </w:rPr>
        <w:t>rubric</w:t>
      </w:r>
      <w:r>
        <w:rPr>
          <w:sz w:val="24"/>
          <w:szCs w:val="24"/>
        </w:rPr>
        <w:t>. However,</w:t>
      </w:r>
      <w:r w:rsidR="00875A86">
        <w:rPr>
          <w:sz w:val="24"/>
          <w:szCs w:val="24"/>
        </w:rPr>
        <w:t xml:space="preserve"> by focusing on military coercion only, </w:t>
      </w:r>
      <w:r w:rsidR="003F3AF3">
        <w:rPr>
          <w:sz w:val="24"/>
          <w:szCs w:val="24"/>
        </w:rPr>
        <w:t>this</w:t>
      </w:r>
      <w:r>
        <w:rPr>
          <w:sz w:val="24"/>
          <w:szCs w:val="24"/>
        </w:rPr>
        <w:t xml:space="preserve"> </w:t>
      </w:r>
      <w:proofErr w:type="gramStart"/>
      <w:r>
        <w:rPr>
          <w:sz w:val="24"/>
          <w:szCs w:val="24"/>
        </w:rPr>
        <w:t>particular articulation</w:t>
      </w:r>
      <w:proofErr w:type="gramEnd"/>
      <w:r>
        <w:rPr>
          <w:sz w:val="24"/>
          <w:szCs w:val="24"/>
        </w:rPr>
        <w:t xml:space="preserve"> of coercion actually institutionalises and legitimises centuries-old modes of </w:t>
      </w:r>
      <w:r w:rsidR="00875A86">
        <w:rPr>
          <w:sz w:val="24"/>
          <w:szCs w:val="24"/>
        </w:rPr>
        <w:t xml:space="preserve">economic and political </w:t>
      </w:r>
      <w:r>
        <w:rPr>
          <w:sz w:val="24"/>
          <w:szCs w:val="24"/>
        </w:rPr>
        <w:t xml:space="preserve">power and domination utilised by colonial powers to progress their relations in areas such as free trade brought about through political and economic coercion.  </w:t>
      </w:r>
      <w:r w:rsidR="00875A86">
        <w:rPr>
          <w:sz w:val="24"/>
          <w:szCs w:val="24"/>
        </w:rPr>
        <w:t>Thus, t</w:t>
      </w:r>
      <w:r>
        <w:rPr>
          <w:sz w:val="24"/>
          <w:szCs w:val="24"/>
        </w:rPr>
        <w:t xml:space="preserve">hese modes of non-military coercive power in international treaty-making are placed beyond the legal lens of the VCLT and can continue unchallenged. </w:t>
      </w:r>
      <w:r w:rsidR="00A119E3">
        <w:rPr>
          <w:rStyle w:val="FootnoteReference"/>
          <w:sz w:val="24"/>
          <w:szCs w:val="24"/>
        </w:rPr>
        <w:footnoteReference w:id="13"/>
      </w:r>
    </w:p>
    <w:p w14:paraId="4010EF33" w14:textId="77777777" w:rsidR="00FE4EF2" w:rsidRDefault="00A119E3" w:rsidP="00FE4EF2">
      <w:pPr>
        <w:spacing w:line="360" w:lineRule="auto"/>
        <w:rPr>
          <w:sz w:val="24"/>
          <w:szCs w:val="24"/>
        </w:rPr>
      </w:pPr>
      <w:r>
        <w:rPr>
          <w:sz w:val="24"/>
          <w:szCs w:val="24"/>
        </w:rPr>
        <w:t xml:space="preserve">However, the VCLT also legalised other implicit ideas about the state and international relations. </w:t>
      </w:r>
      <w:r w:rsidR="00FE4EF2">
        <w:rPr>
          <w:sz w:val="24"/>
          <w:szCs w:val="24"/>
        </w:rPr>
        <w:t xml:space="preserve">The </w:t>
      </w:r>
      <w:r w:rsidR="003F3AF3">
        <w:rPr>
          <w:sz w:val="24"/>
          <w:szCs w:val="24"/>
        </w:rPr>
        <w:t xml:space="preserve">recognition of </w:t>
      </w:r>
      <w:r w:rsidR="00A937C4">
        <w:rPr>
          <w:sz w:val="24"/>
          <w:szCs w:val="24"/>
        </w:rPr>
        <w:t xml:space="preserve">only </w:t>
      </w:r>
      <w:r w:rsidR="003F3AF3">
        <w:rPr>
          <w:sz w:val="24"/>
          <w:szCs w:val="24"/>
        </w:rPr>
        <w:t xml:space="preserve">military incursion as </w:t>
      </w:r>
      <w:r>
        <w:rPr>
          <w:sz w:val="24"/>
          <w:szCs w:val="24"/>
        </w:rPr>
        <w:t>invalidating</w:t>
      </w:r>
      <w:r w:rsidR="003F3AF3">
        <w:rPr>
          <w:sz w:val="24"/>
          <w:szCs w:val="24"/>
        </w:rPr>
        <w:t xml:space="preserve"> state consent reveals that the </w:t>
      </w:r>
      <w:r>
        <w:rPr>
          <w:sz w:val="24"/>
          <w:szCs w:val="24"/>
        </w:rPr>
        <w:t>VCLT also institutionalised</w:t>
      </w:r>
      <w:r w:rsidR="00FE4EF2">
        <w:rPr>
          <w:sz w:val="24"/>
          <w:szCs w:val="24"/>
        </w:rPr>
        <w:t xml:space="preserve"> a very limited idea of sovereignty </w:t>
      </w:r>
      <w:r>
        <w:rPr>
          <w:sz w:val="24"/>
          <w:szCs w:val="24"/>
        </w:rPr>
        <w:t xml:space="preserve">solely </w:t>
      </w:r>
      <w:r w:rsidR="00FE4EF2">
        <w:rPr>
          <w:sz w:val="24"/>
          <w:szCs w:val="24"/>
        </w:rPr>
        <w:t xml:space="preserve">bound up with the </w:t>
      </w:r>
      <w:r w:rsidR="00FE4EF2">
        <w:rPr>
          <w:sz w:val="24"/>
          <w:szCs w:val="24"/>
        </w:rPr>
        <w:lastRenderedPageBreak/>
        <w:t>physical integrity of its territorial boundaries</w:t>
      </w:r>
      <w:r w:rsidR="003F3AF3">
        <w:rPr>
          <w:sz w:val="24"/>
          <w:szCs w:val="24"/>
        </w:rPr>
        <w:t>. The idea that s</w:t>
      </w:r>
      <w:r w:rsidR="00FE4EF2">
        <w:rPr>
          <w:sz w:val="24"/>
          <w:szCs w:val="24"/>
        </w:rPr>
        <w:t xml:space="preserve">overeignty </w:t>
      </w:r>
      <w:r w:rsidR="003F3AF3">
        <w:rPr>
          <w:sz w:val="24"/>
          <w:szCs w:val="24"/>
        </w:rPr>
        <w:t xml:space="preserve">may include autonomy in other aspects of statehood </w:t>
      </w:r>
      <w:r w:rsidR="00FE4EF2">
        <w:rPr>
          <w:sz w:val="24"/>
          <w:szCs w:val="24"/>
        </w:rPr>
        <w:t xml:space="preserve">such as economic decision-making, is excluded from consideration. </w:t>
      </w:r>
      <w:r w:rsidR="00FE4EF2">
        <w:rPr>
          <w:rStyle w:val="FootnoteReference"/>
          <w:sz w:val="24"/>
          <w:szCs w:val="24"/>
        </w:rPr>
        <w:footnoteReference w:id="14"/>
      </w:r>
      <w:r w:rsidR="00FE4EF2">
        <w:rPr>
          <w:sz w:val="24"/>
          <w:szCs w:val="24"/>
        </w:rPr>
        <w:t xml:space="preserve"> </w:t>
      </w:r>
      <w:r w:rsidR="003F3AF3">
        <w:rPr>
          <w:sz w:val="24"/>
          <w:szCs w:val="24"/>
        </w:rPr>
        <w:t xml:space="preserve">Similarly, the idea of the state is a singular one, </w:t>
      </w:r>
      <w:r w:rsidR="003F3AF3" w:rsidRPr="002E6F2A">
        <w:rPr>
          <w:sz w:val="24"/>
          <w:szCs w:val="24"/>
        </w:rPr>
        <w:t>devoid of internal features and interests.</w:t>
      </w:r>
      <w:r w:rsidR="003F3AF3">
        <w:rPr>
          <w:sz w:val="24"/>
          <w:szCs w:val="24"/>
        </w:rPr>
        <w:t xml:space="preserve">  Thus, the needs of </w:t>
      </w:r>
      <w:proofErr w:type="gramStart"/>
      <w:r w:rsidR="003F3AF3">
        <w:rPr>
          <w:sz w:val="24"/>
          <w:szCs w:val="24"/>
        </w:rPr>
        <w:t>particular groups</w:t>
      </w:r>
      <w:proofErr w:type="gramEnd"/>
      <w:r w:rsidR="003F3AF3">
        <w:rPr>
          <w:sz w:val="24"/>
          <w:szCs w:val="24"/>
        </w:rPr>
        <w:t xml:space="preserve"> within the state, such as minorities or women remain invisible. The VCLT</w:t>
      </w:r>
      <w:r w:rsidR="00FE4EF2">
        <w:rPr>
          <w:sz w:val="24"/>
          <w:szCs w:val="24"/>
        </w:rPr>
        <w:t xml:space="preserve"> </w:t>
      </w:r>
      <w:r w:rsidR="003F3AF3">
        <w:rPr>
          <w:sz w:val="24"/>
          <w:szCs w:val="24"/>
        </w:rPr>
        <w:t xml:space="preserve">also presents </w:t>
      </w:r>
      <w:proofErr w:type="gramStart"/>
      <w:r w:rsidR="003F3AF3">
        <w:rPr>
          <w:sz w:val="24"/>
          <w:szCs w:val="24"/>
        </w:rPr>
        <w:t>a very unique</w:t>
      </w:r>
      <w:proofErr w:type="gramEnd"/>
      <w:r w:rsidR="003F3AF3">
        <w:rPr>
          <w:sz w:val="24"/>
          <w:szCs w:val="24"/>
        </w:rPr>
        <w:t xml:space="preserve"> temporal order</w:t>
      </w:r>
      <w:r w:rsidR="008974C3">
        <w:rPr>
          <w:sz w:val="24"/>
          <w:szCs w:val="24"/>
        </w:rPr>
        <w:t xml:space="preserve">, one focused on the future, not one cognizant of the cumulative effects of </w:t>
      </w:r>
      <w:r w:rsidR="00FE4EF2" w:rsidRPr="002E6F2A">
        <w:rPr>
          <w:sz w:val="24"/>
          <w:szCs w:val="24"/>
        </w:rPr>
        <w:t>a history of unequal relations</w:t>
      </w:r>
      <w:r w:rsidR="006F71C4">
        <w:rPr>
          <w:sz w:val="24"/>
          <w:szCs w:val="24"/>
        </w:rPr>
        <w:t xml:space="preserve"> through colonisation</w:t>
      </w:r>
      <w:r w:rsidR="00FE4EF2" w:rsidRPr="002E6F2A">
        <w:rPr>
          <w:sz w:val="24"/>
          <w:szCs w:val="24"/>
        </w:rPr>
        <w:t xml:space="preserve">. </w:t>
      </w:r>
      <w:r w:rsidR="006F71C4">
        <w:rPr>
          <w:sz w:val="24"/>
          <w:szCs w:val="24"/>
        </w:rPr>
        <w:t>In a similar way, it also excludes</w:t>
      </w:r>
      <w:r w:rsidR="00FE4EF2" w:rsidRPr="002E6F2A">
        <w:rPr>
          <w:sz w:val="24"/>
          <w:szCs w:val="24"/>
        </w:rPr>
        <w:t xml:space="preserve"> from consideration the possibility of coercion </w:t>
      </w:r>
      <w:r w:rsidR="006F71C4">
        <w:rPr>
          <w:sz w:val="24"/>
          <w:szCs w:val="24"/>
        </w:rPr>
        <w:t>of a state or a smaller bloc of states, by</w:t>
      </w:r>
      <w:r w:rsidR="00FE4EF2" w:rsidRPr="002E6F2A">
        <w:rPr>
          <w:sz w:val="24"/>
          <w:szCs w:val="24"/>
        </w:rPr>
        <w:t xml:space="preserve"> </w:t>
      </w:r>
      <w:r w:rsidR="006F71C4">
        <w:rPr>
          <w:sz w:val="24"/>
          <w:szCs w:val="24"/>
        </w:rPr>
        <w:t>a larger bloc of states; or coercion that may target</w:t>
      </w:r>
      <w:r w:rsidR="00FE4EF2" w:rsidRPr="002E6F2A">
        <w:rPr>
          <w:sz w:val="24"/>
          <w:szCs w:val="24"/>
        </w:rPr>
        <w:t xml:space="preserve"> </w:t>
      </w:r>
      <w:r w:rsidR="006F71C4">
        <w:rPr>
          <w:sz w:val="24"/>
          <w:szCs w:val="24"/>
        </w:rPr>
        <w:t>specific</w:t>
      </w:r>
      <w:r w:rsidR="00FE4EF2" w:rsidRPr="002E6F2A">
        <w:rPr>
          <w:sz w:val="24"/>
          <w:szCs w:val="24"/>
        </w:rPr>
        <w:t xml:space="preserve"> </w:t>
      </w:r>
      <w:r w:rsidR="006F71C4">
        <w:rPr>
          <w:sz w:val="24"/>
          <w:szCs w:val="24"/>
        </w:rPr>
        <w:t>policy areas</w:t>
      </w:r>
      <w:r w:rsidR="00FE4EF2" w:rsidRPr="002E6F2A">
        <w:rPr>
          <w:sz w:val="24"/>
          <w:szCs w:val="24"/>
        </w:rPr>
        <w:t xml:space="preserve"> and levels of the state, or the cumulative impact of such efforts over time. </w:t>
      </w:r>
    </w:p>
    <w:p w14:paraId="4010EF34" w14:textId="77777777" w:rsidR="0048093C" w:rsidRDefault="00F8550E" w:rsidP="0048093C">
      <w:pPr>
        <w:spacing w:line="360" w:lineRule="auto"/>
        <w:rPr>
          <w:b/>
          <w:sz w:val="24"/>
          <w:szCs w:val="24"/>
        </w:rPr>
      </w:pPr>
      <w:proofErr w:type="gramStart"/>
      <w:r>
        <w:rPr>
          <w:sz w:val="24"/>
          <w:szCs w:val="24"/>
        </w:rPr>
        <w:t>In order to</w:t>
      </w:r>
      <w:proofErr w:type="gramEnd"/>
      <w:r>
        <w:rPr>
          <w:sz w:val="24"/>
          <w:szCs w:val="24"/>
        </w:rPr>
        <w:t xml:space="preserve"> better examine how the VCLT’s approach to coercion, the state and relations between states relates to contemporary international treaty-making, let us now turn to one recent example of international trade treaty-making between the European Union (EU), and states and regional organisations of the African, Caribbean and Pacific (ACP regions. </w:t>
      </w:r>
    </w:p>
    <w:p w14:paraId="4010EF35" w14:textId="77777777" w:rsidR="003273A1" w:rsidRPr="00F8550E" w:rsidRDefault="007B66E2" w:rsidP="00F8550E">
      <w:pPr>
        <w:pStyle w:val="ListParagraph"/>
        <w:numPr>
          <w:ilvl w:val="0"/>
          <w:numId w:val="10"/>
        </w:numPr>
        <w:spacing w:line="360" w:lineRule="auto"/>
        <w:rPr>
          <w:sz w:val="24"/>
          <w:szCs w:val="24"/>
        </w:rPr>
      </w:pPr>
      <w:r w:rsidRPr="00F8550E">
        <w:rPr>
          <w:b/>
          <w:sz w:val="24"/>
          <w:szCs w:val="24"/>
        </w:rPr>
        <w:t>T</w:t>
      </w:r>
      <w:r w:rsidR="00070EFB" w:rsidRPr="00F8550E">
        <w:rPr>
          <w:b/>
          <w:sz w:val="24"/>
          <w:szCs w:val="24"/>
        </w:rPr>
        <w:t xml:space="preserve">owards consent? </w:t>
      </w:r>
      <w:r w:rsidRPr="00F8550E">
        <w:rPr>
          <w:b/>
          <w:sz w:val="24"/>
          <w:szCs w:val="24"/>
        </w:rPr>
        <w:t>Engagement and resistance in EPA</w:t>
      </w:r>
      <w:r w:rsidR="00722964" w:rsidRPr="00F8550E">
        <w:rPr>
          <w:b/>
          <w:sz w:val="24"/>
          <w:szCs w:val="24"/>
        </w:rPr>
        <w:t xml:space="preserve"> encounter</w:t>
      </w:r>
      <w:r w:rsidRPr="00F8550E">
        <w:rPr>
          <w:b/>
          <w:sz w:val="24"/>
          <w:szCs w:val="24"/>
        </w:rPr>
        <w:t>s</w:t>
      </w:r>
      <w:r w:rsidR="00722964" w:rsidRPr="00F8550E">
        <w:rPr>
          <w:b/>
          <w:sz w:val="24"/>
          <w:szCs w:val="24"/>
        </w:rPr>
        <w:t xml:space="preserve"> between the EU and African states</w:t>
      </w:r>
      <w:r w:rsidR="00912850" w:rsidRPr="00F8550E">
        <w:rPr>
          <w:b/>
          <w:sz w:val="24"/>
          <w:szCs w:val="24"/>
        </w:rPr>
        <w:t xml:space="preserve"> </w:t>
      </w:r>
    </w:p>
    <w:p w14:paraId="4010EF36" w14:textId="77777777" w:rsidR="0002435D" w:rsidRDefault="003273A1" w:rsidP="00912850">
      <w:pPr>
        <w:spacing w:line="360" w:lineRule="auto"/>
        <w:rPr>
          <w:sz w:val="24"/>
          <w:szCs w:val="24"/>
        </w:rPr>
      </w:pPr>
      <w:r w:rsidRPr="002E6F2A">
        <w:rPr>
          <w:sz w:val="24"/>
          <w:szCs w:val="24"/>
        </w:rPr>
        <w:t xml:space="preserve">Over the last several years, negotiations between the </w:t>
      </w:r>
      <w:r w:rsidR="00F8550E">
        <w:rPr>
          <w:sz w:val="24"/>
          <w:szCs w:val="24"/>
        </w:rPr>
        <w:t xml:space="preserve">EU </w:t>
      </w:r>
      <w:r w:rsidRPr="002E6F2A">
        <w:rPr>
          <w:sz w:val="24"/>
          <w:szCs w:val="24"/>
        </w:rPr>
        <w:t>one of the world’s most powerful trade blocs, and states and regional entities in the African, Caribbean and Pacific (ACP) region</w:t>
      </w:r>
      <w:r w:rsidR="007D74D6" w:rsidRPr="002E6F2A">
        <w:rPr>
          <w:sz w:val="24"/>
          <w:szCs w:val="24"/>
        </w:rPr>
        <w:t>,</w:t>
      </w:r>
      <w:r w:rsidR="007D74D6" w:rsidRPr="002E6F2A">
        <w:rPr>
          <w:rStyle w:val="FootnoteReference"/>
          <w:sz w:val="24"/>
          <w:szCs w:val="24"/>
        </w:rPr>
        <w:footnoteReference w:id="15"/>
      </w:r>
      <w:r w:rsidRPr="002E6F2A">
        <w:rPr>
          <w:sz w:val="24"/>
          <w:szCs w:val="24"/>
        </w:rPr>
        <w:t xml:space="preserve"> on trade agreements called Economic Partnership Agreements (EPAs)</w:t>
      </w:r>
      <w:r w:rsidR="002F35C1" w:rsidRPr="002E6F2A">
        <w:rPr>
          <w:rStyle w:val="FootnoteReference"/>
          <w:sz w:val="24"/>
          <w:szCs w:val="24"/>
        </w:rPr>
        <w:footnoteReference w:id="16"/>
      </w:r>
      <w:r w:rsidRPr="002E6F2A">
        <w:rPr>
          <w:sz w:val="24"/>
          <w:szCs w:val="24"/>
        </w:rPr>
        <w:t xml:space="preserve"> </w:t>
      </w:r>
      <w:r w:rsidR="007D74D6" w:rsidRPr="002E6F2A">
        <w:rPr>
          <w:sz w:val="24"/>
          <w:szCs w:val="24"/>
        </w:rPr>
        <w:t xml:space="preserve">have </w:t>
      </w:r>
      <w:r w:rsidR="000A7687" w:rsidRPr="002E6F2A">
        <w:rPr>
          <w:sz w:val="24"/>
          <w:szCs w:val="24"/>
        </w:rPr>
        <w:t xml:space="preserve">been characterised by </w:t>
      </w:r>
      <w:r w:rsidR="00766229" w:rsidRPr="002E6F2A">
        <w:rPr>
          <w:sz w:val="24"/>
          <w:szCs w:val="24"/>
        </w:rPr>
        <w:t>periods of</w:t>
      </w:r>
      <w:r w:rsidR="000A7687" w:rsidRPr="002E6F2A">
        <w:rPr>
          <w:sz w:val="24"/>
          <w:szCs w:val="24"/>
        </w:rPr>
        <w:t xml:space="preserve"> prolonged stalemate in negotiations, broken by </w:t>
      </w:r>
      <w:r w:rsidR="00F8550E">
        <w:rPr>
          <w:sz w:val="24"/>
          <w:szCs w:val="24"/>
        </w:rPr>
        <w:t xml:space="preserve">measures </w:t>
      </w:r>
      <w:r w:rsidR="00F8550E">
        <w:rPr>
          <w:sz w:val="24"/>
          <w:szCs w:val="24"/>
        </w:rPr>
        <w:lastRenderedPageBreak/>
        <w:t xml:space="preserve">including what can only be described as coercive </w:t>
      </w:r>
      <w:r w:rsidR="00F35ED1" w:rsidRPr="002E6F2A">
        <w:rPr>
          <w:sz w:val="24"/>
          <w:szCs w:val="24"/>
        </w:rPr>
        <w:t xml:space="preserve">measures </w:t>
      </w:r>
      <w:r w:rsidR="000A7687" w:rsidRPr="002E6F2A">
        <w:rPr>
          <w:sz w:val="24"/>
          <w:szCs w:val="24"/>
        </w:rPr>
        <w:t>from the EU</w:t>
      </w:r>
      <w:r w:rsidR="00F8550E">
        <w:rPr>
          <w:sz w:val="24"/>
          <w:szCs w:val="24"/>
        </w:rPr>
        <w:t>,</w:t>
      </w:r>
      <w:r w:rsidR="007D74D6" w:rsidRPr="002E6F2A">
        <w:rPr>
          <w:sz w:val="24"/>
          <w:szCs w:val="24"/>
        </w:rPr>
        <w:t xml:space="preserve"> </w:t>
      </w:r>
      <w:r w:rsidR="000A7687" w:rsidRPr="002E6F2A">
        <w:rPr>
          <w:sz w:val="24"/>
          <w:szCs w:val="24"/>
        </w:rPr>
        <w:t>th</w:t>
      </w:r>
      <w:r w:rsidR="00712467">
        <w:rPr>
          <w:sz w:val="24"/>
          <w:szCs w:val="24"/>
        </w:rPr>
        <w:t>at</w:t>
      </w:r>
      <w:r w:rsidR="00F8550E">
        <w:rPr>
          <w:sz w:val="24"/>
          <w:szCs w:val="24"/>
        </w:rPr>
        <w:t xml:space="preserve"> in turn</w:t>
      </w:r>
      <w:r w:rsidR="00712467">
        <w:rPr>
          <w:sz w:val="24"/>
          <w:szCs w:val="24"/>
        </w:rPr>
        <w:t xml:space="preserve"> resulted in halting and</w:t>
      </w:r>
      <w:r w:rsidR="000A7687" w:rsidRPr="002E6F2A">
        <w:rPr>
          <w:sz w:val="24"/>
          <w:szCs w:val="24"/>
        </w:rPr>
        <w:t xml:space="preserve"> unwilling responses by ACP states and regional organisations. The actions of all parties to the EPAs – the EU, ACP regional organisations and states –</w:t>
      </w:r>
      <w:r w:rsidR="00766229" w:rsidRPr="002E6F2A">
        <w:rPr>
          <w:sz w:val="24"/>
          <w:szCs w:val="24"/>
        </w:rPr>
        <w:t xml:space="preserve"> </w:t>
      </w:r>
      <w:r w:rsidR="008177D3" w:rsidRPr="002E6F2A">
        <w:rPr>
          <w:sz w:val="24"/>
          <w:szCs w:val="24"/>
        </w:rPr>
        <w:t>are an excellent illustration of the</w:t>
      </w:r>
      <w:r w:rsidR="007D74D6" w:rsidRPr="002E6F2A">
        <w:rPr>
          <w:sz w:val="24"/>
          <w:szCs w:val="24"/>
        </w:rPr>
        <w:t xml:space="preserve"> </w:t>
      </w:r>
      <w:r w:rsidR="000F176A" w:rsidRPr="002E6F2A">
        <w:rPr>
          <w:sz w:val="24"/>
          <w:szCs w:val="24"/>
        </w:rPr>
        <w:t xml:space="preserve">tangled </w:t>
      </w:r>
      <w:r w:rsidR="008177D3" w:rsidRPr="002E6F2A">
        <w:rPr>
          <w:sz w:val="24"/>
          <w:szCs w:val="24"/>
        </w:rPr>
        <w:t>practices of contemporary international trade treaty-making between unequal economic powers to which the formalised concept of co</w:t>
      </w:r>
      <w:r w:rsidRPr="002E6F2A">
        <w:rPr>
          <w:sz w:val="24"/>
          <w:szCs w:val="24"/>
        </w:rPr>
        <w:t>nsent</w:t>
      </w:r>
      <w:r w:rsidR="008177D3" w:rsidRPr="002E6F2A">
        <w:rPr>
          <w:sz w:val="24"/>
          <w:szCs w:val="24"/>
        </w:rPr>
        <w:t xml:space="preserve"> </w:t>
      </w:r>
      <w:r w:rsidRPr="002E6F2A">
        <w:rPr>
          <w:sz w:val="24"/>
          <w:szCs w:val="24"/>
        </w:rPr>
        <w:t xml:space="preserve">in </w:t>
      </w:r>
      <w:r w:rsidR="003054F4" w:rsidRPr="002E6F2A">
        <w:rPr>
          <w:sz w:val="24"/>
          <w:szCs w:val="24"/>
        </w:rPr>
        <w:t xml:space="preserve">treaty-making in </w:t>
      </w:r>
      <w:r w:rsidRPr="002E6F2A">
        <w:rPr>
          <w:sz w:val="24"/>
          <w:szCs w:val="24"/>
        </w:rPr>
        <w:t>international law</w:t>
      </w:r>
      <w:r w:rsidR="008177D3" w:rsidRPr="002E6F2A">
        <w:rPr>
          <w:sz w:val="24"/>
          <w:szCs w:val="24"/>
        </w:rPr>
        <w:t xml:space="preserve"> bears only little relation</w:t>
      </w:r>
      <w:r w:rsidRPr="002E6F2A">
        <w:rPr>
          <w:sz w:val="24"/>
          <w:szCs w:val="24"/>
        </w:rPr>
        <w:t xml:space="preserve">. </w:t>
      </w:r>
      <w:r w:rsidR="008177D3" w:rsidRPr="002E6F2A">
        <w:rPr>
          <w:sz w:val="24"/>
          <w:szCs w:val="24"/>
        </w:rPr>
        <w:t xml:space="preserve">For example, </w:t>
      </w:r>
      <w:r w:rsidR="00766229" w:rsidRPr="002E6F2A">
        <w:rPr>
          <w:sz w:val="24"/>
          <w:szCs w:val="24"/>
        </w:rPr>
        <w:t xml:space="preserve">at the end of 2007 </w:t>
      </w:r>
      <w:r w:rsidR="008177D3" w:rsidRPr="002E6F2A">
        <w:rPr>
          <w:sz w:val="24"/>
          <w:szCs w:val="24"/>
        </w:rPr>
        <w:t>in response to</w:t>
      </w:r>
      <w:r w:rsidR="003054F4" w:rsidRPr="002E6F2A">
        <w:rPr>
          <w:sz w:val="24"/>
          <w:szCs w:val="24"/>
        </w:rPr>
        <w:t xml:space="preserve"> several missed deadlines for </w:t>
      </w:r>
      <w:r w:rsidR="00766229" w:rsidRPr="002E6F2A">
        <w:rPr>
          <w:sz w:val="24"/>
          <w:szCs w:val="24"/>
        </w:rPr>
        <w:t>completion of EPAs negotiations</w:t>
      </w:r>
      <w:r w:rsidR="008177D3" w:rsidRPr="002E6F2A">
        <w:rPr>
          <w:sz w:val="24"/>
          <w:szCs w:val="24"/>
        </w:rPr>
        <w:t xml:space="preserve">, </w:t>
      </w:r>
      <w:r w:rsidR="003054F4" w:rsidRPr="002E6F2A">
        <w:rPr>
          <w:sz w:val="24"/>
          <w:szCs w:val="24"/>
        </w:rPr>
        <w:t xml:space="preserve">the EU introduced the signing of ‘interim’ EPAs (iEPAs) as one </w:t>
      </w:r>
      <w:r w:rsidR="00766229" w:rsidRPr="002E6F2A">
        <w:rPr>
          <w:sz w:val="24"/>
          <w:szCs w:val="24"/>
        </w:rPr>
        <w:t>strategy</w:t>
      </w:r>
      <w:r w:rsidR="003054F4" w:rsidRPr="002E6F2A">
        <w:rPr>
          <w:sz w:val="24"/>
          <w:szCs w:val="24"/>
        </w:rPr>
        <w:t xml:space="preserve"> to meet a schedule on WTO compatibility.</w:t>
      </w:r>
      <w:r w:rsidR="003E5BF3" w:rsidRPr="002E6F2A">
        <w:rPr>
          <w:rStyle w:val="FootnoteReference"/>
          <w:sz w:val="24"/>
          <w:szCs w:val="24"/>
        </w:rPr>
        <w:footnoteReference w:id="17"/>
      </w:r>
      <w:r w:rsidR="003054F4" w:rsidRPr="002E6F2A">
        <w:rPr>
          <w:sz w:val="24"/>
          <w:szCs w:val="24"/>
        </w:rPr>
        <w:t xml:space="preserve"> </w:t>
      </w:r>
      <w:r w:rsidR="00D77B5B" w:rsidRPr="002E6F2A">
        <w:rPr>
          <w:sz w:val="24"/>
          <w:szCs w:val="24"/>
        </w:rPr>
        <w:t>However, this mea</w:t>
      </w:r>
      <w:r w:rsidR="008177D3" w:rsidRPr="002E6F2A">
        <w:rPr>
          <w:sz w:val="24"/>
          <w:szCs w:val="24"/>
        </w:rPr>
        <w:t>sure was only partly successful</w:t>
      </w:r>
      <w:r w:rsidR="00D77B5B" w:rsidRPr="002E6F2A">
        <w:rPr>
          <w:rStyle w:val="FootnoteReference"/>
          <w:sz w:val="24"/>
          <w:szCs w:val="24"/>
        </w:rPr>
        <w:footnoteReference w:id="18"/>
      </w:r>
      <w:r w:rsidR="00D77B5B" w:rsidRPr="002E6F2A">
        <w:rPr>
          <w:sz w:val="24"/>
          <w:szCs w:val="24"/>
        </w:rPr>
        <w:t xml:space="preserve"> with most ACP states not signing these arrangements, and with some who had </w:t>
      </w:r>
      <w:r w:rsidR="007B66E2" w:rsidRPr="002E6F2A">
        <w:rPr>
          <w:sz w:val="24"/>
          <w:szCs w:val="24"/>
        </w:rPr>
        <w:t xml:space="preserve">earlier </w:t>
      </w:r>
      <w:r w:rsidR="00D77B5B" w:rsidRPr="002E6F2A">
        <w:rPr>
          <w:i/>
          <w:sz w:val="24"/>
          <w:szCs w:val="24"/>
        </w:rPr>
        <w:t>initialled</w:t>
      </w:r>
      <w:r w:rsidR="00D77B5B" w:rsidRPr="002E6F2A">
        <w:rPr>
          <w:sz w:val="24"/>
          <w:szCs w:val="24"/>
        </w:rPr>
        <w:t xml:space="preserve"> a draft iEPA, not </w:t>
      </w:r>
      <w:r w:rsidR="00D77B5B" w:rsidRPr="002E6F2A">
        <w:rPr>
          <w:i/>
          <w:sz w:val="24"/>
          <w:szCs w:val="24"/>
        </w:rPr>
        <w:t>signing</w:t>
      </w:r>
      <w:r w:rsidR="00D77B5B" w:rsidRPr="002E6F2A">
        <w:rPr>
          <w:sz w:val="24"/>
          <w:szCs w:val="24"/>
        </w:rPr>
        <w:t xml:space="preserve"> these</w:t>
      </w:r>
      <w:r w:rsidR="00766229" w:rsidRPr="002E6F2A">
        <w:rPr>
          <w:sz w:val="24"/>
          <w:szCs w:val="24"/>
        </w:rPr>
        <w:t xml:space="preserve"> subsequently.</w:t>
      </w:r>
      <w:r w:rsidR="00D77B5B" w:rsidRPr="002E6F2A">
        <w:rPr>
          <w:rStyle w:val="FootnoteReference"/>
          <w:sz w:val="24"/>
          <w:szCs w:val="24"/>
        </w:rPr>
        <w:footnoteReference w:id="19"/>
      </w:r>
      <w:r w:rsidR="00D77B5B" w:rsidRPr="002E6F2A">
        <w:rPr>
          <w:sz w:val="24"/>
          <w:szCs w:val="24"/>
        </w:rPr>
        <w:t xml:space="preserve"> </w:t>
      </w:r>
    </w:p>
    <w:p w14:paraId="4010EF37" w14:textId="77777777" w:rsidR="007D74D6" w:rsidRPr="002E6F2A" w:rsidRDefault="002F35C1" w:rsidP="00912850">
      <w:pPr>
        <w:spacing w:line="360" w:lineRule="auto"/>
        <w:rPr>
          <w:sz w:val="24"/>
          <w:szCs w:val="24"/>
        </w:rPr>
      </w:pPr>
      <w:r w:rsidRPr="002E6F2A">
        <w:rPr>
          <w:sz w:val="24"/>
          <w:szCs w:val="24"/>
        </w:rPr>
        <w:t>Several years’ later</w:t>
      </w:r>
      <w:r w:rsidR="008177D3" w:rsidRPr="002E6F2A">
        <w:rPr>
          <w:sz w:val="24"/>
          <w:szCs w:val="24"/>
        </w:rPr>
        <w:t>,</w:t>
      </w:r>
      <w:r w:rsidRPr="002E6F2A">
        <w:rPr>
          <w:sz w:val="24"/>
          <w:szCs w:val="24"/>
        </w:rPr>
        <w:t xml:space="preserve"> on 30</w:t>
      </w:r>
      <w:r w:rsidRPr="002E6F2A">
        <w:rPr>
          <w:sz w:val="24"/>
          <w:szCs w:val="24"/>
          <w:vertAlign w:val="superscript"/>
        </w:rPr>
        <w:t>th</w:t>
      </w:r>
      <w:r w:rsidRPr="002E6F2A">
        <w:rPr>
          <w:sz w:val="24"/>
          <w:szCs w:val="24"/>
        </w:rPr>
        <w:t xml:space="preserve"> September 2011</w:t>
      </w:r>
      <w:r w:rsidR="00766229" w:rsidRPr="002E6F2A">
        <w:rPr>
          <w:sz w:val="24"/>
          <w:szCs w:val="24"/>
        </w:rPr>
        <w:t>,</w:t>
      </w:r>
      <w:r w:rsidR="008177D3" w:rsidRPr="002E6F2A">
        <w:rPr>
          <w:sz w:val="24"/>
          <w:szCs w:val="24"/>
        </w:rPr>
        <w:t xml:space="preserve"> </w:t>
      </w:r>
      <w:r w:rsidR="00766229" w:rsidRPr="002E6F2A">
        <w:rPr>
          <w:sz w:val="24"/>
          <w:szCs w:val="24"/>
        </w:rPr>
        <w:t>again</w:t>
      </w:r>
      <w:r w:rsidRPr="002E6F2A">
        <w:rPr>
          <w:sz w:val="24"/>
          <w:szCs w:val="24"/>
        </w:rPr>
        <w:t xml:space="preserve"> </w:t>
      </w:r>
      <w:r w:rsidR="00D77B5B" w:rsidRPr="002E6F2A">
        <w:rPr>
          <w:sz w:val="24"/>
          <w:szCs w:val="24"/>
        </w:rPr>
        <w:t xml:space="preserve">to </w:t>
      </w:r>
      <w:r w:rsidR="00893828" w:rsidRPr="002E6F2A">
        <w:rPr>
          <w:sz w:val="24"/>
          <w:szCs w:val="24"/>
        </w:rPr>
        <w:t xml:space="preserve">encourage conclusion of </w:t>
      </w:r>
      <w:r w:rsidR="000F176A" w:rsidRPr="002E6F2A">
        <w:rPr>
          <w:sz w:val="24"/>
          <w:szCs w:val="24"/>
        </w:rPr>
        <w:t xml:space="preserve">protracted </w:t>
      </w:r>
      <w:r w:rsidR="00893828" w:rsidRPr="002E6F2A">
        <w:rPr>
          <w:sz w:val="24"/>
          <w:szCs w:val="24"/>
        </w:rPr>
        <w:t xml:space="preserve">EPA negotiations, the European Commission (EC) announced that countries that </w:t>
      </w:r>
      <w:r w:rsidR="000F176A" w:rsidRPr="002E6F2A">
        <w:rPr>
          <w:sz w:val="24"/>
          <w:szCs w:val="24"/>
        </w:rPr>
        <w:t>had</w:t>
      </w:r>
      <w:r w:rsidR="00893828" w:rsidRPr="002E6F2A">
        <w:rPr>
          <w:sz w:val="24"/>
          <w:szCs w:val="24"/>
        </w:rPr>
        <w:t xml:space="preserve"> concluded EPAs but that </w:t>
      </w:r>
      <w:r w:rsidR="000F176A" w:rsidRPr="002E6F2A">
        <w:rPr>
          <w:sz w:val="24"/>
          <w:szCs w:val="24"/>
        </w:rPr>
        <w:t>had</w:t>
      </w:r>
      <w:r w:rsidR="00893828" w:rsidRPr="002E6F2A">
        <w:rPr>
          <w:sz w:val="24"/>
          <w:szCs w:val="24"/>
        </w:rPr>
        <w:t xml:space="preserve"> not taken the necessary steps to ratify </w:t>
      </w:r>
      <w:r w:rsidRPr="002E6F2A">
        <w:rPr>
          <w:sz w:val="24"/>
          <w:szCs w:val="24"/>
        </w:rPr>
        <w:t>them</w:t>
      </w:r>
      <w:r w:rsidR="00893828" w:rsidRPr="002E6F2A">
        <w:rPr>
          <w:sz w:val="24"/>
          <w:szCs w:val="24"/>
        </w:rPr>
        <w:t>, would no longer benefit from preferential market access to Europe from 1</w:t>
      </w:r>
      <w:r w:rsidR="00893828" w:rsidRPr="002E6F2A">
        <w:rPr>
          <w:sz w:val="24"/>
          <w:szCs w:val="24"/>
          <w:vertAlign w:val="superscript"/>
        </w:rPr>
        <w:t>st</w:t>
      </w:r>
      <w:r w:rsidR="00893828" w:rsidRPr="002E6F2A">
        <w:rPr>
          <w:sz w:val="24"/>
          <w:szCs w:val="24"/>
        </w:rPr>
        <w:t xml:space="preserve"> January 2014.</w:t>
      </w:r>
      <w:r w:rsidR="007F6219" w:rsidRPr="002E6F2A">
        <w:rPr>
          <w:rStyle w:val="FootnoteReference"/>
          <w:sz w:val="24"/>
          <w:szCs w:val="24"/>
        </w:rPr>
        <w:footnoteReference w:id="20"/>
      </w:r>
      <w:r w:rsidR="0002435D">
        <w:rPr>
          <w:sz w:val="24"/>
          <w:szCs w:val="24"/>
        </w:rPr>
        <w:t xml:space="preserve"> </w:t>
      </w:r>
      <w:r w:rsidR="004C2C29" w:rsidRPr="002E6F2A">
        <w:rPr>
          <w:rStyle w:val="FootnoteReference"/>
          <w:sz w:val="24"/>
          <w:szCs w:val="24"/>
        </w:rPr>
        <w:footnoteReference w:id="21"/>
      </w:r>
      <w:r w:rsidR="004C2C29" w:rsidRPr="002E6F2A">
        <w:rPr>
          <w:sz w:val="24"/>
          <w:szCs w:val="24"/>
        </w:rPr>
        <w:t xml:space="preserve"> </w:t>
      </w:r>
      <w:r w:rsidR="00492B0A" w:rsidRPr="002E6F2A">
        <w:rPr>
          <w:sz w:val="24"/>
          <w:szCs w:val="24"/>
        </w:rPr>
        <w:t xml:space="preserve">Civil society </w:t>
      </w:r>
      <w:r w:rsidR="00492B0A" w:rsidRPr="002E6F2A">
        <w:rPr>
          <w:sz w:val="24"/>
          <w:szCs w:val="24"/>
        </w:rPr>
        <w:lastRenderedPageBreak/>
        <w:t xml:space="preserve">commentators noted at the end of 2014 that the </w:t>
      </w:r>
      <w:r w:rsidR="004C2C29" w:rsidRPr="002E6F2A">
        <w:rPr>
          <w:sz w:val="24"/>
          <w:szCs w:val="24"/>
        </w:rPr>
        <w:t>ultimatum</w:t>
      </w:r>
      <w:r w:rsidR="00492B0A" w:rsidRPr="002E6F2A">
        <w:rPr>
          <w:sz w:val="24"/>
          <w:szCs w:val="24"/>
        </w:rPr>
        <w:t xml:space="preserve"> had the desired effect, with several new EPAs being initialled. </w:t>
      </w:r>
      <w:r w:rsidR="00492B0A" w:rsidRPr="002E6F2A">
        <w:rPr>
          <w:rStyle w:val="FootnoteReference"/>
          <w:sz w:val="24"/>
          <w:szCs w:val="24"/>
        </w:rPr>
        <w:footnoteReference w:id="22"/>
      </w:r>
      <w:r w:rsidR="002A05CD" w:rsidRPr="002E6F2A">
        <w:rPr>
          <w:sz w:val="24"/>
          <w:szCs w:val="24"/>
        </w:rPr>
        <w:t xml:space="preserve"> </w:t>
      </w:r>
    </w:p>
    <w:p w14:paraId="4010EF38" w14:textId="77777777" w:rsidR="002F35C1" w:rsidRPr="002E6F2A" w:rsidRDefault="00A900D7" w:rsidP="00912850">
      <w:pPr>
        <w:spacing w:line="360" w:lineRule="auto"/>
        <w:rPr>
          <w:sz w:val="24"/>
          <w:szCs w:val="24"/>
        </w:rPr>
      </w:pPr>
      <w:r w:rsidRPr="002E6F2A">
        <w:rPr>
          <w:sz w:val="24"/>
          <w:szCs w:val="24"/>
        </w:rPr>
        <w:t xml:space="preserve">The success of this coercive </w:t>
      </w:r>
      <w:r w:rsidR="00492B0A" w:rsidRPr="002E6F2A">
        <w:rPr>
          <w:sz w:val="24"/>
          <w:szCs w:val="24"/>
        </w:rPr>
        <w:t xml:space="preserve">strategy was </w:t>
      </w:r>
      <w:r w:rsidR="00FC4509">
        <w:rPr>
          <w:sz w:val="24"/>
          <w:szCs w:val="24"/>
        </w:rPr>
        <w:t>evident</w:t>
      </w:r>
      <w:r w:rsidR="00CF693D" w:rsidRPr="002E6F2A">
        <w:rPr>
          <w:sz w:val="24"/>
          <w:szCs w:val="24"/>
        </w:rPr>
        <w:t xml:space="preserve"> </w:t>
      </w:r>
      <w:r w:rsidRPr="002E6F2A">
        <w:rPr>
          <w:sz w:val="24"/>
          <w:szCs w:val="24"/>
        </w:rPr>
        <w:t>as</w:t>
      </w:r>
      <w:r w:rsidR="00766229" w:rsidRPr="002E6F2A">
        <w:rPr>
          <w:sz w:val="24"/>
          <w:szCs w:val="24"/>
        </w:rPr>
        <w:t>,</w:t>
      </w:r>
      <w:r w:rsidRPr="002E6F2A">
        <w:rPr>
          <w:sz w:val="24"/>
          <w:szCs w:val="24"/>
        </w:rPr>
        <w:t xml:space="preserve"> </w:t>
      </w:r>
      <w:r w:rsidR="00766229" w:rsidRPr="002E6F2A">
        <w:rPr>
          <w:sz w:val="24"/>
          <w:szCs w:val="24"/>
        </w:rPr>
        <w:t>later again</w:t>
      </w:r>
      <w:r w:rsidR="00492B0A" w:rsidRPr="002E6F2A">
        <w:rPr>
          <w:sz w:val="24"/>
          <w:szCs w:val="24"/>
        </w:rPr>
        <w:t xml:space="preserve"> in June 2016, media</w:t>
      </w:r>
      <w:r w:rsidR="00CD4DEA" w:rsidRPr="002E6F2A">
        <w:rPr>
          <w:sz w:val="24"/>
          <w:szCs w:val="24"/>
        </w:rPr>
        <w:t xml:space="preserve"> and NGO</w:t>
      </w:r>
      <w:r w:rsidR="00492B0A" w:rsidRPr="002E6F2A">
        <w:rPr>
          <w:sz w:val="24"/>
          <w:szCs w:val="24"/>
        </w:rPr>
        <w:t xml:space="preserve"> reports announced that the European Union was set to rachet up pressure </w:t>
      </w:r>
      <w:r w:rsidR="007B66E2" w:rsidRPr="002E6F2A">
        <w:rPr>
          <w:sz w:val="24"/>
          <w:szCs w:val="24"/>
        </w:rPr>
        <w:t xml:space="preserve">once more </w:t>
      </w:r>
      <w:r w:rsidR="002F35C1" w:rsidRPr="002E6F2A">
        <w:rPr>
          <w:sz w:val="24"/>
          <w:szCs w:val="24"/>
        </w:rPr>
        <w:t>on recalcitrant African states</w:t>
      </w:r>
      <w:r w:rsidR="002F35C1" w:rsidRPr="002E6F2A">
        <w:rPr>
          <w:sz w:val="24"/>
          <w:szCs w:val="24"/>
          <w:lang w:val="en-CA"/>
        </w:rPr>
        <w:t xml:space="preserve"> </w:t>
      </w:r>
      <w:r w:rsidR="007B66E2" w:rsidRPr="002E6F2A">
        <w:rPr>
          <w:sz w:val="24"/>
          <w:szCs w:val="24"/>
          <w:lang w:val="en-CA"/>
        </w:rPr>
        <w:t>to ensure</w:t>
      </w:r>
      <w:r w:rsidR="007B66E2" w:rsidRPr="002E6F2A">
        <w:rPr>
          <w:sz w:val="24"/>
          <w:szCs w:val="24"/>
        </w:rPr>
        <w:t xml:space="preserve"> </w:t>
      </w:r>
      <w:r w:rsidR="002F35C1" w:rsidRPr="002E6F2A">
        <w:rPr>
          <w:sz w:val="24"/>
          <w:szCs w:val="24"/>
        </w:rPr>
        <w:t xml:space="preserve">continual </w:t>
      </w:r>
      <w:r w:rsidR="007B66E2" w:rsidRPr="002E6F2A">
        <w:rPr>
          <w:sz w:val="24"/>
          <w:szCs w:val="24"/>
        </w:rPr>
        <w:t>progress on implementation of EPAs</w:t>
      </w:r>
      <w:r w:rsidR="004C2C29" w:rsidRPr="002E6F2A">
        <w:rPr>
          <w:sz w:val="24"/>
          <w:szCs w:val="24"/>
        </w:rPr>
        <w:t>, this time with</w:t>
      </w:r>
      <w:r w:rsidR="00492B0A" w:rsidRPr="002E6F2A">
        <w:rPr>
          <w:sz w:val="24"/>
          <w:szCs w:val="24"/>
        </w:rPr>
        <w:t xml:space="preserve"> </w:t>
      </w:r>
      <w:r w:rsidR="00492B0A" w:rsidRPr="002E6F2A">
        <w:rPr>
          <w:sz w:val="24"/>
          <w:szCs w:val="24"/>
          <w:lang w:val="en-CA"/>
        </w:rPr>
        <w:t>Ghana, Ivory Coast, Kenya, Botswana, Namibia and Swaziland</w:t>
      </w:r>
      <w:r w:rsidR="002A05CD" w:rsidRPr="002E6F2A">
        <w:rPr>
          <w:sz w:val="24"/>
          <w:szCs w:val="24"/>
        </w:rPr>
        <w:t>.</w:t>
      </w:r>
      <w:r w:rsidR="00CF693D" w:rsidRPr="002E6F2A">
        <w:rPr>
          <w:rStyle w:val="FootnoteReference"/>
          <w:sz w:val="24"/>
          <w:szCs w:val="24"/>
        </w:rPr>
        <w:footnoteReference w:id="23"/>
      </w:r>
      <w:r w:rsidR="002A05CD" w:rsidRPr="002E6F2A">
        <w:rPr>
          <w:sz w:val="24"/>
          <w:szCs w:val="24"/>
        </w:rPr>
        <w:t xml:space="preserve"> </w:t>
      </w:r>
      <w:r w:rsidR="00CD4DEA" w:rsidRPr="002E6F2A">
        <w:rPr>
          <w:sz w:val="24"/>
          <w:szCs w:val="24"/>
        </w:rPr>
        <w:t xml:space="preserve">According to these reports, the EU had prepared draft delegated acts </w:t>
      </w:r>
      <w:r w:rsidR="00CD4DEA" w:rsidRPr="002E6F2A">
        <w:rPr>
          <w:color w:val="00000A"/>
          <w:sz w:val="24"/>
          <w:szCs w:val="24"/>
        </w:rPr>
        <w:t xml:space="preserve">that </w:t>
      </w:r>
      <w:r w:rsidR="002F35C1" w:rsidRPr="002E6F2A">
        <w:rPr>
          <w:color w:val="00000A"/>
          <w:sz w:val="24"/>
          <w:szCs w:val="24"/>
        </w:rPr>
        <w:t>would</w:t>
      </w:r>
      <w:r w:rsidR="00CD4DEA" w:rsidRPr="002E6F2A">
        <w:rPr>
          <w:color w:val="00000A"/>
          <w:sz w:val="24"/>
          <w:szCs w:val="24"/>
        </w:rPr>
        <w:t xml:space="preserve"> exclude the six non-LDC countries from the list of African states benefiting from preferential EU market</w:t>
      </w:r>
      <w:r w:rsidR="002A05CD" w:rsidRPr="002E6F2A">
        <w:rPr>
          <w:sz w:val="24"/>
          <w:szCs w:val="24"/>
        </w:rPr>
        <w:t xml:space="preserve"> </w:t>
      </w:r>
      <w:r w:rsidR="00CD4DEA" w:rsidRPr="002E6F2A">
        <w:rPr>
          <w:sz w:val="24"/>
          <w:szCs w:val="24"/>
        </w:rPr>
        <w:t xml:space="preserve">access </w:t>
      </w:r>
      <w:r w:rsidR="00CD4DEA" w:rsidRPr="002E6F2A">
        <w:rPr>
          <w:color w:val="00000A"/>
          <w:sz w:val="24"/>
          <w:szCs w:val="24"/>
        </w:rPr>
        <w:t>under the European Market Access Regulation (MAR1528)</w:t>
      </w:r>
      <w:r w:rsidR="002F35C1" w:rsidRPr="002E6F2A">
        <w:rPr>
          <w:color w:val="00000A"/>
          <w:sz w:val="24"/>
          <w:szCs w:val="24"/>
        </w:rPr>
        <w:t>,</w:t>
      </w:r>
      <w:r w:rsidR="00CD4DEA" w:rsidRPr="002E6F2A">
        <w:rPr>
          <w:color w:val="00000A"/>
          <w:sz w:val="24"/>
          <w:szCs w:val="24"/>
        </w:rPr>
        <w:t xml:space="preserve"> </w:t>
      </w:r>
      <w:r w:rsidR="002F35C1" w:rsidRPr="002E6F2A">
        <w:rPr>
          <w:sz w:val="24"/>
          <w:szCs w:val="24"/>
        </w:rPr>
        <w:t>if they missed</w:t>
      </w:r>
      <w:r w:rsidR="00CD4DEA" w:rsidRPr="002E6F2A">
        <w:rPr>
          <w:sz w:val="24"/>
          <w:szCs w:val="24"/>
        </w:rPr>
        <w:t xml:space="preserve"> a 1st </w:t>
      </w:r>
      <w:r w:rsidR="00492B0A" w:rsidRPr="002E6F2A">
        <w:rPr>
          <w:sz w:val="24"/>
          <w:szCs w:val="24"/>
        </w:rPr>
        <w:t xml:space="preserve">October 2016 </w:t>
      </w:r>
      <w:r w:rsidR="007B66E2" w:rsidRPr="002E6F2A">
        <w:rPr>
          <w:sz w:val="24"/>
          <w:szCs w:val="24"/>
        </w:rPr>
        <w:t xml:space="preserve">deadline </w:t>
      </w:r>
      <w:r w:rsidR="00CD4DEA" w:rsidRPr="002E6F2A">
        <w:rPr>
          <w:sz w:val="24"/>
          <w:szCs w:val="24"/>
        </w:rPr>
        <w:t xml:space="preserve">for EPA ratification or provisional application. </w:t>
      </w:r>
      <w:r w:rsidR="00CD4DEA" w:rsidRPr="002E6F2A">
        <w:rPr>
          <w:rStyle w:val="FootnoteReference"/>
          <w:sz w:val="24"/>
          <w:szCs w:val="24"/>
        </w:rPr>
        <w:footnoteReference w:id="24"/>
      </w:r>
      <w:r w:rsidR="007B66E2" w:rsidRPr="002E6F2A">
        <w:rPr>
          <w:sz w:val="24"/>
          <w:szCs w:val="24"/>
        </w:rPr>
        <w:t xml:space="preserve"> </w:t>
      </w:r>
    </w:p>
    <w:p w14:paraId="4010EF39" w14:textId="77777777" w:rsidR="007B503C" w:rsidRDefault="007B66E2" w:rsidP="0002435D">
      <w:pPr>
        <w:spacing w:line="360" w:lineRule="auto"/>
        <w:rPr>
          <w:sz w:val="24"/>
          <w:szCs w:val="24"/>
        </w:rPr>
      </w:pPr>
      <w:r w:rsidRPr="002E6F2A">
        <w:rPr>
          <w:sz w:val="24"/>
          <w:szCs w:val="24"/>
        </w:rPr>
        <w:t xml:space="preserve">Unsurprisingly, </w:t>
      </w:r>
      <w:r w:rsidR="002F35C1" w:rsidRPr="002E6F2A">
        <w:rPr>
          <w:sz w:val="24"/>
          <w:szCs w:val="24"/>
        </w:rPr>
        <w:t xml:space="preserve">over the years, </w:t>
      </w:r>
      <w:r w:rsidRPr="002E6F2A">
        <w:rPr>
          <w:sz w:val="24"/>
          <w:szCs w:val="24"/>
        </w:rPr>
        <w:t xml:space="preserve">the EU’s approach to the conclusion of EPA negotiations </w:t>
      </w:r>
      <w:r w:rsidR="00A87F5F" w:rsidRPr="002E6F2A">
        <w:rPr>
          <w:sz w:val="24"/>
          <w:szCs w:val="24"/>
        </w:rPr>
        <w:t>has been</w:t>
      </w:r>
      <w:r w:rsidRPr="002E6F2A">
        <w:rPr>
          <w:sz w:val="24"/>
          <w:szCs w:val="24"/>
        </w:rPr>
        <w:t xml:space="preserve"> roundly condemned by politicians from the ACP states and regional organisations, </w:t>
      </w:r>
      <w:r w:rsidR="002F35C1" w:rsidRPr="002E6F2A">
        <w:rPr>
          <w:sz w:val="24"/>
          <w:szCs w:val="24"/>
        </w:rPr>
        <w:t>from civil society organisations and within the EU itself,</w:t>
      </w:r>
      <w:r w:rsidR="002F35C1" w:rsidRPr="002E6F2A">
        <w:rPr>
          <w:rStyle w:val="FootnoteReference"/>
          <w:sz w:val="24"/>
          <w:szCs w:val="24"/>
        </w:rPr>
        <w:footnoteReference w:id="25"/>
      </w:r>
      <w:r w:rsidR="002F35C1" w:rsidRPr="002E6F2A">
        <w:rPr>
          <w:sz w:val="24"/>
          <w:szCs w:val="24"/>
        </w:rPr>
        <w:t xml:space="preserve"> </w:t>
      </w:r>
      <w:r w:rsidRPr="002E6F2A">
        <w:rPr>
          <w:sz w:val="24"/>
          <w:szCs w:val="24"/>
        </w:rPr>
        <w:t>and most recently from the ACP institution.</w:t>
      </w:r>
      <w:r w:rsidRPr="002E6F2A">
        <w:rPr>
          <w:rStyle w:val="FootnoteReference"/>
          <w:sz w:val="24"/>
          <w:szCs w:val="24"/>
        </w:rPr>
        <w:footnoteReference w:id="26"/>
      </w:r>
      <w:r w:rsidRPr="002E6F2A">
        <w:rPr>
          <w:sz w:val="24"/>
          <w:szCs w:val="24"/>
        </w:rPr>
        <w:t xml:space="preserve"> </w:t>
      </w:r>
      <w:r w:rsidR="00A87F5F" w:rsidRPr="002E6F2A">
        <w:rPr>
          <w:sz w:val="24"/>
          <w:szCs w:val="24"/>
        </w:rPr>
        <w:t xml:space="preserve">However, the EU’s approach is perhaps </w:t>
      </w:r>
      <w:r w:rsidR="00CF693D" w:rsidRPr="002E6F2A">
        <w:rPr>
          <w:sz w:val="24"/>
          <w:szCs w:val="24"/>
        </w:rPr>
        <w:t>better understood</w:t>
      </w:r>
      <w:r w:rsidR="00A87F5F" w:rsidRPr="002E6F2A">
        <w:rPr>
          <w:sz w:val="24"/>
          <w:szCs w:val="24"/>
        </w:rPr>
        <w:t xml:space="preserve"> if a </w:t>
      </w:r>
      <w:r w:rsidR="00A87F5F" w:rsidRPr="002E6F2A">
        <w:rPr>
          <w:i/>
          <w:iCs/>
          <w:sz w:val="24"/>
          <w:szCs w:val="24"/>
        </w:rPr>
        <w:t xml:space="preserve">longue durée </w:t>
      </w:r>
      <w:r w:rsidR="00A87F5F" w:rsidRPr="002E6F2A">
        <w:rPr>
          <w:iCs/>
          <w:sz w:val="24"/>
          <w:szCs w:val="24"/>
        </w:rPr>
        <w:t xml:space="preserve">approach to its history is taken. </w:t>
      </w:r>
      <w:r w:rsidR="00B96691" w:rsidRPr="002E6F2A">
        <w:rPr>
          <w:sz w:val="24"/>
          <w:szCs w:val="24"/>
        </w:rPr>
        <w:t xml:space="preserve">The </w:t>
      </w:r>
      <w:r w:rsidR="000F73C5" w:rsidRPr="002E6F2A">
        <w:rPr>
          <w:sz w:val="24"/>
          <w:szCs w:val="24"/>
        </w:rPr>
        <w:t xml:space="preserve">EU’s </w:t>
      </w:r>
      <w:r w:rsidR="00815372" w:rsidRPr="002E6F2A">
        <w:rPr>
          <w:sz w:val="24"/>
          <w:szCs w:val="24"/>
        </w:rPr>
        <w:t xml:space="preserve">narrative </w:t>
      </w:r>
      <w:r w:rsidR="000F73C5" w:rsidRPr="002E6F2A">
        <w:rPr>
          <w:sz w:val="24"/>
          <w:szCs w:val="24"/>
        </w:rPr>
        <w:t xml:space="preserve">of relations with ACP states </w:t>
      </w:r>
      <w:r w:rsidR="001445D6" w:rsidRPr="002E6F2A">
        <w:rPr>
          <w:sz w:val="24"/>
          <w:szCs w:val="24"/>
        </w:rPr>
        <w:t>is that of</w:t>
      </w:r>
      <w:r w:rsidR="000F73C5" w:rsidRPr="002E6F2A">
        <w:rPr>
          <w:sz w:val="24"/>
          <w:szCs w:val="24"/>
        </w:rPr>
        <w:t xml:space="preserve"> a ‘partnership’ whose most recent legal</w:t>
      </w:r>
      <w:r w:rsidR="00B96691" w:rsidRPr="002E6F2A">
        <w:rPr>
          <w:sz w:val="24"/>
          <w:szCs w:val="24"/>
        </w:rPr>
        <w:t xml:space="preserve"> iteration</w:t>
      </w:r>
      <w:r w:rsidR="000F73C5" w:rsidRPr="002E6F2A">
        <w:rPr>
          <w:sz w:val="24"/>
          <w:szCs w:val="24"/>
        </w:rPr>
        <w:t xml:space="preserve"> through the Cotonou Partnership Agreement (2000-2020) </w:t>
      </w:r>
      <w:r w:rsidR="001445D6" w:rsidRPr="002E6F2A">
        <w:rPr>
          <w:sz w:val="24"/>
          <w:szCs w:val="24"/>
        </w:rPr>
        <w:t>aims</w:t>
      </w:r>
      <w:r w:rsidR="000F73C5" w:rsidRPr="002E6F2A">
        <w:rPr>
          <w:sz w:val="24"/>
          <w:szCs w:val="24"/>
        </w:rPr>
        <w:t xml:space="preserve"> at ‘eradicating poverty in the longer-term …. [c]ontributing to peace, security and a stable and democratic political environment in the ACP states, with </w:t>
      </w:r>
      <w:r w:rsidR="000F73C5" w:rsidRPr="002E6F2A">
        <w:rPr>
          <w:sz w:val="24"/>
          <w:szCs w:val="24"/>
        </w:rPr>
        <w:lastRenderedPageBreak/>
        <w:t>the ACP countries playing a strengthened and equal role in the international context</w:t>
      </w:r>
      <w:r w:rsidR="001445D6" w:rsidRPr="002E6F2A">
        <w:rPr>
          <w:sz w:val="24"/>
          <w:szCs w:val="24"/>
        </w:rPr>
        <w:t>.</w:t>
      </w:r>
      <w:r w:rsidR="000F73C5" w:rsidRPr="002E6F2A">
        <w:rPr>
          <w:sz w:val="24"/>
          <w:szCs w:val="24"/>
        </w:rPr>
        <w:t>”</w:t>
      </w:r>
      <w:r w:rsidR="000F73C5" w:rsidRPr="002E6F2A">
        <w:rPr>
          <w:rStyle w:val="FootnoteReference"/>
          <w:sz w:val="24"/>
          <w:szCs w:val="24"/>
        </w:rPr>
        <w:footnoteReference w:id="27"/>
      </w:r>
      <w:r w:rsidR="00B96691" w:rsidRPr="002E6F2A">
        <w:rPr>
          <w:sz w:val="24"/>
          <w:szCs w:val="24"/>
        </w:rPr>
        <w:t xml:space="preserve"> </w:t>
      </w:r>
      <w:r w:rsidR="001445D6" w:rsidRPr="002E6F2A">
        <w:rPr>
          <w:sz w:val="24"/>
          <w:szCs w:val="24"/>
        </w:rPr>
        <w:t xml:space="preserve">A critical reading of this narrative would highlight how it </w:t>
      </w:r>
      <w:r w:rsidR="00B96691" w:rsidRPr="002E6F2A">
        <w:rPr>
          <w:sz w:val="24"/>
          <w:szCs w:val="24"/>
        </w:rPr>
        <w:t xml:space="preserve">captures well the melding of </w:t>
      </w:r>
      <w:r w:rsidR="004C32D3" w:rsidRPr="002E6F2A">
        <w:rPr>
          <w:sz w:val="24"/>
          <w:szCs w:val="24"/>
        </w:rPr>
        <w:t xml:space="preserve">two </w:t>
      </w:r>
      <w:r w:rsidR="00B96691" w:rsidRPr="002E6F2A">
        <w:rPr>
          <w:sz w:val="24"/>
          <w:szCs w:val="24"/>
        </w:rPr>
        <w:t>projects of</w:t>
      </w:r>
      <w:r w:rsidR="004C32D3" w:rsidRPr="002E6F2A">
        <w:rPr>
          <w:sz w:val="24"/>
          <w:szCs w:val="24"/>
        </w:rPr>
        <w:t xml:space="preserve"> ‘</w:t>
      </w:r>
      <w:r w:rsidR="0002435D">
        <w:rPr>
          <w:sz w:val="24"/>
          <w:szCs w:val="24"/>
        </w:rPr>
        <w:t>commerce and civilisation</w:t>
      </w:r>
      <w:r w:rsidR="007B503C">
        <w:rPr>
          <w:sz w:val="24"/>
          <w:szCs w:val="24"/>
        </w:rPr>
        <w:t xml:space="preserve"> </w:t>
      </w:r>
      <w:r w:rsidR="004C32D3" w:rsidRPr="002E6F2A">
        <w:rPr>
          <w:sz w:val="24"/>
          <w:szCs w:val="24"/>
        </w:rPr>
        <w:t>promise</w:t>
      </w:r>
      <w:r w:rsidR="00B96691" w:rsidRPr="002E6F2A">
        <w:rPr>
          <w:sz w:val="24"/>
          <w:szCs w:val="24"/>
        </w:rPr>
        <w:t xml:space="preserve"> </w:t>
      </w:r>
      <w:r w:rsidR="004C32D3" w:rsidRPr="002E6F2A">
        <w:rPr>
          <w:sz w:val="24"/>
          <w:szCs w:val="24"/>
        </w:rPr>
        <w:t>universalism’</w:t>
      </w:r>
      <w:r w:rsidR="00E163C6" w:rsidRPr="002E6F2A">
        <w:rPr>
          <w:sz w:val="24"/>
          <w:szCs w:val="24"/>
        </w:rPr>
        <w:t xml:space="preserve"> </w:t>
      </w:r>
      <w:r w:rsidR="000A3453">
        <w:rPr>
          <w:sz w:val="24"/>
          <w:szCs w:val="24"/>
        </w:rPr>
        <w:t xml:space="preserve">particularly dominant </w:t>
      </w:r>
      <w:r w:rsidR="001445D6" w:rsidRPr="002E6F2A">
        <w:rPr>
          <w:sz w:val="24"/>
          <w:szCs w:val="24"/>
        </w:rPr>
        <w:t xml:space="preserve">within </w:t>
      </w:r>
      <w:r w:rsidR="000A3453">
        <w:rPr>
          <w:sz w:val="24"/>
          <w:szCs w:val="24"/>
        </w:rPr>
        <w:t xml:space="preserve">organised </w:t>
      </w:r>
      <w:r w:rsidR="001445D6" w:rsidRPr="002E6F2A">
        <w:rPr>
          <w:sz w:val="24"/>
          <w:szCs w:val="24"/>
        </w:rPr>
        <w:t xml:space="preserve">international </w:t>
      </w:r>
      <w:r w:rsidR="000A3453">
        <w:rPr>
          <w:sz w:val="24"/>
          <w:szCs w:val="24"/>
        </w:rPr>
        <w:t>relations since World War II</w:t>
      </w:r>
      <w:r w:rsidR="00E163C6" w:rsidRPr="002E6F2A">
        <w:rPr>
          <w:sz w:val="24"/>
          <w:szCs w:val="24"/>
        </w:rPr>
        <w:t>.</w:t>
      </w:r>
      <w:r w:rsidR="00E669FC" w:rsidRPr="002E6F2A">
        <w:rPr>
          <w:rStyle w:val="FootnoteReference"/>
          <w:sz w:val="24"/>
          <w:szCs w:val="24"/>
        </w:rPr>
        <w:t xml:space="preserve"> </w:t>
      </w:r>
      <w:r w:rsidR="00E163C6" w:rsidRPr="002E6F2A">
        <w:rPr>
          <w:sz w:val="24"/>
          <w:szCs w:val="24"/>
        </w:rPr>
        <w:t>The</w:t>
      </w:r>
      <w:r w:rsidR="004C32D3" w:rsidRPr="002E6F2A">
        <w:rPr>
          <w:sz w:val="24"/>
          <w:szCs w:val="24"/>
        </w:rPr>
        <w:t xml:space="preserve"> first</w:t>
      </w:r>
      <w:r w:rsidR="00E163C6" w:rsidRPr="002E6F2A">
        <w:rPr>
          <w:sz w:val="24"/>
          <w:szCs w:val="24"/>
        </w:rPr>
        <w:t xml:space="preserve"> </w:t>
      </w:r>
      <w:r w:rsidR="009B3CEE" w:rsidRPr="002E6F2A">
        <w:rPr>
          <w:sz w:val="24"/>
          <w:szCs w:val="24"/>
        </w:rPr>
        <w:t xml:space="preserve">project </w:t>
      </w:r>
      <w:r w:rsidR="00E163C6" w:rsidRPr="002E6F2A">
        <w:rPr>
          <w:sz w:val="24"/>
          <w:szCs w:val="24"/>
        </w:rPr>
        <w:t>aims at</w:t>
      </w:r>
      <w:r w:rsidR="004C32D3" w:rsidRPr="002E6F2A">
        <w:rPr>
          <w:sz w:val="24"/>
          <w:szCs w:val="24"/>
        </w:rPr>
        <w:t xml:space="preserve"> an </w:t>
      </w:r>
      <w:r w:rsidR="00B96691" w:rsidRPr="002E6F2A">
        <w:rPr>
          <w:sz w:val="24"/>
          <w:szCs w:val="24"/>
        </w:rPr>
        <w:t xml:space="preserve">international </w:t>
      </w:r>
      <w:r w:rsidR="004C32D3" w:rsidRPr="002E6F2A">
        <w:rPr>
          <w:sz w:val="24"/>
          <w:szCs w:val="24"/>
        </w:rPr>
        <w:t xml:space="preserve">community </w:t>
      </w:r>
      <w:r w:rsidR="000A3453">
        <w:rPr>
          <w:sz w:val="24"/>
          <w:szCs w:val="24"/>
        </w:rPr>
        <w:t xml:space="preserve">engendered </w:t>
      </w:r>
      <w:r w:rsidR="004C32D3" w:rsidRPr="002E6F2A">
        <w:rPr>
          <w:sz w:val="24"/>
          <w:szCs w:val="24"/>
        </w:rPr>
        <w:t>through international law based on a particular idea of the nation-state</w:t>
      </w:r>
      <w:r w:rsidR="00E163C6" w:rsidRPr="002E6F2A">
        <w:rPr>
          <w:sz w:val="24"/>
          <w:szCs w:val="24"/>
        </w:rPr>
        <w:t>. The second</w:t>
      </w:r>
      <w:r w:rsidR="004C32D3" w:rsidRPr="002E6F2A">
        <w:rPr>
          <w:sz w:val="24"/>
          <w:szCs w:val="24"/>
        </w:rPr>
        <w:t xml:space="preserve"> </w:t>
      </w:r>
      <w:r w:rsidR="00E163C6" w:rsidRPr="002E6F2A">
        <w:rPr>
          <w:sz w:val="24"/>
          <w:szCs w:val="24"/>
        </w:rPr>
        <w:t xml:space="preserve">promotes </w:t>
      </w:r>
      <w:r w:rsidR="00146DAD" w:rsidRPr="002E6F2A">
        <w:rPr>
          <w:sz w:val="24"/>
          <w:szCs w:val="24"/>
        </w:rPr>
        <w:t xml:space="preserve">an idea of </w:t>
      </w:r>
      <w:r w:rsidR="00B96691" w:rsidRPr="002E6F2A">
        <w:rPr>
          <w:sz w:val="24"/>
          <w:szCs w:val="24"/>
        </w:rPr>
        <w:t xml:space="preserve">development </w:t>
      </w:r>
      <w:r w:rsidR="004C32D3" w:rsidRPr="002E6F2A">
        <w:rPr>
          <w:sz w:val="24"/>
          <w:szCs w:val="24"/>
        </w:rPr>
        <w:t xml:space="preserve">centred on </w:t>
      </w:r>
      <w:r w:rsidR="00146DAD" w:rsidRPr="002E6F2A">
        <w:rPr>
          <w:sz w:val="24"/>
          <w:szCs w:val="24"/>
        </w:rPr>
        <w:t>economic growth</w:t>
      </w:r>
      <w:r w:rsidR="000A3453">
        <w:rPr>
          <w:sz w:val="24"/>
          <w:szCs w:val="24"/>
        </w:rPr>
        <w:t>.</w:t>
      </w:r>
      <w:r w:rsidR="00146DAD" w:rsidRPr="002E6F2A">
        <w:rPr>
          <w:rStyle w:val="FootnoteReference"/>
          <w:sz w:val="24"/>
          <w:szCs w:val="24"/>
        </w:rPr>
        <w:footnoteReference w:id="28"/>
      </w:r>
      <w:r w:rsidR="000A3453">
        <w:rPr>
          <w:sz w:val="24"/>
          <w:szCs w:val="24"/>
        </w:rPr>
        <w:t xml:space="preserve">  For both projects,</w:t>
      </w:r>
      <w:r w:rsidR="001445D6" w:rsidRPr="002E6F2A">
        <w:rPr>
          <w:sz w:val="24"/>
          <w:szCs w:val="24"/>
        </w:rPr>
        <w:t xml:space="preserve"> the formation of states able to promote international commerce </w:t>
      </w:r>
      <w:r w:rsidR="000A3453">
        <w:rPr>
          <w:sz w:val="24"/>
          <w:szCs w:val="24"/>
        </w:rPr>
        <w:t>is a</w:t>
      </w:r>
      <w:r w:rsidR="001445D6" w:rsidRPr="002E6F2A">
        <w:rPr>
          <w:sz w:val="24"/>
          <w:szCs w:val="24"/>
        </w:rPr>
        <w:t xml:space="preserve"> </w:t>
      </w:r>
      <w:r w:rsidR="000A3453">
        <w:rPr>
          <w:sz w:val="24"/>
          <w:szCs w:val="24"/>
        </w:rPr>
        <w:t xml:space="preserve">shared </w:t>
      </w:r>
      <w:r w:rsidR="001445D6" w:rsidRPr="002E6F2A">
        <w:rPr>
          <w:sz w:val="24"/>
          <w:szCs w:val="24"/>
        </w:rPr>
        <w:t>lynchpin</w:t>
      </w:r>
      <w:r w:rsidR="000A3453">
        <w:rPr>
          <w:sz w:val="24"/>
          <w:szCs w:val="24"/>
        </w:rPr>
        <w:t xml:space="preserve">, justifying </w:t>
      </w:r>
      <w:r w:rsidR="00E669FC" w:rsidRPr="002E6F2A">
        <w:rPr>
          <w:sz w:val="24"/>
          <w:szCs w:val="24"/>
        </w:rPr>
        <w:t xml:space="preserve">a ‘structural logic’ </w:t>
      </w:r>
      <w:r w:rsidR="000A3453">
        <w:rPr>
          <w:sz w:val="24"/>
          <w:szCs w:val="24"/>
        </w:rPr>
        <w:t xml:space="preserve">of circular interventions from the international to the national, </w:t>
      </w:r>
      <w:r w:rsidR="00AD65EF" w:rsidRPr="002E6F2A">
        <w:rPr>
          <w:sz w:val="24"/>
          <w:szCs w:val="24"/>
        </w:rPr>
        <w:t>legitimised and facilitated through international law</w:t>
      </w:r>
      <w:r w:rsidR="000A3453">
        <w:rPr>
          <w:sz w:val="24"/>
          <w:szCs w:val="24"/>
        </w:rPr>
        <w:t>.</w:t>
      </w:r>
      <w:r w:rsidR="000A3453" w:rsidRPr="000A3453">
        <w:rPr>
          <w:rStyle w:val="FootnoteReference"/>
          <w:sz w:val="24"/>
          <w:szCs w:val="24"/>
        </w:rPr>
        <w:t xml:space="preserve"> </w:t>
      </w:r>
      <w:r w:rsidR="000A3453" w:rsidRPr="002E6F2A">
        <w:rPr>
          <w:rStyle w:val="FootnoteReference"/>
          <w:sz w:val="24"/>
          <w:szCs w:val="24"/>
        </w:rPr>
        <w:footnoteReference w:id="29"/>
      </w:r>
      <w:r w:rsidR="000A3453" w:rsidRPr="002E6F2A">
        <w:rPr>
          <w:sz w:val="24"/>
          <w:szCs w:val="24"/>
        </w:rPr>
        <w:t xml:space="preserve"> </w:t>
      </w:r>
      <w:r w:rsidR="000A3453">
        <w:rPr>
          <w:sz w:val="24"/>
          <w:szCs w:val="24"/>
        </w:rPr>
        <w:t xml:space="preserve"> </w:t>
      </w:r>
      <w:r w:rsidR="00E669FC" w:rsidRPr="002E6F2A">
        <w:rPr>
          <w:sz w:val="24"/>
          <w:szCs w:val="24"/>
        </w:rPr>
        <w:t xml:space="preserve"> </w:t>
      </w:r>
    </w:p>
    <w:p w14:paraId="4010EF3A" w14:textId="77777777" w:rsidR="002E6F2A" w:rsidRDefault="002E6F2A" w:rsidP="00912850">
      <w:pPr>
        <w:autoSpaceDE w:val="0"/>
        <w:autoSpaceDN w:val="0"/>
        <w:adjustRightInd w:val="0"/>
        <w:spacing w:after="0" w:line="360" w:lineRule="auto"/>
        <w:rPr>
          <w:sz w:val="24"/>
          <w:szCs w:val="24"/>
        </w:rPr>
      </w:pPr>
      <w:r w:rsidRPr="002E6F2A">
        <w:rPr>
          <w:sz w:val="24"/>
          <w:szCs w:val="24"/>
        </w:rPr>
        <w:t xml:space="preserve">This </w:t>
      </w:r>
      <w:r w:rsidR="00712467">
        <w:rPr>
          <w:sz w:val="24"/>
          <w:szCs w:val="24"/>
        </w:rPr>
        <w:t xml:space="preserve">critical </w:t>
      </w:r>
      <w:r w:rsidRPr="002E6F2A">
        <w:rPr>
          <w:sz w:val="24"/>
          <w:szCs w:val="24"/>
        </w:rPr>
        <w:t xml:space="preserve">perspective </w:t>
      </w:r>
      <w:r w:rsidR="00C043CA">
        <w:rPr>
          <w:sz w:val="24"/>
          <w:szCs w:val="24"/>
        </w:rPr>
        <w:t>can trace</w:t>
      </w:r>
      <w:r w:rsidRPr="002E6F2A">
        <w:rPr>
          <w:sz w:val="24"/>
          <w:szCs w:val="24"/>
        </w:rPr>
        <w:t xml:space="preserve"> continuities </w:t>
      </w:r>
      <w:r w:rsidR="00C043CA">
        <w:rPr>
          <w:sz w:val="24"/>
          <w:szCs w:val="24"/>
        </w:rPr>
        <w:t xml:space="preserve">in iterations of these twin projects </w:t>
      </w:r>
      <w:r w:rsidRPr="002E6F2A">
        <w:rPr>
          <w:sz w:val="24"/>
          <w:szCs w:val="24"/>
        </w:rPr>
        <w:t>between the current aims and provisions of the Cotonou Partnership Agreement</w:t>
      </w:r>
      <w:r>
        <w:rPr>
          <w:sz w:val="24"/>
          <w:szCs w:val="24"/>
        </w:rPr>
        <w:t xml:space="preserve"> to key points in EU-ACP relations in the past.</w:t>
      </w:r>
      <w:r w:rsidR="00D64594">
        <w:rPr>
          <w:sz w:val="24"/>
          <w:szCs w:val="24"/>
        </w:rPr>
        <w:t xml:space="preserve"> </w:t>
      </w:r>
      <w:r w:rsidR="0002435D">
        <w:rPr>
          <w:sz w:val="24"/>
          <w:szCs w:val="24"/>
        </w:rPr>
        <w:t>Precedents include</w:t>
      </w:r>
      <w:r w:rsidR="00C043CA">
        <w:rPr>
          <w:sz w:val="24"/>
          <w:szCs w:val="24"/>
        </w:rPr>
        <w:t xml:space="preserve"> the </w:t>
      </w:r>
      <w:r w:rsidRPr="002E6F2A">
        <w:rPr>
          <w:sz w:val="24"/>
          <w:szCs w:val="24"/>
        </w:rPr>
        <w:t xml:space="preserve">1957 </w:t>
      </w:r>
      <w:r w:rsidR="00C043CA">
        <w:rPr>
          <w:sz w:val="24"/>
          <w:szCs w:val="24"/>
        </w:rPr>
        <w:t xml:space="preserve">Treaty Establishing the European Economic Community </w:t>
      </w:r>
      <w:r>
        <w:rPr>
          <w:sz w:val="24"/>
          <w:szCs w:val="24"/>
        </w:rPr>
        <w:t xml:space="preserve">included </w:t>
      </w:r>
      <w:r w:rsidRPr="002E6F2A">
        <w:rPr>
          <w:sz w:val="24"/>
          <w:szCs w:val="24"/>
        </w:rPr>
        <w:t xml:space="preserve">Article 131 that </w:t>
      </w:r>
      <w:r w:rsidRPr="002E6F2A">
        <w:rPr>
          <w:sz w:val="24"/>
          <w:szCs w:val="24"/>
          <w:lang w:val="en-CA"/>
        </w:rPr>
        <w:t xml:space="preserve">created </w:t>
      </w:r>
      <w:r w:rsidR="00C043CA">
        <w:rPr>
          <w:sz w:val="24"/>
          <w:szCs w:val="24"/>
          <w:lang w:val="en-CA"/>
        </w:rPr>
        <w:t xml:space="preserve">an </w:t>
      </w:r>
      <w:r w:rsidRPr="002E6F2A">
        <w:rPr>
          <w:sz w:val="24"/>
          <w:szCs w:val="24"/>
          <w:lang w:val="en-CA"/>
        </w:rPr>
        <w:t>Association of Over</w:t>
      </w:r>
      <w:r w:rsidR="00C043CA">
        <w:rPr>
          <w:sz w:val="24"/>
          <w:szCs w:val="24"/>
          <w:lang w:val="en-CA"/>
        </w:rPr>
        <w:t>seas Countries and Territories ‘to bring into association with the Community the non-European countries and territories which have special relations with Belgium, France, Italy and the Netherlands’ in order to ‘</w:t>
      </w:r>
      <w:r w:rsidR="00C043CA">
        <w:rPr>
          <w:rFonts w:cs="TimesNewRoman"/>
          <w:sz w:val="24"/>
          <w:szCs w:val="24"/>
        </w:rPr>
        <w:t>permit the furthering of the interests and prosperity of the inhabitants of those countries and territories in such a manner as to</w:t>
      </w:r>
      <w:r w:rsidR="007B503C">
        <w:rPr>
          <w:rFonts w:cs="TimesNewRoman"/>
          <w:sz w:val="24"/>
          <w:szCs w:val="24"/>
        </w:rPr>
        <w:t xml:space="preserve"> lead them to the economic, social and cultural development to which they expect.’</w:t>
      </w:r>
      <w:r w:rsidR="000502F1">
        <w:rPr>
          <w:rStyle w:val="FootnoteReference"/>
          <w:rFonts w:cs="TimesNewRoman"/>
          <w:sz w:val="24"/>
          <w:szCs w:val="24"/>
        </w:rPr>
        <w:footnoteReference w:id="30"/>
      </w:r>
      <w:r>
        <w:rPr>
          <w:rFonts w:cs="TimesNewRoman"/>
          <w:sz w:val="24"/>
          <w:szCs w:val="24"/>
        </w:rPr>
        <w:t xml:space="preserve"> The</w:t>
      </w:r>
      <w:r w:rsidR="007B503C">
        <w:rPr>
          <w:rFonts w:cs="TimesNewRoman"/>
          <w:sz w:val="24"/>
          <w:szCs w:val="24"/>
        </w:rPr>
        <w:t>se sentiments were echoed in the</w:t>
      </w:r>
      <w:r>
        <w:rPr>
          <w:rFonts w:cs="TimesNewRoman"/>
          <w:sz w:val="24"/>
          <w:szCs w:val="24"/>
        </w:rPr>
        <w:t xml:space="preserve"> e</w:t>
      </w:r>
      <w:r w:rsidRPr="002E6F2A">
        <w:rPr>
          <w:sz w:val="24"/>
          <w:szCs w:val="24"/>
        </w:rPr>
        <w:t>arlier Schumann Declaration</w:t>
      </w:r>
      <w:r w:rsidR="000502F1">
        <w:rPr>
          <w:sz w:val="24"/>
          <w:szCs w:val="24"/>
        </w:rPr>
        <w:t xml:space="preserve"> </w:t>
      </w:r>
      <w:r w:rsidR="00AD65EF">
        <w:rPr>
          <w:sz w:val="24"/>
          <w:szCs w:val="24"/>
        </w:rPr>
        <w:t>of</w:t>
      </w:r>
      <w:r w:rsidR="00AD65EF" w:rsidRPr="002E6F2A">
        <w:rPr>
          <w:sz w:val="24"/>
          <w:szCs w:val="24"/>
        </w:rPr>
        <w:t xml:space="preserve"> 9</w:t>
      </w:r>
      <w:r w:rsidR="00AD65EF" w:rsidRPr="002E6F2A">
        <w:rPr>
          <w:sz w:val="24"/>
          <w:szCs w:val="24"/>
          <w:vertAlign w:val="superscript"/>
        </w:rPr>
        <w:t>th</w:t>
      </w:r>
      <w:r w:rsidR="00AD65EF" w:rsidRPr="002E6F2A">
        <w:rPr>
          <w:sz w:val="24"/>
          <w:szCs w:val="24"/>
        </w:rPr>
        <w:t xml:space="preserve"> May, 1950</w:t>
      </w:r>
      <w:r w:rsidR="007B503C">
        <w:rPr>
          <w:sz w:val="24"/>
          <w:szCs w:val="24"/>
        </w:rPr>
        <w:t>,</w:t>
      </w:r>
      <w:r w:rsidR="00AD65EF" w:rsidRPr="002E6F2A">
        <w:rPr>
          <w:sz w:val="24"/>
          <w:szCs w:val="24"/>
        </w:rPr>
        <w:t xml:space="preserve"> </w:t>
      </w:r>
      <w:r w:rsidR="000502F1">
        <w:rPr>
          <w:sz w:val="24"/>
          <w:szCs w:val="24"/>
        </w:rPr>
        <w:t xml:space="preserve">which </w:t>
      </w:r>
      <w:r w:rsidR="000502F1" w:rsidRPr="002E6F2A">
        <w:rPr>
          <w:sz w:val="24"/>
          <w:szCs w:val="24"/>
        </w:rPr>
        <w:t>signalled the founding of the European Coal and Steel Community</w:t>
      </w:r>
      <w:r w:rsidR="00AD65EF">
        <w:rPr>
          <w:sz w:val="24"/>
          <w:szCs w:val="24"/>
        </w:rPr>
        <w:t xml:space="preserve"> (</w:t>
      </w:r>
      <w:r w:rsidR="000502F1">
        <w:rPr>
          <w:sz w:val="24"/>
          <w:szCs w:val="24"/>
        </w:rPr>
        <w:t>widely viewed as the precursor to the current EU</w:t>
      </w:r>
      <w:r w:rsidR="00AD65EF">
        <w:rPr>
          <w:sz w:val="24"/>
          <w:szCs w:val="24"/>
        </w:rPr>
        <w:t>)</w:t>
      </w:r>
      <w:r w:rsidR="00712467">
        <w:rPr>
          <w:sz w:val="24"/>
          <w:szCs w:val="24"/>
        </w:rPr>
        <w:t>. It included</w:t>
      </w:r>
      <w:r w:rsidRPr="002E6F2A">
        <w:rPr>
          <w:sz w:val="24"/>
          <w:szCs w:val="24"/>
        </w:rPr>
        <w:t xml:space="preserve"> the following paragraph</w:t>
      </w:r>
      <w:r w:rsidR="000502F1">
        <w:rPr>
          <w:sz w:val="24"/>
          <w:szCs w:val="24"/>
        </w:rPr>
        <w:t xml:space="preserve"> -</w:t>
      </w:r>
    </w:p>
    <w:p w14:paraId="4010EF3B" w14:textId="77777777" w:rsidR="002E6F2A" w:rsidRPr="002E6F2A" w:rsidRDefault="002E6F2A" w:rsidP="002E6F2A">
      <w:pPr>
        <w:autoSpaceDE w:val="0"/>
        <w:autoSpaceDN w:val="0"/>
        <w:adjustRightInd w:val="0"/>
        <w:spacing w:after="0" w:line="240" w:lineRule="auto"/>
        <w:ind w:left="720"/>
        <w:rPr>
          <w:sz w:val="20"/>
          <w:szCs w:val="20"/>
        </w:rPr>
      </w:pPr>
      <w:proofErr w:type="gramStart"/>
      <w:r w:rsidRPr="002E6F2A">
        <w:rPr>
          <w:sz w:val="20"/>
          <w:szCs w:val="20"/>
        </w:rPr>
        <w:t>-“</w:t>
      </w:r>
      <w:proofErr w:type="gramEnd"/>
      <w:r w:rsidRPr="002E6F2A">
        <w:rPr>
          <w:sz w:val="20"/>
          <w:szCs w:val="20"/>
        </w:rPr>
        <w:t xml:space="preserve">This production will be offered </w:t>
      </w:r>
      <w:r w:rsidRPr="00712467">
        <w:rPr>
          <w:i/>
          <w:sz w:val="20"/>
          <w:szCs w:val="20"/>
        </w:rPr>
        <w:t>to the world as a whole</w:t>
      </w:r>
      <w:r w:rsidRPr="002E6F2A">
        <w:rPr>
          <w:sz w:val="20"/>
          <w:szCs w:val="20"/>
        </w:rPr>
        <w:t xml:space="preserve"> without distinction or exception, with the aim of contributing to </w:t>
      </w:r>
      <w:r w:rsidRPr="000502F1">
        <w:rPr>
          <w:i/>
          <w:sz w:val="20"/>
          <w:szCs w:val="20"/>
        </w:rPr>
        <w:t>raising living standards and to promoting peaceful achievements</w:t>
      </w:r>
      <w:r w:rsidRPr="002E6F2A">
        <w:rPr>
          <w:sz w:val="20"/>
          <w:szCs w:val="20"/>
        </w:rPr>
        <w:t xml:space="preserve">. With increased resources Europe will be able to pursue the achievement of </w:t>
      </w:r>
      <w:r w:rsidRPr="00724F12">
        <w:rPr>
          <w:i/>
          <w:sz w:val="20"/>
          <w:szCs w:val="20"/>
        </w:rPr>
        <w:t xml:space="preserve">one of its essential tasks, </w:t>
      </w:r>
      <w:r w:rsidRPr="00712467">
        <w:rPr>
          <w:sz w:val="20"/>
          <w:szCs w:val="20"/>
        </w:rPr>
        <w:t>namely</w:t>
      </w:r>
      <w:r w:rsidRPr="00724F12">
        <w:rPr>
          <w:i/>
          <w:sz w:val="20"/>
          <w:szCs w:val="20"/>
        </w:rPr>
        <w:t>, the development of the African continent</w:t>
      </w:r>
      <w:r w:rsidRPr="002E6F2A">
        <w:rPr>
          <w:sz w:val="20"/>
          <w:szCs w:val="20"/>
        </w:rPr>
        <w:t xml:space="preserve">. In this way, there will be realised simply and speedily that </w:t>
      </w:r>
      <w:r w:rsidRPr="00724F12">
        <w:rPr>
          <w:i/>
          <w:sz w:val="20"/>
          <w:szCs w:val="20"/>
        </w:rPr>
        <w:t>fusion of interest</w:t>
      </w:r>
      <w:r w:rsidRPr="002E6F2A">
        <w:rPr>
          <w:sz w:val="20"/>
          <w:szCs w:val="20"/>
        </w:rPr>
        <w:t xml:space="preserve"> which is indispensable to the establishment of a common economic </w:t>
      </w:r>
      <w:r w:rsidRPr="002E6F2A">
        <w:rPr>
          <w:sz w:val="20"/>
          <w:szCs w:val="20"/>
        </w:rPr>
        <w:lastRenderedPageBreak/>
        <w:t>system; it may be the leaven from which may grow a wider and deeper community between countries long opposed to one another by sanguinary divisions</w:t>
      </w:r>
      <w:r w:rsidR="00724F12">
        <w:rPr>
          <w:sz w:val="20"/>
          <w:szCs w:val="20"/>
        </w:rPr>
        <w:t>.</w:t>
      </w:r>
      <w:r w:rsidRPr="002E6F2A">
        <w:rPr>
          <w:sz w:val="20"/>
          <w:szCs w:val="20"/>
        </w:rPr>
        <w:t xml:space="preserve">” </w:t>
      </w:r>
      <w:r w:rsidR="00724F12" w:rsidRPr="002E6F2A">
        <w:rPr>
          <w:rStyle w:val="FootnoteReference"/>
          <w:sz w:val="20"/>
          <w:szCs w:val="20"/>
        </w:rPr>
        <w:footnoteReference w:id="31"/>
      </w:r>
    </w:p>
    <w:p w14:paraId="4010EF3C" w14:textId="77777777" w:rsidR="002E6F2A" w:rsidRDefault="002E6F2A" w:rsidP="00912850">
      <w:pPr>
        <w:autoSpaceDE w:val="0"/>
        <w:autoSpaceDN w:val="0"/>
        <w:adjustRightInd w:val="0"/>
        <w:spacing w:after="0" w:line="360" w:lineRule="auto"/>
        <w:rPr>
          <w:sz w:val="24"/>
          <w:szCs w:val="24"/>
        </w:rPr>
      </w:pPr>
    </w:p>
    <w:p w14:paraId="4010EF3D" w14:textId="77777777" w:rsidR="002E6F2A" w:rsidRPr="00724F12" w:rsidRDefault="00724F12" w:rsidP="00912850">
      <w:pPr>
        <w:autoSpaceDE w:val="0"/>
        <w:autoSpaceDN w:val="0"/>
        <w:adjustRightInd w:val="0"/>
        <w:spacing w:after="0" w:line="360" w:lineRule="auto"/>
        <w:rPr>
          <w:sz w:val="24"/>
          <w:szCs w:val="24"/>
        </w:rPr>
      </w:pPr>
      <w:r>
        <w:rPr>
          <w:rFonts w:cs="AdvP3E76B0"/>
          <w:sz w:val="24"/>
          <w:szCs w:val="24"/>
        </w:rPr>
        <w:t xml:space="preserve">That </w:t>
      </w:r>
      <w:r w:rsidR="007B503C">
        <w:rPr>
          <w:rFonts w:cs="AdvP3E76B0"/>
          <w:sz w:val="24"/>
          <w:szCs w:val="24"/>
        </w:rPr>
        <w:t>rationale</w:t>
      </w:r>
      <w:r>
        <w:rPr>
          <w:rFonts w:cs="AdvP3E76B0"/>
          <w:sz w:val="24"/>
          <w:szCs w:val="24"/>
        </w:rPr>
        <w:t xml:space="preserve"> was also evident </w:t>
      </w:r>
      <w:r w:rsidRPr="00724F12">
        <w:rPr>
          <w:rFonts w:cs="AdvP3E76B0"/>
          <w:sz w:val="24"/>
          <w:szCs w:val="24"/>
        </w:rPr>
        <w:t>in the Berlin West Africa Conference of 1884-1885</w:t>
      </w:r>
      <w:r>
        <w:rPr>
          <w:rFonts w:cs="AdvP3E76B0"/>
          <w:sz w:val="24"/>
          <w:szCs w:val="24"/>
        </w:rPr>
        <w:t>.</w:t>
      </w:r>
      <w:r w:rsidR="00AD65EF">
        <w:rPr>
          <w:rFonts w:cs="AdvP3E76B0"/>
          <w:sz w:val="24"/>
          <w:szCs w:val="24"/>
        </w:rPr>
        <w:t xml:space="preserve"> </w:t>
      </w:r>
      <w:r w:rsidR="00AD65EF">
        <w:rPr>
          <w:rStyle w:val="FootnoteReference"/>
          <w:rFonts w:cs="AdvP3E76B0"/>
          <w:sz w:val="24"/>
          <w:szCs w:val="24"/>
        </w:rPr>
        <w:footnoteReference w:id="32"/>
      </w:r>
      <w:r>
        <w:rPr>
          <w:rFonts w:cs="AdvP3E76B0"/>
          <w:sz w:val="24"/>
          <w:szCs w:val="24"/>
        </w:rPr>
        <w:t xml:space="preserve"> </w:t>
      </w:r>
      <w:r w:rsidR="00FC4509">
        <w:rPr>
          <w:rFonts w:cs="AdvP3E76B0"/>
          <w:sz w:val="24"/>
          <w:szCs w:val="24"/>
        </w:rPr>
        <w:t xml:space="preserve">The Preamble of </w:t>
      </w:r>
      <w:r>
        <w:rPr>
          <w:rFonts w:cs="AdvP3E76B0"/>
          <w:sz w:val="24"/>
          <w:szCs w:val="24"/>
        </w:rPr>
        <w:t>Its</w:t>
      </w:r>
      <w:r w:rsidR="000502F1" w:rsidRPr="00724F12">
        <w:rPr>
          <w:rFonts w:cs="AdvP3E76B0"/>
          <w:sz w:val="24"/>
          <w:szCs w:val="24"/>
        </w:rPr>
        <w:t xml:space="preserve"> </w:t>
      </w:r>
      <w:r>
        <w:rPr>
          <w:rFonts w:cs="AdvP3E76B0"/>
          <w:sz w:val="24"/>
          <w:szCs w:val="24"/>
        </w:rPr>
        <w:t>‘</w:t>
      </w:r>
      <w:r w:rsidR="000502F1" w:rsidRPr="00724F12">
        <w:rPr>
          <w:rFonts w:cs="AdvP3E76B0"/>
          <w:sz w:val="24"/>
          <w:szCs w:val="24"/>
        </w:rPr>
        <w:t>General Act</w:t>
      </w:r>
      <w:r>
        <w:rPr>
          <w:rFonts w:cs="AdvP3E76B0"/>
          <w:sz w:val="24"/>
          <w:szCs w:val="24"/>
        </w:rPr>
        <w:t>’</w:t>
      </w:r>
      <w:r w:rsidR="000502F1" w:rsidRPr="00724F12">
        <w:rPr>
          <w:rFonts w:cs="AdvP3E76B0"/>
          <w:sz w:val="24"/>
          <w:szCs w:val="24"/>
        </w:rPr>
        <w:t xml:space="preserve"> </w:t>
      </w:r>
      <w:r w:rsidR="00712467">
        <w:rPr>
          <w:rFonts w:cs="AdvP3E76B0"/>
          <w:sz w:val="24"/>
          <w:szCs w:val="24"/>
        </w:rPr>
        <w:t>described</w:t>
      </w:r>
      <w:r>
        <w:rPr>
          <w:rFonts w:cs="AdvP3E76B0"/>
          <w:sz w:val="24"/>
          <w:szCs w:val="24"/>
        </w:rPr>
        <w:t xml:space="preserve"> its purpose of managing the ongoing process of colonisation in Africa </w:t>
      </w:r>
      <w:r w:rsidR="00712467">
        <w:rPr>
          <w:rFonts w:cs="AdvP3E76B0"/>
          <w:sz w:val="24"/>
          <w:szCs w:val="24"/>
        </w:rPr>
        <w:t>thus</w:t>
      </w:r>
      <w:r>
        <w:rPr>
          <w:rFonts w:cs="AdvP3E76B0"/>
          <w:sz w:val="24"/>
          <w:szCs w:val="24"/>
        </w:rPr>
        <w:t xml:space="preserve"> – “</w:t>
      </w:r>
      <w:r>
        <w:rPr>
          <w:rFonts w:eastAsia="Times New Roman" w:cs="Times New Roman"/>
          <w:color w:val="000000"/>
          <w:sz w:val="24"/>
          <w:szCs w:val="24"/>
          <w:lang w:val="en-CA" w:eastAsia="en-IE"/>
        </w:rPr>
        <w:t>Wishing to regul</w:t>
      </w:r>
      <w:r w:rsidRPr="007B503C">
        <w:rPr>
          <w:rFonts w:eastAsia="Times New Roman" w:cs="Times New Roman"/>
          <w:color w:val="000000"/>
          <w:sz w:val="24"/>
          <w:szCs w:val="24"/>
          <w:lang w:val="en-CA" w:eastAsia="en-IE"/>
        </w:rPr>
        <w:t>ate in a spirit of good mutual understanding the conditions most favourable to the development of commerce and of civilisation in certain regions of Africa.</w:t>
      </w:r>
      <w:r>
        <w:rPr>
          <w:rFonts w:eastAsia="Times New Roman" w:cs="Times New Roman"/>
          <w:color w:val="000000"/>
          <w:sz w:val="24"/>
          <w:szCs w:val="24"/>
          <w:lang w:val="en-CA" w:eastAsia="en-IE"/>
        </w:rPr>
        <w:t>”</w:t>
      </w:r>
      <w:r>
        <w:rPr>
          <w:rStyle w:val="FootnoteReference"/>
          <w:rFonts w:eastAsia="Times New Roman" w:cs="Times New Roman"/>
          <w:color w:val="000000"/>
          <w:sz w:val="24"/>
          <w:szCs w:val="24"/>
          <w:lang w:val="en-CA" w:eastAsia="en-IE"/>
        </w:rPr>
        <w:footnoteReference w:id="33"/>
      </w:r>
    </w:p>
    <w:p w14:paraId="4010EF3E" w14:textId="77777777" w:rsidR="002E6F2A" w:rsidRDefault="002E6F2A" w:rsidP="00912850">
      <w:pPr>
        <w:autoSpaceDE w:val="0"/>
        <w:autoSpaceDN w:val="0"/>
        <w:adjustRightInd w:val="0"/>
        <w:spacing w:after="0" w:line="360" w:lineRule="auto"/>
        <w:rPr>
          <w:sz w:val="24"/>
          <w:szCs w:val="24"/>
        </w:rPr>
      </w:pPr>
    </w:p>
    <w:p w14:paraId="4010EF3F" w14:textId="77777777" w:rsidR="00F8550E" w:rsidRDefault="00F8550E" w:rsidP="00F8550E">
      <w:pPr>
        <w:autoSpaceDE w:val="0"/>
        <w:autoSpaceDN w:val="0"/>
        <w:adjustRightInd w:val="0"/>
        <w:spacing w:after="0" w:line="360" w:lineRule="auto"/>
        <w:rPr>
          <w:sz w:val="24"/>
          <w:szCs w:val="24"/>
        </w:rPr>
      </w:pPr>
      <w:r>
        <w:rPr>
          <w:sz w:val="24"/>
          <w:szCs w:val="24"/>
        </w:rPr>
        <w:t xml:space="preserve">The perceived parallel between EPAs, and historic unequal economic relations between Africa and Europe under colonialism, was not lost on many observers. </w:t>
      </w:r>
      <w:r>
        <w:rPr>
          <w:rStyle w:val="FootnoteReference"/>
          <w:sz w:val="24"/>
          <w:szCs w:val="24"/>
        </w:rPr>
        <w:footnoteReference w:id="34"/>
      </w:r>
      <w:r>
        <w:rPr>
          <w:sz w:val="24"/>
          <w:szCs w:val="24"/>
        </w:rPr>
        <w:t xml:space="preserve"> The EPA process bears parallels with the phenomenon of ‘unequal’, or ‘forced’ treaties</w:t>
      </w:r>
      <w:r>
        <w:rPr>
          <w:rStyle w:val="FootnoteReference"/>
          <w:sz w:val="24"/>
          <w:szCs w:val="24"/>
        </w:rPr>
        <w:footnoteReference w:id="35"/>
      </w:r>
      <w:r>
        <w:rPr>
          <w:sz w:val="24"/>
          <w:szCs w:val="24"/>
        </w:rPr>
        <w:t xml:space="preserve"> in the 19</w:t>
      </w:r>
      <w:r w:rsidRPr="009C502D">
        <w:rPr>
          <w:sz w:val="24"/>
          <w:szCs w:val="24"/>
          <w:vertAlign w:val="superscript"/>
        </w:rPr>
        <w:t>th</w:t>
      </w:r>
      <w:r>
        <w:rPr>
          <w:sz w:val="24"/>
          <w:szCs w:val="24"/>
        </w:rPr>
        <w:t xml:space="preserve"> century between certain Western powers and states in East Asia including Japan,</w:t>
      </w:r>
      <w:r>
        <w:rPr>
          <w:rStyle w:val="FootnoteReference"/>
          <w:sz w:val="24"/>
          <w:szCs w:val="24"/>
        </w:rPr>
        <w:footnoteReference w:id="36"/>
      </w:r>
      <w:r>
        <w:rPr>
          <w:sz w:val="24"/>
          <w:szCs w:val="24"/>
        </w:rPr>
        <w:t xml:space="preserve"> Siam</w:t>
      </w:r>
      <w:r>
        <w:rPr>
          <w:rStyle w:val="FootnoteReference"/>
          <w:sz w:val="24"/>
          <w:szCs w:val="24"/>
        </w:rPr>
        <w:footnoteReference w:id="37"/>
      </w:r>
      <w:r>
        <w:rPr>
          <w:sz w:val="24"/>
          <w:szCs w:val="24"/>
        </w:rPr>
        <w:t xml:space="preserve"> and China. </w:t>
      </w:r>
      <w:r>
        <w:rPr>
          <w:rStyle w:val="FootnoteReference"/>
          <w:sz w:val="24"/>
          <w:szCs w:val="24"/>
        </w:rPr>
        <w:footnoteReference w:id="38"/>
      </w:r>
      <w:r>
        <w:rPr>
          <w:sz w:val="24"/>
          <w:szCs w:val="24"/>
        </w:rPr>
        <w:t xml:space="preserve"> Features common to those unequal treaties, such as their primary purpose in </w:t>
      </w:r>
      <w:proofErr w:type="gramStart"/>
      <w:r>
        <w:rPr>
          <w:sz w:val="24"/>
          <w:szCs w:val="24"/>
        </w:rPr>
        <w:t>opening up</w:t>
      </w:r>
      <w:proofErr w:type="gramEnd"/>
      <w:r>
        <w:rPr>
          <w:sz w:val="24"/>
          <w:szCs w:val="24"/>
        </w:rPr>
        <w:t xml:space="preserve"> those locations for trade and addressing issues such as fixing import duties, including Most-Favoured Nation (MFN) clauses, and including provisions for foreign investors; the approach of the Western powers to </w:t>
      </w:r>
      <w:r w:rsidR="00875A86">
        <w:rPr>
          <w:sz w:val="24"/>
          <w:szCs w:val="24"/>
        </w:rPr>
        <w:t>negotiate as a bloc</w:t>
      </w:r>
      <w:r>
        <w:rPr>
          <w:sz w:val="24"/>
          <w:szCs w:val="24"/>
        </w:rPr>
        <w:t xml:space="preserve"> together; the scale of the treaties in terms of </w:t>
      </w:r>
      <w:r>
        <w:rPr>
          <w:sz w:val="24"/>
          <w:szCs w:val="24"/>
        </w:rPr>
        <w:lastRenderedPageBreak/>
        <w:t xml:space="preserve">geographical reach, and the lack of provision for their termination, </w:t>
      </w:r>
      <w:r>
        <w:rPr>
          <w:rStyle w:val="FootnoteReference"/>
          <w:sz w:val="24"/>
          <w:szCs w:val="24"/>
        </w:rPr>
        <w:footnoteReference w:id="39"/>
      </w:r>
      <w:r>
        <w:rPr>
          <w:sz w:val="24"/>
          <w:szCs w:val="24"/>
        </w:rPr>
        <w:t xml:space="preserve"> are shared with contemporary EPAs. </w:t>
      </w:r>
      <w:r w:rsidR="001E195B">
        <w:rPr>
          <w:rStyle w:val="FootnoteReference"/>
          <w:sz w:val="24"/>
          <w:szCs w:val="24"/>
        </w:rPr>
        <w:footnoteReference w:id="40"/>
      </w:r>
    </w:p>
    <w:p w14:paraId="4010EF40" w14:textId="77777777" w:rsidR="00F8550E" w:rsidRDefault="00F8550E" w:rsidP="002E4BBC">
      <w:pPr>
        <w:autoSpaceDE w:val="0"/>
        <w:autoSpaceDN w:val="0"/>
        <w:adjustRightInd w:val="0"/>
        <w:spacing w:after="0" w:line="360" w:lineRule="auto"/>
        <w:rPr>
          <w:sz w:val="24"/>
          <w:szCs w:val="24"/>
        </w:rPr>
      </w:pPr>
    </w:p>
    <w:p w14:paraId="4010EF41" w14:textId="77777777" w:rsidR="00EB19EE" w:rsidRDefault="007B503C" w:rsidP="00EB19EE">
      <w:pPr>
        <w:autoSpaceDE w:val="0"/>
        <w:autoSpaceDN w:val="0"/>
        <w:adjustRightInd w:val="0"/>
        <w:spacing w:after="0" w:line="360" w:lineRule="auto"/>
        <w:rPr>
          <w:rFonts w:eastAsia="Times New Roman" w:cs="Times New Roman"/>
          <w:color w:val="000000"/>
          <w:sz w:val="24"/>
          <w:szCs w:val="24"/>
          <w:lang w:val="en-CA" w:eastAsia="en-IE"/>
        </w:rPr>
      </w:pPr>
      <w:r>
        <w:rPr>
          <w:sz w:val="24"/>
          <w:szCs w:val="24"/>
        </w:rPr>
        <w:t>However, the ‘</w:t>
      </w:r>
      <w:r w:rsidR="0002435D">
        <w:rPr>
          <w:sz w:val="24"/>
          <w:szCs w:val="24"/>
        </w:rPr>
        <w:t>commerce and civilisation</w:t>
      </w:r>
      <w:r>
        <w:rPr>
          <w:sz w:val="24"/>
          <w:szCs w:val="24"/>
        </w:rPr>
        <w:t xml:space="preserve"> promise’ </w:t>
      </w:r>
      <w:r w:rsidR="009B3CEE" w:rsidRPr="002E6F2A">
        <w:rPr>
          <w:sz w:val="24"/>
          <w:szCs w:val="24"/>
        </w:rPr>
        <w:t>is not an entirely coherent one, being riddled with inner tensions</w:t>
      </w:r>
      <w:r>
        <w:rPr>
          <w:sz w:val="24"/>
          <w:szCs w:val="24"/>
        </w:rPr>
        <w:t xml:space="preserve"> that</w:t>
      </w:r>
      <w:r w:rsidR="009B3CEE" w:rsidRPr="002E6F2A">
        <w:rPr>
          <w:sz w:val="24"/>
          <w:szCs w:val="24"/>
        </w:rPr>
        <w:t xml:space="preserve">, in the EU-ACP context, </w:t>
      </w:r>
      <w:r w:rsidRPr="002E6F2A">
        <w:rPr>
          <w:sz w:val="24"/>
          <w:szCs w:val="24"/>
        </w:rPr>
        <w:t xml:space="preserve">crystallised </w:t>
      </w:r>
      <w:r w:rsidR="009B3CEE" w:rsidRPr="002E6F2A">
        <w:rPr>
          <w:sz w:val="24"/>
          <w:szCs w:val="24"/>
        </w:rPr>
        <w:t xml:space="preserve">in </w:t>
      </w:r>
      <w:r>
        <w:rPr>
          <w:sz w:val="24"/>
          <w:szCs w:val="24"/>
        </w:rPr>
        <w:t>disputes</w:t>
      </w:r>
      <w:r w:rsidR="009B3CEE" w:rsidRPr="002E6F2A">
        <w:rPr>
          <w:sz w:val="24"/>
          <w:szCs w:val="24"/>
        </w:rPr>
        <w:t xml:space="preserve"> over </w:t>
      </w:r>
      <w:r>
        <w:rPr>
          <w:sz w:val="24"/>
          <w:szCs w:val="24"/>
        </w:rPr>
        <w:t>the</w:t>
      </w:r>
      <w:r w:rsidR="009B3CEE" w:rsidRPr="002E6F2A">
        <w:rPr>
          <w:sz w:val="24"/>
          <w:szCs w:val="24"/>
        </w:rPr>
        <w:t xml:space="preserve"> development impacts of measures designed to promote liberalised trade. </w:t>
      </w:r>
      <w:r>
        <w:rPr>
          <w:sz w:val="24"/>
          <w:szCs w:val="24"/>
        </w:rPr>
        <w:t>Over the duration of the EPA negotiations</w:t>
      </w:r>
      <w:r w:rsidR="00712467">
        <w:rPr>
          <w:sz w:val="24"/>
          <w:szCs w:val="24"/>
        </w:rPr>
        <w:t xml:space="preserve"> from 2002 until the time of writing</w:t>
      </w:r>
      <w:r>
        <w:rPr>
          <w:sz w:val="24"/>
          <w:szCs w:val="24"/>
        </w:rPr>
        <w:t xml:space="preserve">, ACP states </w:t>
      </w:r>
      <w:r w:rsidR="00712467">
        <w:rPr>
          <w:sz w:val="24"/>
          <w:szCs w:val="24"/>
        </w:rPr>
        <w:t xml:space="preserve">have </w:t>
      </w:r>
      <w:r>
        <w:rPr>
          <w:sz w:val="24"/>
          <w:szCs w:val="24"/>
        </w:rPr>
        <w:t xml:space="preserve">consistently protested </w:t>
      </w:r>
      <w:r w:rsidR="00A31048">
        <w:rPr>
          <w:sz w:val="24"/>
          <w:szCs w:val="24"/>
        </w:rPr>
        <w:t xml:space="preserve">certain </w:t>
      </w:r>
      <w:r>
        <w:rPr>
          <w:sz w:val="24"/>
          <w:szCs w:val="24"/>
        </w:rPr>
        <w:t xml:space="preserve">measures proposed by the EU </w:t>
      </w:r>
      <w:r w:rsidR="00E70E07">
        <w:rPr>
          <w:sz w:val="24"/>
          <w:szCs w:val="24"/>
        </w:rPr>
        <w:t xml:space="preserve">for inclusion in EPAs </w:t>
      </w:r>
      <w:r>
        <w:rPr>
          <w:sz w:val="24"/>
          <w:szCs w:val="24"/>
        </w:rPr>
        <w:t xml:space="preserve">on </w:t>
      </w:r>
      <w:r w:rsidR="00E70E07">
        <w:rPr>
          <w:sz w:val="24"/>
          <w:szCs w:val="24"/>
        </w:rPr>
        <w:t>the basis that these threatened their national and regional development priorities.</w:t>
      </w:r>
      <w:r w:rsidR="00E70E07">
        <w:rPr>
          <w:rStyle w:val="FootnoteReference"/>
          <w:sz w:val="24"/>
          <w:szCs w:val="24"/>
        </w:rPr>
        <w:footnoteReference w:id="41"/>
      </w:r>
      <w:r w:rsidR="00E70E07">
        <w:rPr>
          <w:sz w:val="24"/>
          <w:szCs w:val="24"/>
        </w:rPr>
        <w:t xml:space="preserve"> </w:t>
      </w:r>
      <w:r>
        <w:rPr>
          <w:sz w:val="24"/>
          <w:szCs w:val="24"/>
        </w:rPr>
        <w:t xml:space="preserve"> </w:t>
      </w:r>
      <w:r w:rsidR="00875A86">
        <w:rPr>
          <w:sz w:val="24"/>
          <w:szCs w:val="24"/>
        </w:rPr>
        <w:t>T</w:t>
      </w:r>
      <w:r w:rsidR="00EB19EE">
        <w:rPr>
          <w:rFonts w:eastAsia="Times New Roman" w:cs="Times New Roman"/>
          <w:color w:val="000000"/>
          <w:sz w:val="24"/>
          <w:szCs w:val="24"/>
          <w:lang w:val="en-CA" w:eastAsia="en-IE"/>
        </w:rPr>
        <w:t>o engage more fully with a critical analysis of the international ‘commerce and civilisation’ project and to reveal and make real the practices through which this is institutionalised through international law</w:t>
      </w:r>
      <w:r w:rsidR="00875A86">
        <w:rPr>
          <w:rFonts w:eastAsia="Times New Roman" w:cs="Times New Roman"/>
          <w:color w:val="000000"/>
          <w:sz w:val="24"/>
          <w:szCs w:val="24"/>
          <w:lang w:val="en-CA" w:eastAsia="en-IE"/>
        </w:rPr>
        <w:t xml:space="preserve">, </w:t>
      </w:r>
      <w:r w:rsidR="00875A86" w:rsidRPr="002E6F2A">
        <w:rPr>
          <w:rFonts w:eastAsia="Times New Roman" w:cs="Times New Roman"/>
          <w:color w:val="000000"/>
          <w:sz w:val="24"/>
          <w:szCs w:val="24"/>
          <w:lang w:val="en-CA" w:eastAsia="en-IE"/>
        </w:rPr>
        <w:t xml:space="preserve">I </w:t>
      </w:r>
      <w:r w:rsidR="00875A86">
        <w:rPr>
          <w:rFonts w:eastAsia="Times New Roman" w:cs="Times New Roman"/>
          <w:color w:val="000000"/>
          <w:sz w:val="24"/>
          <w:szCs w:val="24"/>
          <w:lang w:val="en-CA" w:eastAsia="en-IE"/>
        </w:rPr>
        <w:t xml:space="preserve">depart from prevailing critiques of the content and negotiations process of EPAs which have largely left intact the </w:t>
      </w:r>
      <w:r w:rsidR="00381E01">
        <w:rPr>
          <w:rFonts w:eastAsia="Times New Roman" w:cs="Times New Roman"/>
          <w:color w:val="000000"/>
          <w:sz w:val="24"/>
          <w:szCs w:val="24"/>
          <w:lang w:val="en-CA" w:eastAsia="en-IE"/>
        </w:rPr>
        <w:t xml:space="preserve">rationales, the legal techniques, the </w:t>
      </w:r>
      <w:r w:rsidR="00875A86">
        <w:rPr>
          <w:rFonts w:eastAsia="Times New Roman" w:cs="Times New Roman"/>
          <w:color w:val="000000"/>
          <w:sz w:val="24"/>
          <w:szCs w:val="24"/>
          <w:lang w:val="en-CA" w:eastAsia="en-IE"/>
        </w:rPr>
        <w:t>nature of the legal form and the subject positions ascribed within the canon of international economic law, in particular.</w:t>
      </w:r>
      <w:r w:rsidR="00381E01">
        <w:rPr>
          <w:rStyle w:val="FootnoteReference"/>
          <w:rFonts w:eastAsia="Times New Roman" w:cs="Times New Roman"/>
          <w:color w:val="000000"/>
          <w:sz w:val="24"/>
          <w:szCs w:val="24"/>
          <w:lang w:val="en-CA" w:eastAsia="en-IE"/>
        </w:rPr>
        <w:footnoteReference w:id="42"/>
      </w:r>
      <w:r w:rsidR="00875A86">
        <w:rPr>
          <w:rFonts w:eastAsia="Times New Roman" w:cs="Times New Roman"/>
          <w:color w:val="000000"/>
          <w:sz w:val="24"/>
          <w:szCs w:val="24"/>
          <w:lang w:val="en-CA" w:eastAsia="en-IE"/>
        </w:rPr>
        <w:t xml:space="preserve"> </w:t>
      </w:r>
      <w:r w:rsidR="00381E01">
        <w:rPr>
          <w:rFonts w:eastAsia="Times New Roman" w:cs="Times New Roman"/>
          <w:color w:val="000000"/>
          <w:sz w:val="24"/>
          <w:szCs w:val="24"/>
          <w:lang w:val="en-CA" w:eastAsia="en-IE"/>
        </w:rPr>
        <w:t xml:space="preserve">Instead, </w:t>
      </w:r>
      <w:r w:rsidR="00EB19EE">
        <w:rPr>
          <w:rFonts w:eastAsia="Times New Roman" w:cs="Times New Roman"/>
          <w:color w:val="000000"/>
          <w:sz w:val="24"/>
          <w:szCs w:val="24"/>
          <w:lang w:val="en-CA" w:eastAsia="en-IE"/>
        </w:rPr>
        <w:t xml:space="preserve">I </w:t>
      </w:r>
      <w:r w:rsidR="00EB19EE" w:rsidRPr="002E6F2A">
        <w:rPr>
          <w:rFonts w:eastAsia="Times New Roman" w:cs="Times New Roman"/>
          <w:color w:val="000000"/>
          <w:sz w:val="24"/>
          <w:szCs w:val="24"/>
          <w:lang w:val="en-CA" w:eastAsia="en-IE"/>
        </w:rPr>
        <w:t>draw from asp</w:t>
      </w:r>
      <w:r w:rsidR="00EB19EE">
        <w:rPr>
          <w:rFonts w:eastAsia="Times New Roman" w:cs="Times New Roman"/>
          <w:color w:val="000000"/>
          <w:sz w:val="24"/>
          <w:szCs w:val="24"/>
          <w:lang w:val="en-CA" w:eastAsia="en-IE"/>
        </w:rPr>
        <w:t xml:space="preserve">ects of feminist legal scholarship to show how a sensibility towards sexual differentiation can profoundly deepen critical inquiry in international law and focus on spaces and sites within law that merit further feminist theorising and analysis. </w:t>
      </w:r>
    </w:p>
    <w:p w14:paraId="4010EF42" w14:textId="77777777" w:rsidR="00381E01" w:rsidRDefault="00381E01" w:rsidP="00EB19EE">
      <w:pPr>
        <w:autoSpaceDE w:val="0"/>
        <w:autoSpaceDN w:val="0"/>
        <w:adjustRightInd w:val="0"/>
        <w:spacing w:after="0" w:line="360" w:lineRule="auto"/>
        <w:rPr>
          <w:rFonts w:eastAsia="Times New Roman" w:cs="Times New Roman"/>
          <w:color w:val="000000"/>
          <w:sz w:val="24"/>
          <w:szCs w:val="24"/>
          <w:lang w:val="en-CA" w:eastAsia="en-IE"/>
        </w:rPr>
      </w:pPr>
    </w:p>
    <w:p w14:paraId="4010EF43" w14:textId="77777777" w:rsidR="00381E01" w:rsidRPr="00EB19EE" w:rsidRDefault="00381E01" w:rsidP="00EB19EE">
      <w:pPr>
        <w:autoSpaceDE w:val="0"/>
        <w:autoSpaceDN w:val="0"/>
        <w:adjustRightInd w:val="0"/>
        <w:spacing w:after="0" w:line="360" w:lineRule="auto"/>
        <w:rPr>
          <w:sz w:val="24"/>
          <w:szCs w:val="24"/>
        </w:rPr>
      </w:pPr>
    </w:p>
    <w:p w14:paraId="4010EF44" w14:textId="77777777" w:rsidR="00EB19EE" w:rsidRPr="002E6F2A" w:rsidRDefault="00EB19EE" w:rsidP="004A5690">
      <w:pPr>
        <w:rPr>
          <w:sz w:val="24"/>
          <w:szCs w:val="24"/>
        </w:rPr>
      </w:pPr>
    </w:p>
    <w:p w14:paraId="4010EF45" w14:textId="77777777" w:rsidR="004258AC" w:rsidRPr="00F8550E" w:rsidRDefault="00246E8E" w:rsidP="00F8550E">
      <w:pPr>
        <w:pStyle w:val="ListParagraph"/>
        <w:numPr>
          <w:ilvl w:val="0"/>
          <w:numId w:val="11"/>
        </w:numPr>
        <w:spacing w:line="360" w:lineRule="auto"/>
        <w:rPr>
          <w:b/>
          <w:sz w:val="24"/>
          <w:szCs w:val="24"/>
        </w:rPr>
      </w:pPr>
      <w:r>
        <w:rPr>
          <w:b/>
          <w:sz w:val="24"/>
          <w:szCs w:val="24"/>
        </w:rPr>
        <w:lastRenderedPageBreak/>
        <w:t>Piercing the ‘tea and roses’ myth of international economic law</w:t>
      </w:r>
      <w:r w:rsidR="00A916F9">
        <w:rPr>
          <w:rStyle w:val="FootnoteReference"/>
          <w:b/>
          <w:sz w:val="24"/>
          <w:szCs w:val="24"/>
        </w:rPr>
        <w:footnoteReference w:id="43"/>
      </w:r>
    </w:p>
    <w:p w14:paraId="4010EF46" w14:textId="77777777" w:rsidR="005B0D87" w:rsidRDefault="00EB19EE" w:rsidP="00246E8E">
      <w:pPr>
        <w:spacing w:line="360" w:lineRule="auto"/>
        <w:rPr>
          <w:sz w:val="24"/>
          <w:szCs w:val="24"/>
        </w:rPr>
      </w:pPr>
      <w:r>
        <w:rPr>
          <w:rFonts w:eastAsia="Times New Roman" w:cs="Times New Roman"/>
          <w:color w:val="000000"/>
          <w:sz w:val="24"/>
          <w:szCs w:val="24"/>
          <w:lang w:val="en-CA" w:eastAsia="en-IE"/>
        </w:rPr>
        <w:t>In this section I bring feminist legal perspectives to bear on t</w:t>
      </w:r>
      <w:r w:rsidRPr="00EB19EE">
        <w:rPr>
          <w:rFonts w:eastAsia="Times New Roman" w:cs="Times New Roman"/>
          <w:color w:val="000000"/>
          <w:sz w:val="24"/>
          <w:szCs w:val="24"/>
          <w:lang w:val="en-CA" w:eastAsia="en-IE"/>
        </w:rPr>
        <w:t>hree aspects of treaty-making practices under the VCLT</w:t>
      </w:r>
      <w:r w:rsidR="00246E8E">
        <w:rPr>
          <w:rFonts w:eastAsia="Times New Roman" w:cs="Times New Roman"/>
          <w:color w:val="000000"/>
          <w:sz w:val="24"/>
          <w:szCs w:val="24"/>
          <w:lang w:val="en-CA" w:eastAsia="en-IE"/>
        </w:rPr>
        <w:t xml:space="preserve">. </w:t>
      </w:r>
      <w:r w:rsidR="00381E01">
        <w:rPr>
          <w:rFonts w:eastAsia="Times New Roman" w:cs="Times New Roman"/>
          <w:color w:val="000000"/>
          <w:sz w:val="24"/>
          <w:szCs w:val="24"/>
          <w:lang w:val="en-CA" w:eastAsia="en-IE"/>
        </w:rPr>
        <w:t xml:space="preserve">The first deepens earlier critical analysis on the problematic </w:t>
      </w:r>
      <w:r w:rsidR="00381E01" w:rsidRPr="00EB19EE">
        <w:rPr>
          <w:rFonts w:eastAsia="Times New Roman" w:cs="Times New Roman"/>
          <w:color w:val="000000"/>
          <w:sz w:val="24"/>
          <w:szCs w:val="24"/>
          <w:lang w:val="en-CA" w:eastAsia="en-IE"/>
        </w:rPr>
        <w:t xml:space="preserve">reliance </w:t>
      </w:r>
      <w:r w:rsidR="00381E01">
        <w:rPr>
          <w:rFonts w:eastAsia="Times New Roman" w:cs="Times New Roman"/>
          <w:color w:val="000000"/>
          <w:sz w:val="24"/>
          <w:szCs w:val="24"/>
          <w:lang w:val="en-CA" w:eastAsia="en-IE"/>
        </w:rPr>
        <w:t xml:space="preserve">within the VCLT </w:t>
      </w:r>
      <w:r w:rsidR="00381E01" w:rsidRPr="00EB19EE">
        <w:rPr>
          <w:rFonts w:eastAsia="Times New Roman" w:cs="Times New Roman"/>
          <w:color w:val="000000"/>
          <w:sz w:val="24"/>
          <w:szCs w:val="24"/>
          <w:lang w:val="en-CA" w:eastAsia="en-IE"/>
        </w:rPr>
        <w:t xml:space="preserve">on </w:t>
      </w:r>
      <w:r w:rsidR="00381E01">
        <w:rPr>
          <w:rFonts w:eastAsia="Times New Roman" w:cs="Times New Roman"/>
          <w:color w:val="000000"/>
          <w:sz w:val="24"/>
          <w:szCs w:val="24"/>
          <w:lang w:val="en-CA" w:eastAsia="en-IE"/>
        </w:rPr>
        <w:t xml:space="preserve">the </w:t>
      </w:r>
      <w:r w:rsidR="00381E01" w:rsidRPr="00EB19EE">
        <w:rPr>
          <w:rFonts w:eastAsia="Times New Roman" w:cs="Times New Roman"/>
          <w:color w:val="000000"/>
          <w:sz w:val="24"/>
          <w:szCs w:val="24"/>
          <w:lang w:val="en-CA" w:eastAsia="en-IE"/>
        </w:rPr>
        <w:t>use of force or threats of force against a state</w:t>
      </w:r>
      <w:r w:rsidR="00381E01">
        <w:rPr>
          <w:rFonts w:eastAsia="Times New Roman" w:cs="Times New Roman"/>
          <w:color w:val="000000"/>
          <w:sz w:val="24"/>
          <w:szCs w:val="24"/>
          <w:lang w:val="en-CA" w:eastAsia="en-IE"/>
        </w:rPr>
        <w:t xml:space="preserve"> </w:t>
      </w:r>
      <w:proofErr w:type="gramStart"/>
      <w:r w:rsidR="00381E01">
        <w:rPr>
          <w:rFonts w:eastAsia="Times New Roman" w:cs="Times New Roman"/>
          <w:color w:val="000000"/>
          <w:sz w:val="24"/>
          <w:szCs w:val="24"/>
          <w:lang w:val="en-CA" w:eastAsia="en-IE"/>
        </w:rPr>
        <w:t>in order to</w:t>
      </w:r>
      <w:proofErr w:type="gramEnd"/>
      <w:r w:rsidR="00381E01">
        <w:rPr>
          <w:rFonts w:eastAsia="Times New Roman" w:cs="Times New Roman"/>
          <w:color w:val="000000"/>
          <w:sz w:val="24"/>
          <w:szCs w:val="24"/>
          <w:lang w:val="en-CA" w:eastAsia="en-IE"/>
        </w:rPr>
        <w:t xml:space="preserve"> invalidate state consent and thus invalidate a treaty. The second aspect explores how prevailing treaty-making norms shape not only the legal subjectivity of states, but of regions also. Here I highlight how a particular kind of regionalism has been privileged through agreement on EPAs, by drawing parallels with selective forms of legal subjectivity granted to women. I link this practice to a third feature of international law - </w:t>
      </w:r>
      <w:r w:rsidR="00381E01" w:rsidRPr="00EB19EE">
        <w:rPr>
          <w:rFonts w:eastAsia="Times New Roman" w:cs="Times New Roman"/>
          <w:color w:val="000000"/>
          <w:sz w:val="24"/>
          <w:szCs w:val="24"/>
          <w:lang w:val="en-CA" w:eastAsia="en-IE"/>
        </w:rPr>
        <w:t xml:space="preserve">the sheer dominance of the </w:t>
      </w:r>
      <w:proofErr w:type="gramStart"/>
      <w:r w:rsidR="00381E01" w:rsidRPr="00EB19EE">
        <w:rPr>
          <w:rFonts w:eastAsia="Times New Roman" w:cs="Times New Roman"/>
          <w:color w:val="000000"/>
          <w:sz w:val="24"/>
          <w:szCs w:val="24"/>
          <w:lang w:val="en-CA" w:eastAsia="en-IE"/>
        </w:rPr>
        <w:t>particular legal</w:t>
      </w:r>
      <w:proofErr w:type="gramEnd"/>
      <w:r w:rsidR="00381E01" w:rsidRPr="00EB19EE">
        <w:rPr>
          <w:rFonts w:eastAsia="Times New Roman" w:cs="Times New Roman"/>
          <w:color w:val="000000"/>
          <w:sz w:val="24"/>
          <w:szCs w:val="24"/>
          <w:lang w:val="en-CA" w:eastAsia="en-IE"/>
        </w:rPr>
        <w:t xml:space="preserve"> form and rationality of international trade law, over other forms permissible within international law.</w:t>
      </w:r>
    </w:p>
    <w:p w14:paraId="4010EF47" w14:textId="77777777" w:rsidR="00D01337" w:rsidRDefault="00F7113F" w:rsidP="003F611F">
      <w:pPr>
        <w:autoSpaceDE w:val="0"/>
        <w:autoSpaceDN w:val="0"/>
        <w:adjustRightInd w:val="0"/>
        <w:spacing w:after="0" w:line="360" w:lineRule="auto"/>
        <w:rPr>
          <w:sz w:val="24"/>
          <w:szCs w:val="24"/>
        </w:rPr>
      </w:pPr>
      <w:r w:rsidRPr="003F611F">
        <w:rPr>
          <w:sz w:val="24"/>
          <w:szCs w:val="24"/>
        </w:rPr>
        <w:t>It is</w:t>
      </w:r>
      <w:r w:rsidR="00252ACA" w:rsidRPr="003F611F">
        <w:rPr>
          <w:sz w:val="24"/>
          <w:szCs w:val="24"/>
        </w:rPr>
        <w:t xml:space="preserve"> certainly worth exploring further </w:t>
      </w:r>
      <w:r w:rsidR="00381E01" w:rsidRPr="003F611F">
        <w:rPr>
          <w:sz w:val="24"/>
          <w:szCs w:val="24"/>
        </w:rPr>
        <w:t xml:space="preserve">on the role ascribed to violence in the form of military force within the VCLT. In simple terms, the VCLT only recognises this high threshold of violence as evidence of a form of coercion that nullifies consent, thereby voiding a treaty. </w:t>
      </w:r>
      <w:r w:rsidR="003F611F">
        <w:rPr>
          <w:sz w:val="24"/>
          <w:szCs w:val="24"/>
        </w:rPr>
        <w:t xml:space="preserve">This implies that the normal state of play with recognising </w:t>
      </w:r>
      <w:r w:rsidR="009401FC">
        <w:rPr>
          <w:sz w:val="24"/>
          <w:szCs w:val="24"/>
        </w:rPr>
        <w:t xml:space="preserve">‘free’ </w:t>
      </w:r>
      <w:r w:rsidR="003F611F">
        <w:rPr>
          <w:sz w:val="24"/>
          <w:szCs w:val="24"/>
        </w:rPr>
        <w:t xml:space="preserve">consent is </w:t>
      </w:r>
      <w:proofErr w:type="gramStart"/>
      <w:r w:rsidR="009401FC">
        <w:rPr>
          <w:sz w:val="24"/>
          <w:szCs w:val="24"/>
        </w:rPr>
        <w:t>that,</w:t>
      </w:r>
      <w:proofErr w:type="gramEnd"/>
      <w:r w:rsidR="009401FC">
        <w:rPr>
          <w:sz w:val="24"/>
          <w:szCs w:val="24"/>
        </w:rPr>
        <w:t xml:space="preserve"> </w:t>
      </w:r>
      <w:r w:rsidR="003F611F">
        <w:rPr>
          <w:sz w:val="24"/>
          <w:szCs w:val="24"/>
        </w:rPr>
        <w:t>abs</w:t>
      </w:r>
      <w:r w:rsidR="009401FC">
        <w:rPr>
          <w:sz w:val="24"/>
          <w:szCs w:val="24"/>
        </w:rPr>
        <w:t xml:space="preserve">ent evidence of military force, consent is assumed. This approach mirrors </w:t>
      </w:r>
      <w:r w:rsidR="00A8306E">
        <w:rPr>
          <w:sz w:val="24"/>
          <w:szCs w:val="24"/>
        </w:rPr>
        <w:t xml:space="preserve">the interplay of the elements of the crime of rape - </w:t>
      </w:r>
      <w:r w:rsidR="00A8306E" w:rsidRPr="00284EF3">
        <w:rPr>
          <w:rFonts w:cs="Times New Roman"/>
          <w:sz w:val="24"/>
          <w:szCs w:val="24"/>
        </w:rPr>
        <w:t>force and non</w:t>
      </w:r>
      <w:r w:rsidR="00A8306E">
        <w:rPr>
          <w:rFonts w:cs="Times New Roman"/>
          <w:sz w:val="24"/>
          <w:szCs w:val="24"/>
        </w:rPr>
        <w:t>-</w:t>
      </w:r>
      <w:r w:rsidR="00A8306E" w:rsidRPr="00284EF3">
        <w:rPr>
          <w:rFonts w:cs="Times New Roman"/>
          <w:sz w:val="24"/>
          <w:szCs w:val="24"/>
        </w:rPr>
        <w:t>consent</w:t>
      </w:r>
      <w:r w:rsidR="00A8306E">
        <w:rPr>
          <w:rFonts w:cs="Times New Roman"/>
          <w:sz w:val="24"/>
          <w:szCs w:val="24"/>
        </w:rPr>
        <w:t xml:space="preserve"> </w:t>
      </w:r>
      <w:r w:rsidR="00A8306E" w:rsidRPr="00284EF3">
        <w:rPr>
          <w:rFonts w:cs="Times New Roman"/>
          <w:sz w:val="24"/>
          <w:szCs w:val="24"/>
        </w:rPr>
        <w:t>-</w:t>
      </w:r>
      <w:r w:rsidR="00A8306E">
        <w:rPr>
          <w:rFonts w:cs="Times New Roman"/>
          <w:sz w:val="24"/>
          <w:szCs w:val="24"/>
        </w:rPr>
        <w:t xml:space="preserve"> </w:t>
      </w:r>
      <w:r w:rsidR="00A8306E" w:rsidRPr="00284EF3">
        <w:rPr>
          <w:rFonts w:cs="Times New Roman"/>
          <w:sz w:val="24"/>
          <w:szCs w:val="24"/>
        </w:rPr>
        <w:t>with victim resistance</w:t>
      </w:r>
      <w:r w:rsidR="00A8306E">
        <w:rPr>
          <w:rFonts w:cs="Times New Roman"/>
          <w:sz w:val="24"/>
          <w:szCs w:val="24"/>
        </w:rPr>
        <w:t xml:space="preserve">. </w:t>
      </w:r>
      <w:r w:rsidR="00A8306E" w:rsidRPr="00284EF3">
        <w:rPr>
          <w:rFonts w:cs="Times New Roman"/>
          <w:sz w:val="24"/>
          <w:szCs w:val="24"/>
        </w:rPr>
        <w:t xml:space="preserve"> </w:t>
      </w:r>
      <w:r w:rsidR="00A8306E">
        <w:rPr>
          <w:rFonts w:cs="Times New Roman"/>
          <w:sz w:val="24"/>
          <w:szCs w:val="24"/>
        </w:rPr>
        <w:t xml:space="preserve">In </w:t>
      </w:r>
      <w:r w:rsidR="004C7951">
        <w:rPr>
          <w:rFonts w:cs="Times New Roman"/>
          <w:sz w:val="24"/>
          <w:szCs w:val="24"/>
        </w:rPr>
        <w:t xml:space="preserve">the </w:t>
      </w:r>
      <w:r w:rsidR="00252ACA">
        <w:rPr>
          <w:sz w:val="24"/>
          <w:szCs w:val="24"/>
        </w:rPr>
        <w:t xml:space="preserve">domestic statutes and case-law </w:t>
      </w:r>
      <w:r w:rsidR="009401FC">
        <w:rPr>
          <w:sz w:val="24"/>
          <w:szCs w:val="24"/>
        </w:rPr>
        <w:t xml:space="preserve">of many jurisdictions that address </w:t>
      </w:r>
      <w:r w:rsidR="00252ACA">
        <w:rPr>
          <w:sz w:val="24"/>
          <w:szCs w:val="24"/>
        </w:rPr>
        <w:t xml:space="preserve">adult claims of unwanted sex, proof of force or threat </w:t>
      </w:r>
      <w:r w:rsidR="00A8306E">
        <w:rPr>
          <w:sz w:val="24"/>
          <w:szCs w:val="24"/>
        </w:rPr>
        <w:t xml:space="preserve">is still required </w:t>
      </w:r>
      <w:proofErr w:type="gramStart"/>
      <w:r w:rsidR="00252ACA">
        <w:rPr>
          <w:sz w:val="24"/>
          <w:szCs w:val="24"/>
        </w:rPr>
        <w:t>in order to</w:t>
      </w:r>
      <w:proofErr w:type="gramEnd"/>
      <w:r w:rsidR="00252ACA">
        <w:rPr>
          <w:sz w:val="24"/>
          <w:szCs w:val="24"/>
        </w:rPr>
        <w:t xml:space="preserve"> prove ‘non-consent’ and secure a conviction.</w:t>
      </w:r>
      <w:r w:rsidR="00351EE2">
        <w:rPr>
          <w:sz w:val="24"/>
          <w:szCs w:val="24"/>
        </w:rPr>
        <w:t xml:space="preserve"> </w:t>
      </w:r>
      <w:r w:rsidR="009401FC">
        <w:rPr>
          <w:sz w:val="24"/>
          <w:szCs w:val="24"/>
        </w:rPr>
        <w:t>For example, i</w:t>
      </w:r>
      <w:r w:rsidR="00351EE2">
        <w:rPr>
          <w:sz w:val="24"/>
          <w:szCs w:val="24"/>
        </w:rPr>
        <w:t>n an analysis of criminal sexual assault and rape laws in fifty states across the United States (US), Decker and Baroni sought to determine which states still required evidence of force to convict a perpetrator of a sex offence.</w:t>
      </w:r>
      <w:r w:rsidR="00351EE2">
        <w:rPr>
          <w:rStyle w:val="FootnoteReference"/>
          <w:sz w:val="24"/>
          <w:szCs w:val="24"/>
        </w:rPr>
        <w:footnoteReference w:id="44"/>
      </w:r>
      <w:r w:rsidR="00351EE2">
        <w:rPr>
          <w:sz w:val="24"/>
          <w:szCs w:val="24"/>
        </w:rPr>
        <w:t xml:space="preserve"> Their</w:t>
      </w:r>
      <w:r w:rsidR="00CF2ABF">
        <w:rPr>
          <w:sz w:val="24"/>
          <w:szCs w:val="24"/>
        </w:rPr>
        <w:t xml:space="preserve"> research showed that just over half of the states </w:t>
      </w:r>
      <w:r w:rsidR="00FF4C71">
        <w:rPr>
          <w:sz w:val="24"/>
          <w:szCs w:val="24"/>
        </w:rPr>
        <w:t xml:space="preserve">(28) </w:t>
      </w:r>
      <w:r w:rsidR="009401FC">
        <w:rPr>
          <w:sz w:val="24"/>
          <w:szCs w:val="24"/>
        </w:rPr>
        <w:t xml:space="preserve">could convict a defendant of at least one sex offence by showing that victim did not consent to the sexual act, with the prosecution not required to show that the perpetrator used force or threats of force against the victim in </w:t>
      </w:r>
      <w:r w:rsidR="009401FC">
        <w:rPr>
          <w:sz w:val="24"/>
          <w:szCs w:val="24"/>
        </w:rPr>
        <w:lastRenderedPageBreak/>
        <w:t xml:space="preserve">order to meet the statutory requirements. However, </w:t>
      </w:r>
      <w:r w:rsidR="00FF4C71">
        <w:rPr>
          <w:sz w:val="24"/>
          <w:szCs w:val="24"/>
        </w:rPr>
        <w:t xml:space="preserve">eleven of these </w:t>
      </w:r>
      <w:r w:rsidR="009401FC">
        <w:rPr>
          <w:sz w:val="24"/>
          <w:szCs w:val="24"/>
        </w:rPr>
        <w:t xml:space="preserve">twenty-eight states </w:t>
      </w:r>
      <w:r w:rsidR="00FF4C71">
        <w:rPr>
          <w:sz w:val="24"/>
          <w:szCs w:val="24"/>
        </w:rPr>
        <w:t>still required a showing of “forcible compulsion” or “incapacity to consent” for sexual penetration offences.</w:t>
      </w:r>
      <w:r w:rsidR="00FF4C71">
        <w:rPr>
          <w:rStyle w:val="FootnoteReference"/>
          <w:sz w:val="24"/>
          <w:szCs w:val="24"/>
        </w:rPr>
        <w:footnoteReference w:id="45"/>
      </w:r>
      <w:r w:rsidR="00FF4C71">
        <w:rPr>
          <w:sz w:val="24"/>
          <w:szCs w:val="24"/>
        </w:rPr>
        <w:t xml:space="preserve"> They concluded that though increasingly, states had some provision that criminalised sexual relations based on non-physical coercion in their statutes, most of these provisions lacked teeth and that convictions on these grounds were scarce. </w:t>
      </w:r>
      <w:r w:rsidR="00FF4C71">
        <w:rPr>
          <w:rStyle w:val="FootnoteReference"/>
          <w:sz w:val="24"/>
          <w:szCs w:val="24"/>
        </w:rPr>
        <w:footnoteReference w:id="46"/>
      </w:r>
      <w:r>
        <w:rPr>
          <w:sz w:val="24"/>
          <w:szCs w:val="24"/>
        </w:rPr>
        <w:t xml:space="preserve"> </w:t>
      </w:r>
    </w:p>
    <w:p w14:paraId="4010EF48" w14:textId="77777777" w:rsidR="009401FC" w:rsidRDefault="009401FC" w:rsidP="003F611F">
      <w:pPr>
        <w:autoSpaceDE w:val="0"/>
        <w:autoSpaceDN w:val="0"/>
        <w:adjustRightInd w:val="0"/>
        <w:spacing w:after="0" w:line="360" w:lineRule="auto"/>
        <w:rPr>
          <w:sz w:val="24"/>
          <w:szCs w:val="24"/>
        </w:rPr>
      </w:pPr>
    </w:p>
    <w:p w14:paraId="4010EF49" w14:textId="77777777" w:rsidR="00B60E94" w:rsidRDefault="009401FC" w:rsidP="004278C8">
      <w:pPr>
        <w:autoSpaceDE w:val="0"/>
        <w:autoSpaceDN w:val="0"/>
        <w:adjustRightInd w:val="0"/>
        <w:spacing w:after="0" w:line="360" w:lineRule="auto"/>
        <w:rPr>
          <w:sz w:val="24"/>
          <w:szCs w:val="24"/>
        </w:rPr>
      </w:pPr>
      <w:r w:rsidRPr="008C4665">
        <w:rPr>
          <w:sz w:val="24"/>
          <w:szCs w:val="24"/>
        </w:rPr>
        <w:t>McGregor points out that “</w:t>
      </w:r>
      <w:r>
        <w:rPr>
          <w:sz w:val="24"/>
          <w:szCs w:val="24"/>
        </w:rPr>
        <w:t>[t]</w:t>
      </w:r>
      <w:r w:rsidRPr="008C4665">
        <w:rPr>
          <w:sz w:val="24"/>
          <w:szCs w:val="24"/>
        </w:rPr>
        <w:t>his approach to consent effectively assumes the default position that women are consenting to sex, that there is a presumption of consent which could only be defeated by the most extreme circumstances.”</w:t>
      </w:r>
      <w:r>
        <w:rPr>
          <w:rStyle w:val="FootnoteReference"/>
          <w:sz w:val="24"/>
          <w:szCs w:val="24"/>
        </w:rPr>
        <w:footnoteReference w:id="47"/>
      </w:r>
      <w:r w:rsidRPr="008C4665">
        <w:rPr>
          <w:sz w:val="24"/>
          <w:szCs w:val="24"/>
        </w:rPr>
        <w:t xml:space="preserve"> </w:t>
      </w:r>
      <w:r w:rsidR="00B60E94">
        <w:rPr>
          <w:sz w:val="24"/>
          <w:szCs w:val="24"/>
        </w:rPr>
        <w:t xml:space="preserve">This focus on the centrality of force and a requirement for resistance in order to secure a conviction has been highlighted by feminists as evidence of how rape continues to be seen </w:t>
      </w:r>
      <w:r w:rsidR="00B60E94" w:rsidRPr="002E5FD6">
        <w:rPr>
          <w:sz w:val="24"/>
          <w:szCs w:val="24"/>
        </w:rPr>
        <w:t xml:space="preserve">as </w:t>
      </w:r>
      <w:r w:rsidR="00B60E94" w:rsidRPr="002E5FD6">
        <w:rPr>
          <w:rFonts w:cs="AdvP99AD77"/>
          <w:sz w:val="24"/>
          <w:szCs w:val="24"/>
        </w:rPr>
        <w:t>“</w:t>
      </w:r>
      <w:r w:rsidR="00B60E94">
        <w:rPr>
          <w:rFonts w:cs="AdvP99AD77"/>
          <w:sz w:val="24"/>
          <w:szCs w:val="24"/>
        </w:rPr>
        <w:t>’</w:t>
      </w:r>
      <w:r w:rsidR="00B60E94" w:rsidRPr="002E5FD6">
        <w:rPr>
          <w:rFonts w:cs="AdvP99AD77"/>
          <w:sz w:val="24"/>
          <w:szCs w:val="24"/>
        </w:rPr>
        <w:t>a male perception of threatening situations’ and a male way of responding to a threatening situation</w:t>
      </w:r>
      <w:r w:rsidR="00B60E94" w:rsidRPr="002E5FD6">
        <w:rPr>
          <w:sz w:val="24"/>
          <w:szCs w:val="24"/>
        </w:rPr>
        <w:t xml:space="preserve">.” </w:t>
      </w:r>
      <w:r w:rsidR="00B60E94" w:rsidRPr="002E5FD6">
        <w:rPr>
          <w:rStyle w:val="FootnoteReference"/>
          <w:sz w:val="24"/>
          <w:szCs w:val="24"/>
        </w:rPr>
        <w:footnoteReference w:id="48"/>
      </w:r>
      <w:r w:rsidR="00B60E94">
        <w:rPr>
          <w:sz w:val="24"/>
          <w:szCs w:val="24"/>
        </w:rPr>
        <w:t xml:space="preserve"> </w:t>
      </w:r>
      <w:proofErr w:type="gramStart"/>
      <w:r w:rsidR="004C7951">
        <w:rPr>
          <w:sz w:val="24"/>
          <w:szCs w:val="24"/>
        </w:rPr>
        <w:t>Thus</w:t>
      </w:r>
      <w:proofErr w:type="gramEnd"/>
      <w:r w:rsidR="004C7951">
        <w:rPr>
          <w:sz w:val="24"/>
          <w:szCs w:val="24"/>
        </w:rPr>
        <w:t xml:space="preserve"> one </w:t>
      </w:r>
      <w:r w:rsidR="00B60E94">
        <w:rPr>
          <w:sz w:val="24"/>
          <w:szCs w:val="24"/>
        </w:rPr>
        <w:t>focus in many rape trials has been on the woman’s actions to resist the rape, which, unless involving a physical fight near to death in many cases, would have been deemed to be consensual.</w:t>
      </w:r>
    </w:p>
    <w:p w14:paraId="4010EF4A" w14:textId="77777777" w:rsidR="008523CC" w:rsidRDefault="008523CC" w:rsidP="004278C8">
      <w:pPr>
        <w:autoSpaceDE w:val="0"/>
        <w:autoSpaceDN w:val="0"/>
        <w:adjustRightInd w:val="0"/>
        <w:spacing w:after="0" w:line="360" w:lineRule="auto"/>
        <w:rPr>
          <w:sz w:val="24"/>
          <w:szCs w:val="24"/>
        </w:rPr>
      </w:pPr>
    </w:p>
    <w:p w14:paraId="4010EF4B" w14:textId="77777777" w:rsidR="00F7113F" w:rsidRDefault="009401FC" w:rsidP="004278C8">
      <w:pPr>
        <w:autoSpaceDE w:val="0"/>
        <w:autoSpaceDN w:val="0"/>
        <w:adjustRightInd w:val="0"/>
        <w:spacing w:after="0" w:line="360" w:lineRule="auto"/>
        <w:rPr>
          <w:sz w:val="24"/>
          <w:szCs w:val="24"/>
        </w:rPr>
      </w:pPr>
      <w:r>
        <w:rPr>
          <w:sz w:val="24"/>
          <w:szCs w:val="24"/>
        </w:rPr>
        <w:t xml:space="preserve">The VCLT’s approach to state’s consent </w:t>
      </w:r>
      <w:r w:rsidR="008523CC">
        <w:rPr>
          <w:sz w:val="24"/>
          <w:szCs w:val="24"/>
        </w:rPr>
        <w:t xml:space="preserve">as </w:t>
      </w:r>
      <w:r>
        <w:rPr>
          <w:sz w:val="24"/>
          <w:szCs w:val="24"/>
        </w:rPr>
        <w:t>only bei</w:t>
      </w:r>
      <w:r w:rsidR="008523CC">
        <w:rPr>
          <w:sz w:val="24"/>
          <w:szCs w:val="24"/>
        </w:rPr>
        <w:t xml:space="preserve">ng questionable in the context of use of military </w:t>
      </w:r>
      <w:r>
        <w:rPr>
          <w:sz w:val="24"/>
          <w:szCs w:val="24"/>
        </w:rPr>
        <w:t xml:space="preserve">force </w:t>
      </w:r>
      <w:r w:rsidR="008523CC">
        <w:rPr>
          <w:sz w:val="24"/>
          <w:szCs w:val="24"/>
        </w:rPr>
        <w:t xml:space="preserve">(with other forms of coercion not even recognised) </w:t>
      </w:r>
      <w:r>
        <w:rPr>
          <w:sz w:val="24"/>
          <w:szCs w:val="24"/>
        </w:rPr>
        <w:t xml:space="preserve">powerfully echoes </w:t>
      </w:r>
      <w:r w:rsidR="008523CC">
        <w:rPr>
          <w:sz w:val="24"/>
          <w:szCs w:val="24"/>
        </w:rPr>
        <w:t>the predominant role attributed to force (over other kinds of coercion) in domestic criminal law as evidence of the victim’s non-consent</w:t>
      </w:r>
      <w:r w:rsidR="005E3BCF">
        <w:rPr>
          <w:sz w:val="24"/>
          <w:szCs w:val="24"/>
        </w:rPr>
        <w:t xml:space="preserve"> in sexual assault and rape cases</w:t>
      </w:r>
      <w:r w:rsidR="008523CC">
        <w:rPr>
          <w:sz w:val="24"/>
          <w:szCs w:val="24"/>
        </w:rPr>
        <w:t xml:space="preserve">. </w:t>
      </w:r>
      <w:proofErr w:type="gramStart"/>
      <w:r w:rsidR="008523CC">
        <w:rPr>
          <w:sz w:val="24"/>
          <w:szCs w:val="24"/>
        </w:rPr>
        <w:t>Thus</w:t>
      </w:r>
      <w:proofErr w:type="gramEnd"/>
      <w:r w:rsidR="008523CC">
        <w:rPr>
          <w:sz w:val="24"/>
          <w:szCs w:val="24"/>
        </w:rPr>
        <w:t xml:space="preserve"> the doctrine, practices and conceptions of inter-personal and inter-state relations of power that legally define and underpin consent both in the context of the VCLT and in domestic criminal law in many jurisdictions have a deeply </w:t>
      </w:r>
      <w:r w:rsidR="005A2752">
        <w:rPr>
          <w:sz w:val="24"/>
          <w:szCs w:val="24"/>
        </w:rPr>
        <w:t xml:space="preserve">sexuated </w:t>
      </w:r>
      <w:r w:rsidR="008523CC">
        <w:rPr>
          <w:sz w:val="24"/>
          <w:szCs w:val="24"/>
        </w:rPr>
        <w:t>quality</w:t>
      </w:r>
      <w:r w:rsidR="005A2752">
        <w:rPr>
          <w:sz w:val="24"/>
          <w:szCs w:val="24"/>
        </w:rPr>
        <w:t>.</w:t>
      </w:r>
    </w:p>
    <w:p w14:paraId="4010EF4C" w14:textId="77777777" w:rsidR="00D00AFA" w:rsidRDefault="00D00AFA" w:rsidP="004278C8">
      <w:pPr>
        <w:autoSpaceDE w:val="0"/>
        <w:autoSpaceDN w:val="0"/>
        <w:adjustRightInd w:val="0"/>
        <w:spacing w:after="0" w:line="360" w:lineRule="auto"/>
        <w:rPr>
          <w:sz w:val="24"/>
          <w:szCs w:val="24"/>
        </w:rPr>
      </w:pPr>
    </w:p>
    <w:p w14:paraId="4010EF4D" w14:textId="77777777" w:rsidR="00F4024C" w:rsidRDefault="009D140D" w:rsidP="009D140D">
      <w:pPr>
        <w:spacing w:line="360" w:lineRule="auto"/>
        <w:rPr>
          <w:sz w:val="24"/>
          <w:szCs w:val="24"/>
        </w:rPr>
      </w:pPr>
      <w:r>
        <w:rPr>
          <w:sz w:val="24"/>
          <w:szCs w:val="24"/>
        </w:rPr>
        <w:t xml:space="preserve">The second aspect of feminist legal insight that I wish to </w:t>
      </w:r>
      <w:r w:rsidR="004C7951">
        <w:rPr>
          <w:sz w:val="24"/>
          <w:szCs w:val="24"/>
        </w:rPr>
        <w:t>bring to bear on</w:t>
      </w:r>
      <w:r>
        <w:rPr>
          <w:sz w:val="24"/>
          <w:szCs w:val="24"/>
        </w:rPr>
        <w:t xml:space="preserve"> international treaty-making is the idea that legal subjectivity can have different meanings for women and for men. We have already seen how the idea of the state inherent in the VCLT symbolically </w:t>
      </w:r>
      <w:r>
        <w:rPr>
          <w:sz w:val="24"/>
          <w:szCs w:val="24"/>
        </w:rPr>
        <w:lastRenderedPageBreak/>
        <w:t xml:space="preserve">reflects many of the traits of the masculine autonomous, self-directed liberal subject in liberal law that feminist legal theorists have long pointed out. </w:t>
      </w:r>
      <w:r w:rsidR="00F4024C">
        <w:rPr>
          <w:sz w:val="24"/>
          <w:szCs w:val="24"/>
        </w:rPr>
        <w:t>In this view, the</w:t>
      </w:r>
      <w:r>
        <w:rPr>
          <w:sz w:val="24"/>
          <w:szCs w:val="24"/>
        </w:rPr>
        <w:t xml:space="preserve"> liberal legal subject is one who exists outside of relations with others and wider society, who is rational and self-interested and rationally pursues his needs and desires in encounters with others.</w:t>
      </w:r>
      <w:r>
        <w:rPr>
          <w:rStyle w:val="FootnoteReference"/>
          <w:sz w:val="24"/>
          <w:szCs w:val="24"/>
        </w:rPr>
        <w:footnoteReference w:id="49"/>
      </w:r>
      <w:r>
        <w:rPr>
          <w:sz w:val="24"/>
          <w:szCs w:val="24"/>
        </w:rPr>
        <w:t xml:space="preserve">  </w:t>
      </w:r>
      <w:r w:rsidR="00F4024C">
        <w:rPr>
          <w:sz w:val="24"/>
          <w:szCs w:val="24"/>
        </w:rPr>
        <w:t xml:space="preserve">Paralleling this view of the masculine liberal subject, is that of the state in international law, which pursues </w:t>
      </w:r>
      <w:r>
        <w:rPr>
          <w:sz w:val="24"/>
          <w:szCs w:val="24"/>
        </w:rPr>
        <w:t>relations with other states through a contractual approach</w:t>
      </w:r>
      <w:r w:rsidR="00F4024C">
        <w:rPr>
          <w:sz w:val="24"/>
          <w:szCs w:val="24"/>
        </w:rPr>
        <w:t>. This view</w:t>
      </w:r>
      <w:r>
        <w:rPr>
          <w:sz w:val="24"/>
          <w:szCs w:val="24"/>
        </w:rPr>
        <w:t xml:space="preserve"> is one which continues to prevail in contemporary writing on the principle of consent in international law</w:t>
      </w:r>
      <w:r w:rsidR="00F4024C">
        <w:rPr>
          <w:sz w:val="24"/>
          <w:szCs w:val="24"/>
        </w:rPr>
        <w:t xml:space="preserve"> </w:t>
      </w:r>
      <w:r>
        <w:rPr>
          <w:rStyle w:val="FootnoteReference"/>
          <w:sz w:val="24"/>
          <w:szCs w:val="24"/>
        </w:rPr>
        <w:footnoteReference w:id="50"/>
      </w:r>
      <w:r>
        <w:rPr>
          <w:sz w:val="24"/>
          <w:szCs w:val="24"/>
        </w:rPr>
        <w:t xml:space="preserve"> and underpins central tenets of international relations theory. </w:t>
      </w:r>
      <w:r>
        <w:rPr>
          <w:rStyle w:val="FootnoteReference"/>
          <w:sz w:val="24"/>
          <w:szCs w:val="24"/>
        </w:rPr>
        <w:footnoteReference w:id="51"/>
      </w:r>
      <w:r>
        <w:rPr>
          <w:sz w:val="24"/>
          <w:szCs w:val="24"/>
        </w:rPr>
        <w:t xml:space="preserve"> </w:t>
      </w:r>
    </w:p>
    <w:p w14:paraId="4010EF4E" w14:textId="77777777" w:rsidR="009D140D" w:rsidRDefault="00F4024C" w:rsidP="009D140D">
      <w:pPr>
        <w:spacing w:line="360" w:lineRule="auto"/>
        <w:rPr>
          <w:sz w:val="24"/>
          <w:szCs w:val="24"/>
        </w:rPr>
      </w:pPr>
      <w:r>
        <w:rPr>
          <w:sz w:val="24"/>
          <w:szCs w:val="24"/>
        </w:rPr>
        <w:t>However, feminist legal theorists have highlighted that even when women have attained legal subjectivity, they continue to have difficulties in doing so</w:t>
      </w:r>
      <w:r w:rsidR="009D140D">
        <w:rPr>
          <w:sz w:val="24"/>
          <w:szCs w:val="24"/>
        </w:rPr>
        <w:t xml:space="preserve"> in terms that equate with </w:t>
      </w:r>
      <w:proofErr w:type="gramStart"/>
      <w:r w:rsidR="009D140D">
        <w:rPr>
          <w:sz w:val="24"/>
          <w:szCs w:val="24"/>
        </w:rPr>
        <w:t>that afforded men</w:t>
      </w:r>
      <w:proofErr w:type="gramEnd"/>
      <w:r w:rsidR="004C7951">
        <w:rPr>
          <w:sz w:val="24"/>
          <w:szCs w:val="24"/>
        </w:rPr>
        <w:t xml:space="preserve">. </w:t>
      </w:r>
      <w:r w:rsidR="009D140D">
        <w:rPr>
          <w:rStyle w:val="FootnoteReference"/>
          <w:sz w:val="24"/>
          <w:szCs w:val="24"/>
        </w:rPr>
        <w:footnoteReference w:id="52"/>
      </w:r>
      <w:r w:rsidR="003C3116">
        <w:rPr>
          <w:sz w:val="24"/>
          <w:szCs w:val="24"/>
        </w:rPr>
        <w:t xml:space="preserve"> </w:t>
      </w:r>
      <w:r w:rsidR="004C7951">
        <w:rPr>
          <w:sz w:val="24"/>
          <w:szCs w:val="24"/>
        </w:rPr>
        <w:t>Further,</w:t>
      </w:r>
      <w:r w:rsidR="003C3116">
        <w:rPr>
          <w:sz w:val="24"/>
          <w:szCs w:val="24"/>
        </w:rPr>
        <w:t xml:space="preserve"> retaining </w:t>
      </w:r>
      <w:r>
        <w:rPr>
          <w:sz w:val="24"/>
          <w:szCs w:val="24"/>
        </w:rPr>
        <w:t>that</w:t>
      </w:r>
      <w:r w:rsidR="003C3116">
        <w:rPr>
          <w:sz w:val="24"/>
          <w:szCs w:val="24"/>
        </w:rPr>
        <w:t xml:space="preserve"> subjectivity </w:t>
      </w:r>
      <w:r>
        <w:rPr>
          <w:sz w:val="24"/>
          <w:szCs w:val="24"/>
        </w:rPr>
        <w:t>in a way that</w:t>
      </w:r>
      <w:r w:rsidR="003C3116">
        <w:rPr>
          <w:sz w:val="24"/>
          <w:szCs w:val="24"/>
        </w:rPr>
        <w:t xml:space="preserve"> resonates with their lived experience</w:t>
      </w:r>
      <w:r>
        <w:rPr>
          <w:sz w:val="24"/>
          <w:szCs w:val="24"/>
        </w:rPr>
        <w:t xml:space="preserve"> can be problematic</w:t>
      </w:r>
      <w:r w:rsidR="00E12285">
        <w:rPr>
          <w:sz w:val="24"/>
          <w:szCs w:val="24"/>
        </w:rPr>
        <w:t xml:space="preserve">. </w:t>
      </w:r>
      <w:r w:rsidR="003C3116">
        <w:rPr>
          <w:rStyle w:val="FootnoteReference"/>
          <w:sz w:val="24"/>
          <w:szCs w:val="24"/>
        </w:rPr>
        <w:footnoteReference w:id="53"/>
      </w:r>
      <w:r>
        <w:rPr>
          <w:sz w:val="24"/>
          <w:szCs w:val="24"/>
        </w:rPr>
        <w:t xml:space="preserve"> I propose that there is a parallel here between women’s experience of attaining and retaining a subjectivity in law that ‘makes sense’ for their lives, and that of the developing countries and LDCs that negotiated EPAs with the EU. In the following example, I explore how international law more broadly, and international </w:t>
      </w:r>
      <w:r>
        <w:rPr>
          <w:sz w:val="24"/>
          <w:szCs w:val="24"/>
        </w:rPr>
        <w:lastRenderedPageBreak/>
        <w:t>economic law in particular, privileges only certain kinds of subjectivities for LDC and developing country states</w:t>
      </w:r>
      <w:r w:rsidR="007813BC">
        <w:rPr>
          <w:sz w:val="24"/>
          <w:szCs w:val="24"/>
        </w:rPr>
        <w:t xml:space="preserve"> in EPAs through an analysis of </w:t>
      </w:r>
      <w:r w:rsidR="005E3BCF">
        <w:rPr>
          <w:sz w:val="24"/>
          <w:szCs w:val="24"/>
        </w:rPr>
        <w:t>the EU’s</w:t>
      </w:r>
      <w:r w:rsidR="007813BC">
        <w:rPr>
          <w:sz w:val="24"/>
          <w:szCs w:val="24"/>
        </w:rPr>
        <w:t xml:space="preserve"> approach to regionalism</w:t>
      </w:r>
      <w:r w:rsidR="005E3BCF">
        <w:rPr>
          <w:sz w:val="24"/>
          <w:szCs w:val="24"/>
        </w:rPr>
        <w:t xml:space="preserve"> in EPAs</w:t>
      </w:r>
      <w:r>
        <w:rPr>
          <w:sz w:val="24"/>
          <w:szCs w:val="24"/>
        </w:rPr>
        <w:t xml:space="preserve">. </w:t>
      </w:r>
    </w:p>
    <w:p w14:paraId="4010EF4F" w14:textId="77777777" w:rsidR="00F4024C" w:rsidRDefault="00F4024C" w:rsidP="00F4024C">
      <w:pPr>
        <w:autoSpaceDE w:val="0"/>
        <w:autoSpaceDN w:val="0"/>
        <w:adjustRightInd w:val="0"/>
        <w:spacing w:after="0" w:line="360" w:lineRule="auto"/>
        <w:rPr>
          <w:sz w:val="24"/>
          <w:szCs w:val="24"/>
        </w:rPr>
      </w:pPr>
      <w:r>
        <w:rPr>
          <w:sz w:val="24"/>
          <w:szCs w:val="24"/>
        </w:rPr>
        <w:t>One issue that captures well the tensions between the stated objectives of the Cotonou Agreement’s EPAs, and the EU’s negotiations on EPAs, is in the EU’s approach to regionalism and regional integration.</w:t>
      </w:r>
      <w:r>
        <w:rPr>
          <w:rStyle w:val="FootnoteReference"/>
          <w:sz w:val="24"/>
          <w:szCs w:val="24"/>
        </w:rPr>
        <w:footnoteReference w:id="54"/>
      </w:r>
      <w:r>
        <w:rPr>
          <w:sz w:val="24"/>
          <w:szCs w:val="24"/>
        </w:rPr>
        <w:t xml:space="preserve"> The EU already wielded a strong influence on approaches to regionalism in Africa, for reasons of history and as a model of </w:t>
      </w:r>
      <w:proofErr w:type="gramStart"/>
      <w:r>
        <w:rPr>
          <w:sz w:val="24"/>
          <w:szCs w:val="24"/>
        </w:rPr>
        <w:t>regionalism in its own right</w:t>
      </w:r>
      <w:proofErr w:type="gramEnd"/>
      <w:r>
        <w:rPr>
          <w:sz w:val="24"/>
          <w:szCs w:val="24"/>
        </w:rPr>
        <w:t xml:space="preserve">. </w:t>
      </w:r>
      <w:r>
        <w:rPr>
          <w:rStyle w:val="FootnoteReference"/>
          <w:sz w:val="24"/>
          <w:szCs w:val="24"/>
        </w:rPr>
        <w:footnoteReference w:id="55"/>
      </w:r>
      <w:r>
        <w:rPr>
          <w:sz w:val="24"/>
          <w:szCs w:val="24"/>
        </w:rPr>
        <w:t xml:space="preserve"> However, in the context of the EPA negotiations it made several proposals that appeared at odds with first, the stated aims of the Cotonou Agreement on regionalism and regional integration, and the EU’s own commitments to regionalism,</w:t>
      </w:r>
      <w:r>
        <w:rPr>
          <w:rStyle w:val="FootnoteReference"/>
          <w:sz w:val="24"/>
          <w:szCs w:val="24"/>
        </w:rPr>
        <w:footnoteReference w:id="56"/>
      </w:r>
      <w:r>
        <w:rPr>
          <w:sz w:val="24"/>
          <w:szCs w:val="24"/>
        </w:rPr>
        <w:t xml:space="preserve"> and secondly, with then-prevailing African approaches to regionalism</w:t>
      </w:r>
      <w:r w:rsidR="005E3BCF">
        <w:rPr>
          <w:sz w:val="24"/>
          <w:szCs w:val="24"/>
        </w:rPr>
        <w:t xml:space="preserve">. </w:t>
      </w:r>
      <w:r>
        <w:rPr>
          <w:sz w:val="24"/>
          <w:szCs w:val="24"/>
        </w:rPr>
        <w:t xml:space="preserve">One </w:t>
      </w:r>
      <w:r w:rsidR="005E3BCF">
        <w:rPr>
          <w:sz w:val="24"/>
          <w:szCs w:val="24"/>
        </w:rPr>
        <w:t>initiative that captured this gulf between the EU’s approach to regionalism through EPAs and prevailing African approaches to regionalism at the time</w:t>
      </w:r>
      <w:r w:rsidR="004C7951">
        <w:rPr>
          <w:sz w:val="24"/>
          <w:szCs w:val="24"/>
        </w:rPr>
        <w:t>,</w:t>
      </w:r>
      <w:r w:rsidR="005E3BCF">
        <w:rPr>
          <w:sz w:val="24"/>
          <w:szCs w:val="24"/>
        </w:rPr>
        <w:t xml:space="preserve"> </w:t>
      </w:r>
      <w:r>
        <w:rPr>
          <w:sz w:val="24"/>
          <w:szCs w:val="24"/>
        </w:rPr>
        <w:t>emerged early in its negotiations with the EU’s issuance of an ‘EU Toolbox’ on regional integration.</w:t>
      </w:r>
      <w:r>
        <w:rPr>
          <w:rStyle w:val="FootnoteReference"/>
          <w:sz w:val="24"/>
          <w:szCs w:val="24"/>
        </w:rPr>
        <w:footnoteReference w:id="57"/>
      </w:r>
      <w:r>
        <w:rPr>
          <w:sz w:val="24"/>
          <w:szCs w:val="24"/>
        </w:rPr>
        <w:t xml:space="preserve">  This reflected EU-held views on the key features of an African regional </w:t>
      </w:r>
      <w:r w:rsidR="007813BC">
        <w:rPr>
          <w:sz w:val="24"/>
          <w:szCs w:val="24"/>
        </w:rPr>
        <w:t xml:space="preserve">trade </w:t>
      </w:r>
      <w:r>
        <w:rPr>
          <w:sz w:val="24"/>
          <w:szCs w:val="24"/>
        </w:rPr>
        <w:t>entity, within the context of its EPA negotiations.</w:t>
      </w:r>
      <w:r w:rsidR="004C7951" w:rsidRPr="00977204">
        <w:rPr>
          <w:sz w:val="24"/>
          <w:szCs w:val="24"/>
        </w:rPr>
        <w:t xml:space="preserve"> </w:t>
      </w:r>
      <w:r w:rsidRPr="00977204">
        <w:rPr>
          <w:sz w:val="24"/>
          <w:szCs w:val="24"/>
        </w:rPr>
        <w:t>Unfortunately, this did not match with reality</w:t>
      </w:r>
      <w:r w:rsidR="005E3BCF">
        <w:rPr>
          <w:sz w:val="24"/>
          <w:szCs w:val="24"/>
        </w:rPr>
        <w:t xml:space="preserve"> at the time</w:t>
      </w:r>
      <w:r w:rsidRPr="00977204">
        <w:rPr>
          <w:sz w:val="24"/>
          <w:szCs w:val="24"/>
        </w:rPr>
        <w:t>,</w:t>
      </w:r>
      <w:r>
        <w:rPr>
          <w:sz w:val="24"/>
          <w:szCs w:val="24"/>
        </w:rPr>
        <w:t xml:space="preserve"> with African regional </w:t>
      </w:r>
      <w:r w:rsidR="005E3BCF">
        <w:rPr>
          <w:sz w:val="24"/>
          <w:szCs w:val="24"/>
        </w:rPr>
        <w:t xml:space="preserve">economic </w:t>
      </w:r>
      <w:r>
        <w:rPr>
          <w:sz w:val="24"/>
          <w:szCs w:val="24"/>
        </w:rPr>
        <w:t xml:space="preserve">organisations serving several purposes, only one of which is regional </w:t>
      </w:r>
      <w:r w:rsidRPr="005E3BCF">
        <w:rPr>
          <w:sz w:val="24"/>
          <w:szCs w:val="24"/>
        </w:rPr>
        <w:t>economic</w:t>
      </w:r>
      <w:r>
        <w:rPr>
          <w:sz w:val="24"/>
          <w:szCs w:val="24"/>
        </w:rPr>
        <w:t xml:space="preserve"> integration. </w:t>
      </w:r>
      <w:r w:rsidR="005E3BCF">
        <w:rPr>
          <w:sz w:val="24"/>
          <w:szCs w:val="24"/>
        </w:rPr>
        <w:t>In addition,</w:t>
      </w:r>
      <w:r>
        <w:rPr>
          <w:sz w:val="24"/>
          <w:szCs w:val="24"/>
        </w:rPr>
        <w:t xml:space="preserve"> </w:t>
      </w:r>
      <w:r w:rsidRPr="00977204">
        <w:rPr>
          <w:sz w:val="24"/>
          <w:szCs w:val="24"/>
        </w:rPr>
        <w:t>several African</w:t>
      </w:r>
      <w:r>
        <w:rPr>
          <w:sz w:val="24"/>
          <w:szCs w:val="24"/>
        </w:rPr>
        <w:t xml:space="preserve"> states had</w:t>
      </w:r>
      <w:r w:rsidRPr="00977204">
        <w:rPr>
          <w:sz w:val="24"/>
          <w:szCs w:val="24"/>
        </w:rPr>
        <w:t xml:space="preserve"> memberships of more than one African regional </w:t>
      </w:r>
      <w:r w:rsidR="005E3BCF">
        <w:rPr>
          <w:sz w:val="24"/>
          <w:szCs w:val="24"/>
        </w:rPr>
        <w:t xml:space="preserve">economic </w:t>
      </w:r>
      <w:r w:rsidRPr="00977204">
        <w:rPr>
          <w:sz w:val="24"/>
          <w:szCs w:val="24"/>
        </w:rPr>
        <w:t>organisation</w:t>
      </w:r>
      <w:r w:rsidR="005E3BCF">
        <w:rPr>
          <w:sz w:val="24"/>
          <w:szCs w:val="24"/>
        </w:rPr>
        <w:t xml:space="preserve">. </w:t>
      </w:r>
      <w:r w:rsidR="004C7951">
        <w:rPr>
          <w:sz w:val="24"/>
          <w:szCs w:val="24"/>
        </w:rPr>
        <w:t xml:space="preserve">The gap between the EU’s approach to regional economic integration and that already existing in the African continent </w:t>
      </w:r>
      <w:r w:rsidR="005E3BCF">
        <w:rPr>
          <w:sz w:val="24"/>
          <w:szCs w:val="24"/>
        </w:rPr>
        <w:t xml:space="preserve">had </w:t>
      </w:r>
      <w:proofErr w:type="gramStart"/>
      <w:r w:rsidR="005E3BCF">
        <w:rPr>
          <w:sz w:val="24"/>
          <w:szCs w:val="24"/>
        </w:rPr>
        <w:t>a number of</w:t>
      </w:r>
      <w:proofErr w:type="gramEnd"/>
      <w:r w:rsidR="005E3BCF">
        <w:rPr>
          <w:sz w:val="24"/>
          <w:szCs w:val="24"/>
        </w:rPr>
        <w:t xml:space="preserve"> consequences for African states</w:t>
      </w:r>
      <w:r w:rsidR="004C7951">
        <w:rPr>
          <w:sz w:val="24"/>
          <w:szCs w:val="24"/>
        </w:rPr>
        <w:t xml:space="preserve">. As EPA </w:t>
      </w:r>
      <w:r w:rsidR="004C7951">
        <w:rPr>
          <w:sz w:val="24"/>
          <w:szCs w:val="24"/>
        </w:rPr>
        <w:lastRenderedPageBreak/>
        <w:t xml:space="preserve">negotiations progressed, it </w:t>
      </w:r>
      <w:proofErr w:type="gramStart"/>
      <w:r w:rsidR="004C7951">
        <w:rPr>
          <w:sz w:val="24"/>
          <w:szCs w:val="24"/>
        </w:rPr>
        <w:t>lead</w:t>
      </w:r>
      <w:proofErr w:type="gramEnd"/>
      <w:r w:rsidR="004C7951">
        <w:rPr>
          <w:sz w:val="24"/>
          <w:szCs w:val="24"/>
        </w:rPr>
        <w:t xml:space="preserve"> to </w:t>
      </w:r>
      <w:r w:rsidR="005E3BCF">
        <w:rPr>
          <w:sz w:val="24"/>
          <w:szCs w:val="24"/>
        </w:rPr>
        <w:t xml:space="preserve">several revised membership configurations of regional economic entities and </w:t>
      </w:r>
      <w:r w:rsidR="004C7951">
        <w:rPr>
          <w:sz w:val="24"/>
          <w:szCs w:val="24"/>
        </w:rPr>
        <w:t>made</w:t>
      </w:r>
      <w:r>
        <w:rPr>
          <w:sz w:val="24"/>
          <w:szCs w:val="24"/>
        </w:rPr>
        <w:t xml:space="preserve"> the </w:t>
      </w:r>
      <w:r w:rsidRPr="00977204">
        <w:rPr>
          <w:sz w:val="24"/>
          <w:szCs w:val="24"/>
        </w:rPr>
        <w:t xml:space="preserve">calculations of relative gains and losses for country members of more than one regional </w:t>
      </w:r>
      <w:r>
        <w:rPr>
          <w:sz w:val="24"/>
          <w:szCs w:val="24"/>
        </w:rPr>
        <w:t xml:space="preserve">economic </w:t>
      </w:r>
      <w:r w:rsidRPr="00977204">
        <w:rPr>
          <w:sz w:val="24"/>
          <w:szCs w:val="24"/>
        </w:rPr>
        <w:t xml:space="preserve">entity </w:t>
      </w:r>
      <w:r>
        <w:rPr>
          <w:sz w:val="24"/>
          <w:szCs w:val="24"/>
        </w:rPr>
        <w:t xml:space="preserve">a very complex affair. </w:t>
      </w:r>
      <w:r w:rsidRPr="00977204">
        <w:rPr>
          <w:sz w:val="24"/>
          <w:szCs w:val="24"/>
          <w:vertAlign w:val="superscript"/>
        </w:rPr>
        <w:footnoteReference w:id="58"/>
      </w:r>
      <w:r>
        <w:rPr>
          <w:sz w:val="24"/>
          <w:szCs w:val="24"/>
        </w:rPr>
        <w:t xml:space="preserve"> </w:t>
      </w:r>
      <w:r w:rsidRPr="00977204">
        <w:rPr>
          <w:sz w:val="24"/>
          <w:szCs w:val="24"/>
        </w:rPr>
        <w:t xml:space="preserve">Hurt has pointed out that by splitting the ACP group into </w:t>
      </w:r>
      <w:r>
        <w:rPr>
          <w:sz w:val="24"/>
          <w:szCs w:val="24"/>
        </w:rPr>
        <w:t>negotiating regions</w:t>
      </w:r>
      <w:r w:rsidRPr="00977204">
        <w:rPr>
          <w:sz w:val="24"/>
          <w:szCs w:val="24"/>
        </w:rPr>
        <w:t xml:space="preserve"> which </w:t>
      </w:r>
      <w:r>
        <w:rPr>
          <w:sz w:val="24"/>
          <w:szCs w:val="24"/>
        </w:rPr>
        <w:t>did</w:t>
      </w:r>
      <w:r w:rsidRPr="00977204">
        <w:rPr>
          <w:sz w:val="24"/>
          <w:szCs w:val="24"/>
        </w:rPr>
        <w:t xml:space="preserve"> not correspond to existing regional organisations, ACP control over </w:t>
      </w:r>
      <w:r w:rsidRPr="00CB27D1">
        <w:rPr>
          <w:sz w:val="24"/>
          <w:szCs w:val="24"/>
        </w:rPr>
        <w:t xml:space="preserve">their own integration processes was weakened. </w:t>
      </w:r>
      <w:r w:rsidRPr="00CB27D1">
        <w:rPr>
          <w:sz w:val="24"/>
          <w:szCs w:val="24"/>
          <w:vertAlign w:val="superscript"/>
        </w:rPr>
        <w:footnoteReference w:id="59"/>
      </w:r>
      <w:r w:rsidRPr="00CB27D1">
        <w:rPr>
          <w:sz w:val="24"/>
          <w:szCs w:val="24"/>
        </w:rPr>
        <w:t xml:space="preserve"> </w:t>
      </w:r>
    </w:p>
    <w:p w14:paraId="4010EF50" w14:textId="77777777" w:rsidR="007813BC" w:rsidRDefault="007813BC" w:rsidP="00F4024C">
      <w:pPr>
        <w:autoSpaceDE w:val="0"/>
        <w:autoSpaceDN w:val="0"/>
        <w:adjustRightInd w:val="0"/>
        <w:spacing w:after="0" w:line="360" w:lineRule="auto"/>
        <w:rPr>
          <w:sz w:val="24"/>
          <w:szCs w:val="24"/>
        </w:rPr>
      </w:pPr>
    </w:p>
    <w:p w14:paraId="4010EF51" w14:textId="77777777" w:rsidR="00B23C6C" w:rsidRDefault="00B23C6C" w:rsidP="00B23C6C">
      <w:pPr>
        <w:autoSpaceDE w:val="0"/>
        <w:autoSpaceDN w:val="0"/>
        <w:adjustRightInd w:val="0"/>
        <w:spacing w:after="0" w:line="360" w:lineRule="auto"/>
        <w:rPr>
          <w:sz w:val="24"/>
          <w:szCs w:val="24"/>
        </w:rPr>
      </w:pPr>
      <w:r>
        <w:rPr>
          <w:sz w:val="24"/>
          <w:szCs w:val="24"/>
        </w:rPr>
        <w:t>A most striking example of divergent thinking between the EU and ACP regions on EPAs and regionalism was the EU’</w:t>
      </w:r>
      <w:r w:rsidRPr="00CB27D1">
        <w:rPr>
          <w:sz w:val="24"/>
          <w:szCs w:val="24"/>
        </w:rPr>
        <w:t xml:space="preserve">s insistence that ‘community levies’ be eliminated in regions where they are currently applied </w:t>
      </w:r>
      <w:proofErr w:type="gramStart"/>
      <w:r w:rsidRPr="00CB27D1">
        <w:rPr>
          <w:sz w:val="24"/>
          <w:szCs w:val="24"/>
        </w:rPr>
        <w:t>e.g.</w:t>
      </w:r>
      <w:proofErr w:type="gramEnd"/>
      <w:r w:rsidRPr="00CB27D1">
        <w:rPr>
          <w:sz w:val="24"/>
          <w:szCs w:val="24"/>
        </w:rPr>
        <w:t xml:space="preserve"> in the ECOWAS region. Community levies are a means by which regional institutions obtain funding for their activities (</w:t>
      </w:r>
      <w:proofErr w:type="gramStart"/>
      <w:r w:rsidRPr="00CB27D1">
        <w:rPr>
          <w:sz w:val="24"/>
          <w:szCs w:val="24"/>
        </w:rPr>
        <w:t>e.g.</w:t>
      </w:r>
      <w:proofErr w:type="gramEnd"/>
      <w:r w:rsidRPr="00CB27D1">
        <w:rPr>
          <w:sz w:val="24"/>
          <w:szCs w:val="24"/>
        </w:rPr>
        <w:t xml:space="preserve"> ECOWAS charges .5% levy on all non-community imports), and the lack of secure funding is recognised as a key challenge to the establishment and effective operation of the necessary institutional mechanisms to operate a regional economic entity. </w:t>
      </w:r>
      <w:r w:rsidRPr="00CB27D1">
        <w:rPr>
          <w:rStyle w:val="FootnoteReference"/>
          <w:sz w:val="24"/>
          <w:szCs w:val="24"/>
        </w:rPr>
        <w:footnoteReference w:id="60"/>
      </w:r>
      <w:r w:rsidRPr="00CB27D1">
        <w:rPr>
          <w:sz w:val="24"/>
          <w:szCs w:val="24"/>
        </w:rPr>
        <w:t xml:space="preserve"> </w:t>
      </w:r>
      <w:r>
        <w:rPr>
          <w:sz w:val="24"/>
          <w:szCs w:val="24"/>
        </w:rPr>
        <w:t xml:space="preserve">By including proposals for the elimination of community levies within EPA negotiations, the EU’s approach was condemned as being unsupportive of and actively undermining African and continental plans for regionalism. </w:t>
      </w:r>
      <w:r>
        <w:rPr>
          <w:rStyle w:val="FootnoteReference"/>
          <w:sz w:val="24"/>
          <w:szCs w:val="24"/>
        </w:rPr>
        <w:footnoteReference w:id="61"/>
      </w:r>
      <w:r>
        <w:rPr>
          <w:sz w:val="24"/>
          <w:szCs w:val="24"/>
        </w:rPr>
        <w:t xml:space="preserve"> </w:t>
      </w:r>
    </w:p>
    <w:p w14:paraId="4010EF52" w14:textId="77777777" w:rsidR="00B23C6C" w:rsidRDefault="00B23C6C" w:rsidP="00F4024C">
      <w:pPr>
        <w:autoSpaceDE w:val="0"/>
        <w:autoSpaceDN w:val="0"/>
        <w:adjustRightInd w:val="0"/>
        <w:spacing w:after="0" w:line="360" w:lineRule="auto"/>
        <w:rPr>
          <w:sz w:val="24"/>
          <w:szCs w:val="24"/>
        </w:rPr>
      </w:pPr>
    </w:p>
    <w:p w14:paraId="4010EF53" w14:textId="77777777" w:rsidR="00F4024C" w:rsidRDefault="007813BC" w:rsidP="00F4024C">
      <w:pPr>
        <w:autoSpaceDE w:val="0"/>
        <w:autoSpaceDN w:val="0"/>
        <w:adjustRightInd w:val="0"/>
        <w:spacing w:after="0" w:line="360" w:lineRule="auto"/>
        <w:rPr>
          <w:sz w:val="24"/>
          <w:szCs w:val="24"/>
        </w:rPr>
      </w:pPr>
      <w:r>
        <w:rPr>
          <w:sz w:val="24"/>
          <w:szCs w:val="24"/>
        </w:rPr>
        <w:lastRenderedPageBreak/>
        <w:t xml:space="preserve">Gathii has highlighted that African regional trade agreements – that is, the ones that they </w:t>
      </w:r>
      <w:r w:rsidR="005E3BCF">
        <w:rPr>
          <w:sz w:val="24"/>
          <w:szCs w:val="24"/>
        </w:rPr>
        <w:t>had already</w:t>
      </w:r>
      <w:r>
        <w:rPr>
          <w:sz w:val="24"/>
          <w:szCs w:val="24"/>
        </w:rPr>
        <w:t xml:space="preserve"> negotiated with each other </w:t>
      </w:r>
      <w:r w:rsidR="005E3BCF">
        <w:rPr>
          <w:sz w:val="24"/>
          <w:szCs w:val="24"/>
        </w:rPr>
        <w:t xml:space="preserve">prior to the EPA negotiations </w:t>
      </w:r>
      <w:r>
        <w:rPr>
          <w:sz w:val="24"/>
          <w:szCs w:val="24"/>
        </w:rPr>
        <w:t xml:space="preserve">– differ sharply from those pursued within the EU, and those such as the North Atlantic Free Trade Agreement (NAFTA). By contrast with the EU and NAFTA agreements, </w:t>
      </w:r>
      <w:r w:rsidR="005E3BCF">
        <w:rPr>
          <w:sz w:val="24"/>
          <w:szCs w:val="24"/>
        </w:rPr>
        <w:t xml:space="preserve">he proposes that </w:t>
      </w:r>
      <w:r>
        <w:rPr>
          <w:sz w:val="24"/>
          <w:szCs w:val="24"/>
        </w:rPr>
        <w:t xml:space="preserve">African regional trade agreements (RTAs) should be viewed as “flexible regimes of co-operation” over “rules requiring ‘scrupulous and rigorous adherence” </w:t>
      </w:r>
      <w:r>
        <w:rPr>
          <w:rStyle w:val="FootnoteReference"/>
          <w:sz w:val="24"/>
          <w:szCs w:val="24"/>
        </w:rPr>
        <w:footnoteReference w:id="62"/>
      </w:r>
      <w:r>
        <w:rPr>
          <w:sz w:val="24"/>
          <w:szCs w:val="24"/>
        </w:rPr>
        <w:t xml:space="preserve"> and rather than being compared to instruments leading to a proto-EU or –NAFTA, instead should be viewed in light of what African states themselves want to accomplish. Thus, African RTAs are not exclusively trade regimes, but serve as frameworks for the co-ordination of a range of cross-border development projects such a</w:t>
      </w:r>
      <w:r w:rsidR="005E3BCF">
        <w:rPr>
          <w:sz w:val="24"/>
          <w:szCs w:val="24"/>
        </w:rPr>
        <w:t xml:space="preserve">s access to riparian waterways. Where </w:t>
      </w:r>
      <w:r>
        <w:rPr>
          <w:sz w:val="24"/>
          <w:szCs w:val="24"/>
        </w:rPr>
        <w:t xml:space="preserve">trade matters have been a focus, a flexible approach to their implementation </w:t>
      </w:r>
      <w:r w:rsidR="005E3BCF">
        <w:rPr>
          <w:sz w:val="24"/>
          <w:szCs w:val="24"/>
        </w:rPr>
        <w:t xml:space="preserve">has been taken </w:t>
      </w:r>
      <w:proofErr w:type="gramStart"/>
      <w:r>
        <w:rPr>
          <w:sz w:val="24"/>
          <w:szCs w:val="24"/>
        </w:rPr>
        <w:t>in order to</w:t>
      </w:r>
      <w:proofErr w:type="gramEnd"/>
      <w:r>
        <w:rPr>
          <w:sz w:val="24"/>
          <w:szCs w:val="24"/>
        </w:rPr>
        <w:t xml:space="preserve"> ensure a balancing of gains and losses, especially in relation to compensation for LDCs for losses arising from liberalisation. </w:t>
      </w:r>
      <w:r w:rsidR="00B23C6C">
        <w:rPr>
          <w:sz w:val="24"/>
          <w:szCs w:val="24"/>
        </w:rPr>
        <w:t xml:space="preserve">In this way, </w:t>
      </w:r>
      <w:r w:rsidR="005E3BCF">
        <w:rPr>
          <w:sz w:val="24"/>
          <w:szCs w:val="24"/>
        </w:rPr>
        <w:t>African RTAs</w:t>
      </w:r>
      <w:r w:rsidR="00B23C6C">
        <w:rPr>
          <w:sz w:val="24"/>
          <w:szCs w:val="24"/>
        </w:rPr>
        <w:t xml:space="preserve"> diverge from the neoclassical/comparative advantage model underpinning the EU’s approach.  Though </w:t>
      </w:r>
      <w:r w:rsidR="005E3BCF">
        <w:rPr>
          <w:sz w:val="24"/>
          <w:szCs w:val="24"/>
        </w:rPr>
        <w:t>the former</w:t>
      </w:r>
      <w:r w:rsidR="00B23C6C">
        <w:rPr>
          <w:sz w:val="24"/>
          <w:szCs w:val="24"/>
        </w:rPr>
        <w:t xml:space="preserve"> may not be the most efficient in terms of facilitating inter-regional trade, their value for African states’ leadership, lies in their function as forums for co-ordination of more immediate development projects. </w:t>
      </w:r>
      <w:r w:rsidR="00B23C6C">
        <w:rPr>
          <w:rStyle w:val="FootnoteReference"/>
          <w:sz w:val="24"/>
          <w:szCs w:val="24"/>
        </w:rPr>
        <w:footnoteReference w:id="63"/>
      </w:r>
    </w:p>
    <w:p w14:paraId="4010EF54" w14:textId="77777777" w:rsidR="007813BC" w:rsidRDefault="007813BC" w:rsidP="00F4024C">
      <w:pPr>
        <w:autoSpaceDE w:val="0"/>
        <w:autoSpaceDN w:val="0"/>
        <w:adjustRightInd w:val="0"/>
        <w:spacing w:after="0" w:line="360" w:lineRule="auto"/>
        <w:rPr>
          <w:sz w:val="24"/>
          <w:szCs w:val="24"/>
        </w:rPr>
      </w:pPr>
    </w:p>
    <w:p w14:paraId="4010EF55" w14:textId="77777777" w:rsidR="009D140D" w:rsidRDefault="00F35797" w:rsidP="00E04504">
      <w:pPr>
        <w:autoSpaceDE w:val="0"/>
        <w:autoSpaceDN w:val="0"/>
        <w:adjustRightInd w:val="0"/>
        <w:spacing w:after="0" w:line="360" w:lineRule="auto"/>
        <w:rPr>
          <w:rFonts w:cs="GalliardStd-Roman"/>
          <w:sz w:val="24"/>
          <w:szCs w:val="24"/>
        </w:rPr>
      </w:pPr>
      <w:r w:rsidRPr="00E04504">
        <w:rPr>
          <w:sz w:val="24"/>
          <w:szCs w:val="24"/>
          <w:lang w:val="en-CA"/>
        </w:rPr>
        <w:t xml:space="preserve">By applying a feminist </w:t>
      </w:r>
      <w:r w:rsidR="00E04504">
        <w:rPr>
          <w:sz w:val="24"/>
          <w:szCs w:val="24"/>
          <w:lang w:val="en-CA"/>
        </w:rPr>
        <w:t>consciousness of the variability of impacts of uniform legal subjectivity</w:t>
      </w:r>
      <w:r w:rsidRPr="00E04504">
        <w:rPr>
          <w:sz w:val="24"/>
          <w:szCs w:val="24"/>
          <w:lang w:val="en-CA"/>
        </w:rPr>
        <w:t xml:space="preserve"> </w:t>
      </w:r>
      <w:r w:rsidR="00E04504">
        <w:rPr>
          <w:sz w:val="24"/>
          <w:szCs w:val="24"/>
          <w:lang w:val="en-CA"/>
        </w:rPr>
        <w:t>on different entities</w:t>
      </w:r>
      <w:r w:rsidRPr="00E04504">
        <w:rPr>
          <w:sz w:val="24"/>
          <w:szCs w:val="24"/>
          <w:lang w:val="en-CA"/>
        </w:rPr>
        <w:t xml:space="preserve">, we can see how the </w:t>
      </w:r>
      <w:r w:rsidR="00E04504">
        <w:rPr>
          <w:sz w:val="24"/>
          <w:szCs w:val="24"/>
          <w:lang w:val="en-CA"/>
        </w:rPr>
        <w:t xml:space="preserve">‘uniform’ subjectivity of the </w:t>
      </w:r>
      <w:r w:rsidR="00E04504" w:rsidRPr="00E04504">
        <w:rPr>
          <w:sz w:val="24"/>
          <w:szCs w:val="24"/>
          <w:lang w:val="en-CA"/>
        </w:rPr>
        <w:t xml:space="preserve">prevailing typology of regionalism </w:t>
      </w:r>
      <w:r w:rsidR="005E3BCF">
        <w:rPr>
          <w:sz w:val="24"/>
          <w:szCs w:val="24"/>
          <w:lang w:val="en-CA"/>
        </w:rPr>
        <w:t>–</w:t>
      </w:r>
      <w:r w:rsidR="00E04504" w:rsidRPr="00E04504">
        <w:rPr>
          <w:sz w:val="24"/>
          <w:szCs w:val="24"/>
          <w:lang w:val="en-CA"/>
        </w:rPr>
        <w:t xml:space="preserve"> </w:t>
      </w:r>
      <w:r w:rsidR="005E3BCF">
        <w:rPr>
          <w:sz w:val="24"/>
          <w:szCs w:val="24"/>
          <w:lang w:val="en-CA"/>
        </w:rPr>
        <w:t xml:space="preserve">of </w:t>
      </w:r>
      <w:r w:rsidR="00E04504" w:rsidRPr="00E04504">
        <w:rPr>
          <w:rFonts w:cs="GalliardStd-Roman"/>
          <w:sz w:val="24"/>
          <w:szCs w:val="24"/>
        </w:rPr>
        <w:t xml:space="preserve">free trade area (FTA), to customs union, to common market, to economic union </w:t>
      </w:r>
      <w:r w:rsidRPr="00E04504">
        <w:rPr>
          <w:sz w:val="24"/>
          <w:szCs w:val="24"/>
          <w:lang w:val="en-CA"/>
        </w:rPr>
        <w:t>of African RTAs</w:t>
      </w:r>
      <w:r w:rsidR="00E04504">
        <w:rPr>
          <w:sz w:val="24"/>
          <w:szCs w:val="24"/>
          <w:lang w:val="en-CA"/>
        </w:rPr>
        <w:t xml:space="preserve"> - through the EPA negotiations, has e</w:t>
      </w:r>
      <w:r w:rsidRPr="00E04504">
        <w:rPr>
          <w:sz w:val="24"/>
          <w:szCs w:val="24"/>
          <w:lang w:val="en-CA"/>
        </w:rPr>
        <w:t>xclude</w:t>
      </w:r>
      <w:r w:rsidR="00E04504">
        <w:rPr>
          <w:sz w:val="24"/>
          <w:szCs w:val="24"/>
          <w:lang w:val="en-CA"/>
        </w:rPr>
        <w:t>d</w:t>
      </w:r>
      <w:r w:rsidRPr="00E04504">
        <w:rPr>
          <w:sz w:val="24"/>
          <w:szCs w:val="24"/>
          <w:lang w:val="en-CA"/>
        </w:rPr>
        <w:t xml:space="preserve"> the development-focused and political flexibilities that they formerly contained. </w:t>
      </w:r>
      <w:r w:rsidR="00E04504" w:rsidRPr="00E04504">
        <w:rPr>
          <w:rFonts w:cs="GalliardStd-Roman"/>
          <w:sz w:val="24"/>
          <w:szCs w:val="24"/>
        </w:rPr>
        <w:t xml:space="preserve">African leaders, with the support of the EU, have chosen a form </w:t>
      </w:r>
      <w:r w:rsidR="00E04504">
        <w:rPr>
          <w:rFonts w:cs="GalliardStd-Roman"/>
          <w:sz w:val="24"/>
          <w:szCs w:val="24"/>
        </w:rPr>
        <w:t xml:space="preserve">of regionalism </w:t>
      </w:r>
      <w:r w:rsidR="00E04504" w:rsidRPr="00E04504">
        <w:rPr>
          <w:rFonts w:cs="GalliardStd-Roman"/>
          <w:sz w:val="24"/>
          <w:szCs w:val="24"/>
        </w:rPr>
        <w:t>that is both politically contentious and ambitious. Echoing Gathii’s earlier analysis of African R</w:t>
      </w:r>
      <w:r w:rsidR="00E04504">
        <w:rPr>
          <w:rFonts w:cs="GalliardStd-Roman"/>
          <w:sz w:val="24"/>
          <w:szCs w:val="24"/>
        </w:rPr>
        <w:t>TAs, Ravenhill has observed that rather than a focus on shorter-term gain through access to European imports</w:t>
      </w:r>
      <w:r w:rsidR="005E3BCF">
        <w:rPr>
          <w:rFonts w:cs="GalliardStd-Roman"/>
          <w:sz w:val="24"/>
          <w:szCs w:val="24"/>
        </w:rPr>
        <w:t xml:space="preserve"> or European markets, instead “[p]</w:t>
      </w:r>
      <w:r w:rsidR="00E04504" w:rsidRPr="00E04504">
        <w:rPr>
          <w:rFonts w:cs="GalliardStd-Roman"/>
          <w:sz w:val="24"/>
          <w:szCs w:val="24"/>
        </w:rPr>
        <w:t xml:space="preserve">riority should be given to functional cooperation and to </w:t>
      </w:r>
      <w:r w:rsidR="00E04504" w:rsidRPr="00E04504">
        <w:rPr>
          <w:rFonts w:cs="GalliardStd-Roman"/>
          <w:sz w:val="24"/>
          <w:szCs w:val="24"/>
        </w:rPr>
        <w:lastRenderedPageBreak/>
        <w:t>trade facilitation processes that concentrate on the removal of the plethora of nontariff barriers that currently impede trade across Africa’s borders.”</w:t>
      </w:r>
      <w:r w:rsidR="002725A2">
        <w:rPr>
          <w:rStyle w:val="FootnoteReference"/>
          <w:rFonts w:cs="GalliardStd-Roman"/>
          <w:sz w:val="24"/>
          <w:szCs w:val="24"/>
        </w:rPr>
        <w:footnoteReference w:id="64"/>
      </w:r>
      <w:r w:rsidR="002725A2">
        <w:rPr>
          <w:rFonts w:cs="GalliardStd-Roman"/>
          <w:sz w:val="24"/>
          <w:szCs w:val="24"/>
        </w:rPr>
        <w:t xml:space="preserve"> </w:t>
      </w:r>
    </w:p>
    <w:p w14:paraId="4010EF56" w14:textId="77777777" w:rsidR="002725A2" w:rsidRDefault="002725A2" w:rsidP="00E04504">
      <w:pPr>
        <w:autoSpaceDE w:val="0"/>
        <w:autoSpaceDN w:val="0"/>
        <w:adjustRightInd w:val="0"/>
        <w:spacing w:after="0" w:line="360" w:lineRule="auto"/>
        <w:rPr>
          <w:rFonts w:cs="GalliardStd-Roman"/>
          <w:sz w:val="24"/>
          <w:szCs w:val="24"/>
        </w:rPr>
      </w:pPr>
    </w:p>
    <w:p w14:paraId="4010EF57" w14:textId="77777777" w:rsidR="007369AD" w:rsidRDefault="002725A2" w:rsidP="00E04504">
      <w:pPr>
        <w:autoSpaceDE w:val="0"/>
        <w:autoSpaceDN w:val="0"/>
        <w:adjustRightInd w:val="0"/>
        <w:spacing w:after="0" w:line="360" w:lineRule="auto"/>
        <w:rPr>
          <w:sz w:val="24"/>
          <w:szCs w:val="24"/>
        </w:rPr>
      </w:pPr>
      <w:r>
        <w:rPr>
          <w:rFonts w:cs="GalliardStd-Roman"/>
          <w:sz w:val="24"/>
          <w:szCs w:val="24"/>
        </w:rPr>
        <w:t xml:space="preserve">Finally, I turn </w:t>
      </w:r>
      <w:r w:rsidR="00674A55">
        <w:rPr>
          <w:rFonts w:cs="GalliardStd-Roman"/>
          <w:sz w:val="24"/>
          <w:szCs w:val="24"/>
        </w:rPr>
        <w:t xml:space="preserve">to the </w:t>
      </w:r>
      <w:proofErr w:type="gramStart"/>
      <w:r w:rsidR="00674A55">
        <w:rPr>
          <w:rFonts w:cs="GalliardStd-Roman"/>
          <w:sz w:val="24"/>
          <w:szCs w:val="24"/>
        </w:rPr>
        <w:t>particular patterns</w:t>
      </w:r>
      <w:proofErr w:type="gramEnd"/>
      <w:r w:rsidR="00674A55">
        <w:rPr>
          <w:rFonts w:cs="GalliardStd-Roman"/>
          <w:sz w:val="24"/>
          <w:szCs w:val="24"/>
        </w:rPr>
        <w:t xml:space="preserve"> of relations and subject positions engendered by the form of international trade law at play in the EU-ACP negotiations. Anne Orford has forensically analysed how trade agreements </w:t>
      </w:r>
      <w:r w:rsidR="00EA78D6">
        <w:rPr>
          <w:rFonts w:cs="GalliardStd-Roman"/>
          <w:sz w:val="24"/>
          <w:szCs w:val="24"/>
        </w:rPr>
        <w:t xml:space="preserve">embody an ‘economy of sacrifice’ founded on a calculation of risk and reward that requires decision-makers to understand themselves as “bound to respond to the demands of the market, to sacrifice their own (their citizens, their public obligations) in the expectation of the reward of the righteous in the future by the </w:t>
      </w:r>
      <w:r w:rsidR="00EA78D6" w:rsidRPr="00EF7E98">
        <w:rPr>
          <w:rFonts w:cs="GalliardStd-Roman"/>
          <w:sz w:val="24"/>
          <w:szCs w:val="24"/>
        </w:rPr>
        <w:t xml:space="preserve">Father (God/Market) who sees in secret.” </w:t>
      </w:r>
      <w:r w:rsidR="00EA78D6" w:rsidRPr="00EF7E98">
        <w:rPr>
          <w:rStyle w:val="FootnoteReference"/>
          <w:rFonts w:cs="GalliardStd-Roman"/>
          <w:sz w:val="24"/>
          <w:szCs w:val="24"/>
        </w:rPr>
        <w:footnoteReference w:id="65"/>
      </w:r>
      <w:r w:rsidR="00C724DB" w:rsidRPr="00EF7E98">
        <w:rPr>
          <w:rFonts w:cs="GalliardStd-Roman"/>
          <w:sz w:val="24"/>
          <w:szCs w:val="24"/>
        </w:rPr>
        <w:t xml:space="preserve"> She points out how the demands to sacrifice are much greater for developing countries and LDC Members of the WTO than for developing countries, and that </w:t>
      </w:r>
      <w:r w:rsidR="007369AD">
        <w:rPr>
          <w:rFonts w:cs="GalliardStd-Roman"/>
          <w:sz w:val="24"/>
          <w:szCs w:val="24"/>
        </w:rPr>
        <w:t>the burdens</w:t>
      </w:r>
      <w:r w:rsidR="00C724DB" w:rsidRPr="00EF7E98">
        <w:rPr>
          <w:rFonts w:cs="GalliardStd-Roman"/>
          <w:sz w:val="24"/>
          <w:szCs w:val="24"/>
        </w:rPr>
        <w:t xml:space="preserve"> of that sacrifice </w:t>
      </w:r>
      <w:r w:rsidR="007369AD">
        <w:rPr>
          <w:rFonts w:cs="GalliardStd-Roman"/>
          <w:sz w:val="24"/>
          <w:szCs w:val="24"/>
        </w:rPr>
        <w:t>fall unequally between women and men in ways that are not always transparent</w:t>
      </w:r>
      <w:r w:rsidR="00C724DB" w:rsidRPr="00EF7E98">
        <w:rPr>
          <w:rFonts w:cs="GalliardStd-Roman"/>
          <w:sz w:val="24"/>
          <w:szCs w:val="24"/>
        </w:rPr>
        <w:t xml:space="preserve">. </w:t>
      </w:r>
      <w:r w:rsidR="00C724DB" w:rsidRPr="00EF7E98">
        <w:rPr>
          <w:rStyle w:val="FootnoteReference"/>
          <w:rFonts w:cs="GalliardStd-Roman"/>
          <w:sz w:val="24"/>
          <w:szCs w:val="24"/>
        </w:rPr>
        <w:footnoteReference w:id="66"/>
      </w:r>
      <w:r w:rsidR="00C724DB" w:rsidRPr="00EF7E98">
        <w:rPr>
          <w:rFonts w:cs="GalliardStd-Roman"/>
          <w:sz w:val="24"/>
          <w:szCs w:val="24"/>
        </w:rPr>
        <w:t xml:space="preserve"> </w:t>
      </w:r>
      <w:r w:rsidR="007369AD">
        <w:rPr>
          <w:rFonts w:cs="GalliardStd-Roman"/>
          <w:sz w:val="24"/>
          <w:szCs w:val="24"/>
        </w:rPr>
        <w:t>How can the differential impacts of the EPAs on men and women be made more explicit? One option could be through human rights impact assessment of EU trade agreements arising from t</w:t>
      </w:r>
      <w:r w:rsidR="00C724DB" w:rsidRPr="00EF7E98">
        <w:rPr>
          <w:sz w:val="24"/>
          <w:szCs w:val="24"/>
        </w:rPr>
        <w:t>he EU’s 2012 Strategic Framework and Action Plan on Human Rights and Democracy</w:t>
      </w:r>
      <w:r w:rsidR="007369AD">
        <w:rPr>
          <w:sz w:val="24"/>
          <w:szCs w:val="24"/>
        </w:rPr>
        <w:t>.</w:t>
      </w:r>
      <w:r w:rsidR="007369AD">
        <w:rPr>
          <w:rStyle w:val="FootnoteReference"/>
          <w:sz w:val="24"/>
          <w:szCs w:val="24"/>
        </w:rPr>
        <w:footnoteReference w:id="67"/>
      </w:r>
      <w:r w:rsidR="007369AD">
        <w:rPr>
          <w:sz w:val="24"/>
          <w:szCs w:val="24"/>
        </w:rPr>
        <w:t xml:space="preserve"> ‘Guidelines’ </w:t>
      </w:r>
      <w:r w:rsidR="000E525F">
        <w:rPr>
          <w:sz w:val="24"/>
          <w:szCs w:val="24"/>
        </w:rPr>
        <w:t xml:space="preserve">recently </w:t>
      </w:r>
      <w:r w:rsidR="007369AD">
        <w:rPr>
          <w:sz w:val="24"/>
          <w:szCs w:val="24"/>
        </w:rPr>
        <w:t xml:space="preserve">issued on the analysis of human rights impacts of trade specify that gender equality and non-discrimination should be considered as cross-cutting issues in these analyses. </w:t>
      </w:r>
      <w:r w:rsidR="007369AD">
        <w:rPr>
          <w:rStyle w:val="FootnoteReference"/>
          <w:sz w:val="24"/>
          <w:szCs w:val="24"/>
        </w:rPr>
        <w:footnoteReference w:id="68"/>
      </w:r>
      <w:r w:rsidR="007369AD">
        <w:rPr>
          <w:sz w:val="24"/>
          <w:szCs w:val="24"/>
        </w:rPr>
        <w:t xml:space="preserve"> </w:t>
      </w:r>
      <w:r w:rsidR="000E525F">
        <w:rPr>
          <w:sz w:val="24"/>
          <w:szCs w:val="24"/>
        </w:rPr>
        <w:t xml:space="preserve">However, EU analyses of EPAs undertaken to date have been limited to assessments of ‘economic’ </w:t>
      </w:r>
      <w:proofErr w:type="gramStart"/>
      <w:r w:rsidR="000E525F">
        <w:rPr>
          <w:sz w:val="24"/>
          <w:szCs w:val="24"/>
        </w:rPr>
        <w:t>impacts, and</w:t>
      </w:r>
      <w:proofErr w:type="gramEnd"/>
      <w:r w:rsidR="000E525F">
        <w:rPr>
          <w:sz w:val="24"/>
          <w:szCs w:val="24"/>
        </w:rPr>
        <w:t xml:space="preserve"> have not </w:t>
      </w:r>
      <w:r w:rsidR="000E525F">
        <w:rPr>
          <w:sz w:val="24"/>
          <w:szCs w:val="24"/>
        </w:rPr>
        <w:lastRenderedPageBreak/>
        <w:t xml:space="preserve">included any reference to the impact of EPAs on women. </w:t>
      </w:r>
      <w:r w:rsidR="000E525F">
        <w:rPr>
          <w:rStyle w:val="FootnoteReference"/>
          <w:sz w:val="24"/>
          <w:szCs w:val="24"/>
        </w:rPr>
        <w:footnoteReference w:id="69"/>
      </w:r>
      <w:r w:rsidR="004C7951">
        <w:rPr>
          <w:sz w:val="24"/>
          <w:szCs w:val="24"/>
        </w:rPr>
        <w:t xml:space="preserve"> This is </w:t>
      </w:r>
      <w:r w:rsidR="000E525F">
        <w:rPr>
          <w:sz w:val="24"/>
          <w:szCs w:val="24"/>
        </w:rPr>
        <w:t xml:space="preserve">despite information that women form the predominant workforce in sensitive sectors such as agriculture, where poverty rates are high. </w:t>
      </w:r>
      <w:r w:rsidR="000E525F">
        <w:rPr>
          <w:rStyle w:val="FootnoteReference"/>
          <w:sz w:val="24"/>
          <w:szCs w:val="24"/>
        </w:rPr>
        <w:footnoteReference w:id="70"/>
      </w:r>
      <w:r w:rsidR="000E525F">
        <w:rPr>
          <w:sz w:val="24"/>
          <w:szCs w:val="24"/>
        </w:rPr>
        <w:t xml:space="preserve"> </w:t>
      </w:r>
      <w:r w:rsidR="004C7951">
        <w:rPr>
          <w:sz w:val="24"/>
          <w:szCs w:val="24"/>
        </w:rPr>
        <w:t xml:space="preserve"> It is telling that this institutional silence on the effects of EPAs on women is taking place even though gender equality is identified as one of the objectives of the Cotonou Agreement</w:t>
      </w:r>
      <w:r w:rsidR="004C7951">
        <w:rPr>
          <w:rStyle w:val="FootnoteReference"/>
          <w:sz w:val="24"/>
          <w:szCs w:val="24"/>
        </w:rPr>
        <w:footnoteReference w:id="71"/>
      </w:r>
      <w:r w:rsidR="004C7951">
        <w:rPr>
          <w:sz w:val="24"/>
          <w:szCs w:val="24"/>
        </w:rPr>
        <w:t xml:space="preserve"> and gender equality is ‘mainstreamed’ across its three pillars of trade, development co-operation and political relations. </w:t>
      </w:r>
      <w:r w:rsidR="004C7951">
        <w:rPr>
          <w:rStyle w:val="FootnoteReference"/>
          <w:sz w:val="24"/>
          <w:szCs w:val="24"/>
        </w:rPr>
        <w:footnoteReference w:id="72"/>
      </w:r>
      <w:r w:rsidR="004C7951">
        <w:rPr>
          <w:sz w:val="24"/>
          <w:szCs w:val="24"/>
        </w:rPr>
        <w:t xml:space="preserve">  Such actions substantiate observations that the EU’s gender mainstreaming approach is primarily a neoliberal economic strategy for improving human capital and removing barriers to trade and to labour-market participation for women.</w:t>
      </w:r>
      <w:r w:rsidR="004C7951">
        <w:rPr>
          <w:rStyle w:val="FootnoteReference"/>
          <w:sz w:val="24"/>
          <w:szCs w:val="24"/>
        </w:rPr>
        <w:footnoteReference w:id="73"/>
      </w:r>
      <w:r w:rsidR="004C7951">
        <w:rPr>
          <w:sz w:val="24"/>
          <w:szCs w:val="24"/>
        </w:rPr>
        <w:t xml:space="preserve"> The goal of gender equality is thus mediated through a trade liberalisation lens with the mutual compatibility of both thus ensured.  </w:t>
      </w:r>
    </w:p>
    <w:p w14:paraId="4010EF58" w14:textId="77777777" w:rsidR="004C7951" w:rsidRDefault="004C7951" w:rsidP="00E04504">
      <w:pPr>
        <w:autoSpaceDE w:val="0"/>
        <w:autoSpaceDN w:val="0"/>
        <w:adjustRightInd w:val="0"/>
        <w:spacing w:after="0" w:line="360" w:lineRule="auto"/>
        <w:rPr>
          <w:sz w:val="24"/>
          <w:szCs w:val="24"/>
        </w:rPr>
      </w:pPr>
    </w:p>
    <w:p w14:paraId="4010EF59" w14:textId="77777777" w:rsidR="0043397E" w:rsidRDefault="0043397E" w:rsidP="004258AC">
      <w:pPr>
        <w:spacing w:line="360" w:lineRule="auto"/>
        <w:rPr>
          <w:b/>
          <w:sz w:val="24"/>
          <w:szCs w:val="24"/>
        </w:rPr>
      </w:pPr>
      <w:r w:rsidRPr="0043397E">
        <w:rPr>
          <w:b/>
          <w:sz w:val="24"/>
          <w:szCs w:val="24"/>
        </w:rPr>
        <w:t>Conclusion</w:t>
      </w:r>
    </w:p>
    <w:p w14:paraId="4010EF5A" w14:textId="77777777" w:rsidR="004C7951" w:rsidRPr="004C7951" w:rsidRDefault="004C7951" w:rsidP="004C7951">
      <w:pPr>
        <w:spacing w:line="240" w:lineRule="auto"/>
        <w:ind w:left="720"/>
        <w:rPr>
          <w:rFonts w:cs="TimesNewRomanPS"/>
          <w:sz w:val="24"/>
          <w:szCs w:val="24"/>
        </w:rPr>
      </w:pPr>
      <w:r>
        <w:rPr>
          <w:rFonts w:cs="TimesNewRomanPS"/>
          <w:sz w:val="24"/>
          <w:szCs w:val="24"/>
        </w:rPr>
        <w:t>“</w:t>
      </w:r>
      <w:r w:rsidRPr="00987659">
        <w:rPr>
          <w:rFonts w:cs="TimesNewRomanPS"/>
          <w:sz w:val="24"/>
          <w:szCs w:val="24"/>
        </w:rPr>
        <w:t>Ingrained in the dichotomies law institutes, sexual difference is evidenced as a systemic element of its power and thereby shares its peculiar affinity to stasis. Permanently attached to law’s being, structuring the cultural images that acts of separation and engendering elaborate and transmit, sexual difference becomes integral to the way law images and reads the world, and thus highly resistant to change.</w:t>
      </w:r>
      <w:r>
        <w:rPr>
          <w:rFonts w:cs="TimesNewRomanPS"/>
          <w:sz w:val="24"/>
          <w:szCs w:val="24"/>
        </w:rPr>
        <w:t>”</w:t>
      </w:r>
      <w:r>
        <w:rPr>
          <w:rStyle w:val="FootnoteReference"/>
          <w:rFonts w:cs="TimesNewRomanPS"/>
          <w:sz w:val="24"/>
          <w:szCs w:val="24"/>
        </w:rPr>
        <w:footnoteReference w:id="74"/>
      </w:r>
    </w:p>
    <w:p w14:paraId="4010EF5B" w14:textId="77777777" w:rsidR="00D242FD" w:rsidRDefault="005E3BCF" w:rsidP="0043397E">
      <w:pPr>
        <w:spacing w:line="360" w:lineRule="auto"/>
        <w:rPr>
          <w:rStyle w:val="hlfld-abstract"/>
          <w:sz w:val="24"/>
          <w:szCs w:val="24"/>
        </w:rPr>
      </w:pPr>
      <w:r>
        <w:rPr>
          <w:rFonts w:eastAsia="Times New Roman" w:cs="Times New Roman"/>
          <w:color w:val="000000"/>
          <w:sz w:val="24"/>
          <w:szCs w:val="24"/>
          <w:lang w:val="en-CA" w:eastAsia="en-IE"/>
        </w:rPr>
        <w:t xml:space="preserve">In this paper, I’ve focused on </w:t>
      </w:r>
      <w:r w:rsidR="0043397E" w:rsidRPr="002E6F2A">
        <w:rPr>
          <w:rFonts w:eastAsia="Times New Roman" w:cs="Times New Roman"/>
          <w:color w:val="000000"/>
          <w:sz w:val="24"/>
          <w:szCs w:val="24"/>
          <w:lang w:val="en-CA" w:eastAsia="en-IE"/>
        </w:rPr>
        <w:t xml:space="preserve">the concept of concept </w:t>
      </w:r>
      <w:r>
        <w:rPr>
          <w:rFonts w:eastAsia="Times New Roman" w:cs="Times New Roman"/>
          <w:color w:val="000000"/>
          <w:sz w:val="24"/>
          <w:szCs w:val="24"/>
          <w:lang w:val="en-CA" w:eastAsia="en-IE"/>
        </w:rPr>
        <w:t xml:space="preserve">in the VCLT and how it </w:t>
      </w:r>
      <w:r w:rsidR="0043397E" w:rsidRPr="002E6F2A">
        <w:rPr>
          <w:rFonts w:eastAsia="Times New Roman" w:cs="Times New Roman"/>
          <w:color w:val="000000"/>
          <w:sz w:val="24"/>
          <w:szCs w:val="24"/>
          <w:lang w:val="en-CA" w:eastAsia="en-IE"/>
        </w:rPr>
        <w:t xml:space="preserve">acts as a ‘boundary concept’, playing a central role in </w:t>
      </w:r>
      <w:r w:rsidR="0043397E">
        <w:rPr>
          <w:rFonts w:eastAsia="Times New Roman" w:cs="Times New Roman"/>
          <w:color w:val="000000"/>
          <w:sz w:val="24"/>
          <w:szCs w:val="24"/>
          <w:lang w:val="en-CA" w:eastAsia="en-IE"/>
        </w:rPr>
        <w:t>adriotly</w:t>
      </w:r>
      <w:r w:rsidR="0043397E" w:rsidRPr="002E6F2A">
        <w:rPr>
          <w:rFonts w:eastAsia="Times New Roman" w:cs="Times New Roman"/>
          <w:color w:val="000000"/>
          <w:sz w:val="24"/>
          <w:szCs w:val="24"/>
          <w:lang w:val="en-CA" w:eastAsia="en-IE"/>
        </w:rPr>
        <w:t xml:space="preserve"> and creatively </w:t>
      </w:r>
      <w:r w:rsidR="0043397E" w:rsidRPr="002E6F2A">
        <w:rPr>
          <w:rStyle w:val="hlfld-abstract"/>
          <w:sz w:val="24"/>
          <w:szCs w:val="24"/>
        </w:rPr>
        <w:t>managing the boundaries</w:t>
      </w:r>
      <w:r w:rsidR="0043397E">
        <w:rPr>
          <w:rStyle w:val="hlfld-abstract"/>
          <w:sz w:val="24"/>
          <w:szCs w:val="24"/>
        </w:rPr>
        <w:t xml:space="preserve"> between politics and law</w:t>
      </w:r>
      <w:r w:rsidR="0043397E" w:rsidRPr="002E6F2A">
        <w:rPr>
          <w:rStyle w:val="hlfld-abstract"/>
          <w:sz w:val="24"/>
          <w:szCs w:val="24"/>
        </w:rPr>
        <w:t>, past and present, core and periphery</w:t>
      </w:r>
      <w:r w:rsidR="0043397E">
        <w:rPr>
          <w:rStyle w:val="hlfld-abstract"/>
          <w:sz w:val="24"/>
          <w:szCs w:val="24"/>
        </w:rPr>
        <w:t xml:space="preserve">. </w:t>
      </w:r>
      <w:r>
        <w:rPr>
          <w:rStyle w:val="hlfld-abstract"/>
          <w:sz w:val="24"/>
          <w:szCs w:val="24"/>
        </w:rPr>
        <w:t xml:space="preserve">By drawing from critical perspectives on international law, we can see how this concept </w:t>
      </w:r>
      <w:r w:rsidR="0043397E">
        <w:rPr>
          <w:rStyle w:val="hlfld-abstract"/>
          <w:sz w:val="24"/>
          <w:szCs w:val="24"/>
        </w:rPr>
        <w:t>facilitates a denial of</w:t>
      </w:r>
      <w:r w:rsidR="0043397E" w:rsidRPr="002E6F2A">
        <w:rPr>
          <w:rStyle w:val="hlfld-abstract"/>
          <w:sz w:val="24"/>
          <w:szCs w:val="24"/>
        </w:rPr>
        <w:t xml:space="preserve"> the expression and effects of coercion and duress in </w:t>
      </w:r>
      <w:r w:rsidR="0043397E">
        <w:rPr>
          <w:rStyle w:val="hlfld-abstract"/>
          <w:sz w:val="24"/>
          <w:szCs w:val="24"/>
        </w:rPr>
        <w:t xml:space="preserve">contemporary </w:t>
      </w:r>
      <w:r w:rsidR="0043397E" w:rsidRPr="002E6F2A">
        <w:rPr>
          <w:rStyle w:val="hlfld-abstract"/>
          <w:sz w:val="24"/>
          <w:szCs w:val="24"/>
        </w:rPr>
        <w:t>unequ</w:t>
      </w:r>
      <w:r>
        <w:rPr>
          <w:rStyle w:val="hlfld-abstract"/>
          <w:sz w:val="24"/>
          <w:szCs w:val="24"/>
        </w:rPr>
        <w:t xml:space="preserve">al treaty-making between states, thereby continuing modes of </w:t>
      </w:r>
      <w:r w:rsidR="00D242FD">
        <w:rPr>
          <w:rStyle w:val="hlfld-abstract"/>
          <w:sz w:val="24"/>
          <w:szCs w:val="24"/>
        </w:rPr>
        <w:t>authority</w:t>
      </w:r>
      <w:r>
        <w:rPr>
          <w:rStyle w:val="hlfld-abstract"/>
          <w:sz w:val="24"/>
          <w:szCs w:val="24"/>
        </w:rPr>
        <w:t xml:space="preserve"> and manifestation of power </w:t>
      </w:r>
      <w:r>
        <w:rPr>
          <w:rStyle w:val="hlfld-abstract"/>
          <w:sz w:val="24"/>
          <w:szCs w:val="24"/>
        </w:rPr>
        <w:lastRenderedPageBreak/>
        <w:t xml:space="preserve">that have prevailed in international relations from colonial times. Recent EU negotiations on trade agreements </w:t>
      </w:r>
      <w:r w:rsidR="00D242FD">
        <w:rPr>
          <w:rStyle w:val="hlfld-abstract"/>
          <w:sz w:val="24"/>
          <w:szCs w:val="24"/>
        </w:rPr>
        <w:t xml:space="preserve">(EPAs) </w:t>
      </w:r>
      <w:r>
        <w:rPr>
          <w:rStyle w:val="hlfld-abstract"/>
          <w:sz w:val="24"/>
          <w:szCs w:val="24"/>
        </w:rPr>
        <w:t xml:space="preserve">with ACP states and regions offer a </w:t>
      </w:r>
      <w:r w:rsidR="00D242FD">
        <w:rPr>
          <w:rStyle w:val="hlfld-abstract"/>
          <w:sz w:val="24"/>
          <w:szCs w:val="24"/>
        </w:rPr>
        <w:t xml:space="preserve">telling contemporary example. </w:t>
      </w:r>
    </w:p>
    <w:p w14:paraId="4010EF5C" w14:textId="77777777" w:rsidR="0057535D" w:rsidRPr="004C7951" w:rsidRDefault="00D242FD" w:rsidP="001921BB">
      <w:pPr>
        <w:spacing w:line="360" w:lineRule="auto"/>
        <w:rPr>
          <w:sz w:val="24"/>
          <w:szCs w:val="24"/>
        </w:rPr>
      </w:pPr>
      <w:r>
        <w:rPr>
          <w:rStyle w:val="hlfld-abstract"/>
          <w:sz w:val="24"/>
          <w:szCs w:val="24"/>
        </w:rPr>
        <w:t xml:space="preserve">However, by applying a feminist lens to both the concept of consent in the VCLT, and the </w:t>
      </w:r>
      <w:proofErr w:type="gramStart"/>
      <w:r>
        <w:rPr>
          <w:rStyle w:val="hlfld-abstract"/>
          <w:sz w:val="24"/>
          <w:szCs w:val="24"/>
        </w:rPr>
        <w:t>particular legal</w:t>
      </w:r>
      <w:proofErr w:type="gramEnd"/>
      <w:r>
        <w:rPr>
          <w:rStyle w:val="hlfld-abstract"/>
          <w:sz w:val="24"/>
          <w:szCs w:val="24"/>
        </w:rPr>
        <w:t xml:space="preserve"> form, rationales and techniques within international trade law</w:t>
      </w:r>
      <w:r w:rsidR="00D00AFA">
        <w:rPr>
          <w:rStyle w:val="hlfld-abstract"/>
          <w:sz w:val="24"/>
          <w:szCs w:val="24"/>
        </w:rPr>
        <w:t xml:space="preserve"> prevailing in the EPAs</w:t>
      </w:r>
      <w:r>
        <w:rPr>
          <w:rStyle w:val="hlfld-abstract"/>
          <w:sz w:val="24"/>
          <w:szCs w:val="24"/>
        </w:rPr>
        <w:t xml:space="preserve">, we </w:t>
      </w:r>
      <w:r w:rsidR="0057535D">
        <w:rPr>
          <w:rStyle w:val="hlfld-abstract"/>
          <w:sz w:val="24"/>
          <w:szCs w:val="24"/>
        </w:rPr>
        <w:t>are challenged to reflect on the dichotomy between the way that international law is more usually described, practiced and critiqued and its suppression of ideas and experiences that do not fit this narrative. We can see</w:t>
      </w:r>
      <w:r>
        <w:rPr>
          <w:rStyle w:val="hlfld-abstract"/>
          <w:sz w:val="24"/>
          <w:szCs w:val="24"/>
        </w:rPr>
        <w:t xml:space="preserve"> more clearly see the ways in which international </w:t>
      </w:r>
      <w:r w:rsidR="00D00AFA">
        <w:rPr>
          <w:rStyle w:val="hlfld-abstract"/>
          <w:sz w:val="24"/>
          <w:szCs w:val="24"/>
        </w:rPr>
        <w:t xml:space="preserve">law captures and repeats </w:t>
      </w:r>
      <w:r w:rsidR="0057535D">
        <w:rPr>
          <w:rStyle w:val="hlfld-abstract"/>
          <w:sz w:val="24"/>
          <w:szCs w:val="24"/>
        </w:rPr>
        <w:t>certain</w:t>
      </w:r>
      <w:r w:rsidR="00D00AFA">
        <w:rPr>
          <w:rStyle w:val="hlfld-abstract"/>
          <w:sz w:val="24"/>
          <w:szCs w:val="24"/>
        </w:rPr>
        <w:t xml:space="preserve"> legal subjectivities</w:t>
      </w:r>
      <w:r w:rsidR="001921BB">
        <w:rPr>
          <w:rStyle w:val="hlfld-abstract"/>
          <w:sz w:val="24"/>
          <w:szCs w:val="24"/>
        </w:rPr>
        <w:t>,</w:t>
      </w:r>
      <w:r w:rsidR="00D00AFA">
        <w:rPr>
          <w:rStyle w:val="hlfld-abstract"/>
          <w:sz w:val="24"/>
          <w:szCs w:val="24"/>
        </w:rPr>
        <w:t xml:space="preserve"> </w:t>
      </w:r>
      <w:r w:rsidR="0057535D">
        <w:rPr>
          <w:rStyle w:val="hlfld-abstract"/>
          <w:sz w:val="24"/>
          <w:szCs w:val="24"/>
        </w:rPr>
        <w:t xml:space="preserve">in this case sexualised subjectivities </w:t>
      </w:r>
      <w:r w:rsidR="00D00AFA">
        <w:rPr>
          <w:rStyle w:val="hlfld-abstract"/>
          <w:sz w:val="24"/>
          <w:szCs w:val="24"/>
        </w:rPr>
        <w:t>with corresponding legal forms</w:t>
      </w:r>
      <w:r w:rsidR="001921BB">
        <w:rPr>
          <w:rStyle w:val="hlfld-abstract"/>
          <w:sz w:val="24"/>
          <w:szCs w:val="24"/>
        </w:rPr>
        <w:t>,</w:t>
      </w:r>
      <w:r w:rsidR="00D00AFA">
        <w:rPr>
          <w:rStyle w:val="hlfld-abstract"/>
          <w:sz w:val="24"/>
          <w:szCs w:val="24"/>
        </w:rPr>
        <w:t xml:space="preserve"> that </w:t>
      </w:r>
      <w:r w:rsidR="0057535D">
        <w:rPr>
          <w:rStyle w:val="hlfld-abstract"/>
          <w:sz w:val="24"/>
          <w:szCs w:val="24"/>
        </w:rPr>
        <w:t>mirror those</w:t>
      </w:r>
      <w:r w:rsidR="00D00AFA">
        <w:rPr>
          <w:rStyle w:val="hlfld-abstract"/>
          <w:sz w:val="24"/>
          <w:szCs w:val="24"/>
        </w:rPr>
        <w:t xml:space="preserve"> in domestic law. </w:t>
      </w:r>
      <w:r w:rsidR="001921BB">
        <w:rPr>
          <w:rStyle w:val="hlfld-abstract"/>
          <w:sz w:val="24"/>
          <w:szCs w:val="24"/>
        </w:rPr>
        <w:t xml:space="preserve">In a similar way, we can see the key role played by a very high threshold of violence (physical violence in domestic law, and military force in international law) in stabilising a legal framework that legitimises otherwise coercive relations between persons and between states. </w:t>
      </w:r>
    </w:p>
    <w:p w14:paraId="4010EF5D" w14:textId="77777777" w:rsidR="001921BB" w:rsidRPr="0057535D" w:rsidRDefault="001921BB" w:rsidP="001921BB">
      <w:pPr>
        <w:spacing w:line="360" w:lineRule="auto"/>
        <w:rPr>
          <w:rFonts w:cs="TimesNewRomanPS"/>
          <w:sz w:val="24"/>
          <w:szCs w:val="24"/>
        </w:rPr>
      </w:pPr>
      <w:r>
        <w:rPr>
          <w:rFonts w:cs="TimesNewRomanPS"/>
          <w:sz w:val="24"/>
          <w:szCs w:val="24"/>
        </w:rPr>
        <w:t xml:space="preserve">I propose that a feminist lens also highlights sites and spaces within international law that warrant further analysis and theorising. </w:t>
      </w:r>
      <w:r w:rsidR="0036262F">
        <w:rPr>
          <w:rFonts w:cs="TimesNewRomanPS"/>
          <w:sz w:val="24"/>
          <w:szCs w:val="24"/>
        </w:rPr>
        <w:t xml:space="preserve">One such example is the myriad practices of resistance, dissent, </w:t>
      </w:r>
      <w:proofErr w:type="gramStart"/>
      <w:r w:rsidR="0036262F">
        <w:rPr>
          <w:rFonts w:cs="TimesNewRomanPS"/>
          <w:sz w:val="24"/>
          <w:szCs w:val="24"/>
        </w:rPr>
        <w:t>refusal</w:t>
      </w:r>
      <w:proofErr w:type="gramEnd"/>
      <w:r w:rsidR="0036262F">
        <w:rPr>
          <w:rFonts w:cs="TimesNewRomanPS"/>
          <w:sz w:val="24"/>
          <w:szCs w:val="24"/>
        </w:rPr>
        <w:t xml:space="preserve"> and disinclination that were repeatedly exhibited by ACP states and regional organisations over the</w:t>
      </w:r>
      <w:r w:rsidR="0057535D">
        <w:rPr>
          <w:rFonts w:cs="TimesNewRomanPS"/>
          <w:sz w:val="24"/>
          <w:szCs w:val="24"/>
        </w:rPr>
        <w:t>ir</w:t>
      </w:r>
      <w:r w:rsidR="0036262F">
        <w:rPr>
          <w:rFonts w:cs="TimesNewRomanPS"/>
          <w:sz w:val="24"/>
          <w:szCs w:val="24"/>
        </w:rPr>
        <w:t xml:space="preserve"> several years’ negotiations of EPAs with the EU. These acts symbolically and practically can be construed as deliberate acts of resistance towards agreements perceived as being unequal. And yet, they remain legally invisible as they are not currently recognised by such clauses in the VCLT as those on reservations. </w:t>
      </w:r>
      <w:r w:rsidR="0036262F">
        <w:rPr>
          <w:rStyle w:val="FootnoteReference"/>
          <w:rFonts w:cs="TimesNewRomanPS"/>
          <w:sz w:val="24"/>
          <w:szCs w:val="24"/>
        </w:rPr>
        <w:footnoteReference w:id="75"/>
      </w:r>
      <w:r w:rsidR="0036262F">
        <w:rPr>
          <w:sz w:val="24"/>
          <w:szCs w:val="24"/>
        </w:rPr>
        <w:t xml:space="preserve"> </w:t>
      </w:r>
      <w:r>
        <w:rPr>
          <w:rFonts w:cs="TimesNewRomanPS"/>
          <w:sz w:val="24"/>
          <w:szCs w:val="24"/>
        </w:rPr>
        <w:t xml:space="preserve">In focusing on the concept of ‘consent’ as currently articulated in the VCLT, </w:t>
      </w:r>
      <w:proofErr w:type="gramStart"/>
      <w:r w:rsidR="0057535D">
        <w:rPr>
          <w:rFonts w:cs="TimesNewRomanPS"/>
          <w:sz w:val="24"/>
          <w:szCs w:val="24"/>
        </w:rPr>
        <w:t>it is clear that there</w:t>
      </w:r>
      <w:proofErr w:type="gramEnd"/>
      <w:r w:rsidR="0057535D">
        <w:rPr>
          <w:rFonts w:cs="TimesNewRomanPS"/>
          <w:sz w:val="24"/>
          <w:szCs w:val="24"/>
        </w:rPr>
        <w:t xml:space="preserve"> is a need for</w:t>
      </w:r>
      <w:r>
        <w:rPr>
          <w:rFonts w:cs="TimesNewRomanPS"/>
          <w:sz w:val="24"/>
          <w:szCs w:val="24"/>
        </w:rPr>
        <w:t xml:space="preserve"> further exploration of what a concept of ‘non-consent’ might look like in international </w:t>
      </w:r>
      <w:r w:rsidR="0057535D">
        <w:rPr>
          <w:rFonts w:cs="TimesNewRomanPS"/>
          <w:sz w:val="24"/>
          <w:szCs w:val="24"/>
        </w:rPr>
        <w:t>treaty-making</w:t>
      </w:r>
      <w:r>
        <w:rPr>
          <w:rFonts w:cs="TimesNewRomanPS"/>
          <w:sz w:val="24"/>
          <w:szCs w:val="24"/>
        </w:rPr>
        <w:t xml:space="preserve">. </w:t>
      </w:r>
      <w:r w:rsidR="0057535D">
        <w:rPr>
          <w:rFonts w:cs="TimesNewRomanPS"/>
          <w:sz w:val="24"/>
          <w:szCs w:val="24"/>
        </w:rPr>
        <w:t>Such</w:t>
      </w:r>
      <w:r w:rsidR="0036262F">
        <w:rPr>
          <w:rFonts w:cs="TimesNewRomanPS"/>
          <w:sz w:val="24"/>
          <w:szCs w:val="24"/>
        </w:rPr>
        <w:t xml:space="preserve"> work </w:t>
      </w:r>
      <w:r w:rsidR="0057535D">
        <w:rPr>
          <w:rFonts w:cs="TimesNewRomanPS"/>
          <w:sz w:val="24"/>
          <w:szCs w:val="24"/>
        </w:rPr>
        <w:t xml:space="preserve">would be invaluable to highlighting, and challenging, the legal practices and techniques that institutionalise and legitimise rationales that underpin problematic projects pursued through international law, such as that of the </w:t>
      </w:r>
      <w:r w:rsidR="0036262F">
        <w:rPr>
          <w:rFonts w:cs="TimesNewRomanPS"/>
          <w:sz w:val="24"/>
          <w:szCs w:val="24"/>
        </w:rPr>
        <w:t xml:space="preserve">‘commerce and civilisation’ </w:t>
      </w:r>
      <w:r w:rsidR="0057535D">
        <w:rPr>
          <w:rFonts w:cs="TimesNewRomanPS"/>
          <w:sz w:val="24"/>
          <w:szCs w:val="24"/>
        </w:rPr>
        <w:t>project that has endured for far too long.</w:t>
      </w:r>
    </w:p>
    <w:sectPr w:rsidR="001921BB" w:rsidRPr="005753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EF60" w14:textId="77777777" w:rsidR="00E06FDE" w:rsidRDefault="00E06FDE" w:rsidP="003A0CD9">
      <w:pPr>
        <w:spacing w:after="0" w:line="240" w:lineRule="auto"/>
      </w:pPr>
      <w:r>
        <w:separator/>
      </w:r>
    </w:p>
  </w:endnote>
  <w:endnote w:type="continuationSeparator" w:id="0">
    <w:p w14:paraId="4010EF61" w14:textId="77777777" w:rsidR="00E06FDE" w:rsidRDefault="00E06FDE" w:rsidP="003A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orma-Book">
    <w:altName w:val="MS Gothic"/>
    <w:panose1 w:val="00000000000000000000"/>
    <w:charset w:val="80"/>
    <w:family w:val="auto"/>
    <w:notTrueType/>
    <w:pitch w:val="default"/>
    <w:sig w:usb0="00000001" w:usb1="08070000" w:usb2="00000010" w:usb3="00000000" w:csb0="00020000" w:csb1="00000000"/>
  </w:font>
  <w:font w:name="Proforma-Book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E2AAB9B0t0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vP3E76B0">
    <w:panose1 w:val="00000000000000000000"/>
    <w:charset w:val="00"/>
    <w:family w:val="roman"/>
    <w:notTrueType/>
    <w:pitch w:val="default"/>
    <w:sig w:usb0="00000003" w:usb1="00000000" w:usb2="00000000" w:usb3="00000000" w:csb0="00000001" w:csb1="00000000"/>
  </w:font>
  <w:font w:name="AdvP99AD77">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
    <w:panose1 w:val="00000000000000000000"/>
    <w:charset w:val="00"/>
    <w:family w:val="auto"/>
    <w:notTrueType/>
    <w:pitch w:val="default"/>
    <w:sig w:usb0="00000003" w:usb1="00000000" w:usb2="00000000" w:usb3="00000000" w:csb0="00000001" w:csb1="00000000"/>
  </w:font>
  <w:font w:name="Galliard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54283"/>
      <w:docPartObj>
        <w:docPartGallery w:val="Page Numbers (Bottom of Page)"/>
        <w:docPartUnique/>
      </w:docPartObj>
    </w:sdtPr>
    <w:sdtEndPr>
      <w:rPr>
        <w:noProof/>
      </w:rPr>
    </w:sdtEndPr>
    <w:sdtContent>
      <w:p w14:paraId="4010EF62" w14:textId="77777777" w:rsidR="00F7113F" w:rsidRDefault="00F7113F">
        <w:pPr>
          <w:pStyle w:val="Footer"/>
          <w:jc w:val="right"/>
        </w:pPr>
        <w:r>
          <w:fldChar w:fldCharType="begin"/>
        </w:r>
        <w:r>
          <w:instrText xml:space="preserve"> PAGE   \* MERGEFORMAT </w:instrText>
        </w:r>
        <w:r>
          <w:fldChar w:fldCharType="separate"/>
        </w:r>
        <w:r w:rsidR="00123E7E">
          <w:rPr>
            <w:noProof/>
          </w:rPr>
          <w:t>3</w:t>
        </w:r>
        <w:r>
          <w:rPr>
            <w:noProof/>
          </w:rPr>
          <w:fldChar w:fldCharType="end"/>
        </w:r>
      </w:p>
    </w:sdtContent>
  </w:sdt>
  <w:p w14:paraId="4010EF63" w14:textId="77777777" w:rsidR="00F7113F" w:rsidRDefault="00F7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EF5E" w14:textId="77777777" w:rsidR="00E06FDE" w:rsidRDefault="00E06FDE" w:rsidP="003A0CD9">
      <w:pPr>
        <w:spacing w:after="0" w:line="240" w:lineRule="auto"/>
      </w:pPr>
      <w:r>
        <w:separator/>
      </w:r>
    </w:p>
  </w:footnote>
  <w:footnote w:type="continuationSeparator" w:id="0">
    <w:p w14:paraId="4010EF5F" w14:textId="77777777" w:rsidR="00E06FDE" w:rsidRDefault="00E06FDE" w:rsidP="003A0CD9">
      <w:pPr>
        <w:spacing w:after="0" w:line="240" w:lineRule="auto"/>
      </w:pPr>
      <w:r>
        <w:continuationSeparator/>
      </w:r>
    </w:p>
  </w:footnote>
  <w:footnote w:id="1">
    <w:p w14:paraId="4010EF64" w14:textId="77777777" w:rsidR="00F7113F" w:rsidRPr="004C7951" w:rsidRDefault="00F7113F" w:rsidP="005C375B">
      <w:pPr>
        <w:pStyle w:val="FootnoteText"/>
        <w:rPr>
          <w:lang w:val="en-CA"/>
        </w:rPr>
      </w:pPr>
      <w:r w:rsidRPr="004C7951">
        <w:rPr>
          <w:rStyle w:val="FootnoteReference"/>
        </w:rPr>
        <w:footnoteRef/>
      </w:r>
      <w:r w:rsidRPr="004C7951">
        <w:t xml:space="preserve"> </w:t>
      </w:r>
      <w:r w:rsidRPr="004C7951">
        <w:rPr>
          <w:lang w:val="en-CA"/>
        </w:rPr>
        <w:t xml:space="preserve">By critical I mean a focus on the production of knowledge focused on the analysis of power and inequality. </w:t>
      </w:r>
    </w:p>
  </w:footnote>
  <w:footnote w:id="2">
    <w:p w14:paraId="4010EF65" w14:textId="77777777" w:rsidR="004C7951" w:rsidRPr="004C7951" w:rsidRDefault="004C7951">
      <w:pPr>
        <w:pStyle w:val="FootnoteText"/>
        <w:rPr>
          <w:lang w:val="en-CA"/>
        </w:rPr>
      </w:pPr>
      <w:r w:rsidRPr="004C7951">
        <w:rPr>
          <w:rStyle w:val="FootnoteReference"/>
        </w:rPr>
        <w:footnoteRef/>
      </w:r>
      <w:r w:rsidRPr="004C7951">
        <w:t xml:space="preserve"> United Nations, </w:t>
      </w:r>
      <w:r w:rsidRPr="004C7951">
        <w:rPr>
          <w:i/>
          <w:iCs/>
        </w:rPr>
        <w:t>Vienna Convention on the Law of Treaties</w:t>
      </w:r>
      <w:r w:rsidRPr="004C7951">
        <w:t xml:space="preserve">, 23 May 1969, United Nations, Treaty Series, vol. 1155, p. 331 </w:t>
      </w:r>
      <w:r w:rsidRPr="004C7951">
        <w:rPr>
          <w:lang w:val="en-CA"/>
        </w:rPr>
        <w:t>(VCLT).</w:t>
      </w:r>
    </w:p>
  </w:footnote>
  <w:footnote w:id="3">
    <w:p w14:paraId="4010EF66" w14:textId="77777777" w:rsidR="00F7113F" w:rsidRPr="004C7951" w:rsidRDefault="00F7113F">
      <w:pPr>
        <w:pStyle w:val="FootnoteText"/>
        <w:rPr>
          <w:lang w:val="en-CA"/>
        </w:rPr>
      </w:pPr>
      <w:r w:rsidRPr="004C7951">
        <w:rPr>
          <w:rStyle w:val="FootnoteReference"/>
        </w:rPr>
        <w:footnoteRef/>
      </w:r>
      <w:r w:rsidRPr="004C7951">
        <w:t xml:space="preserve"> I refer here to the principle of consent articulated in </w:t>
      </w:r>
      <w:r w:rsidRPr="004C7951">
        <w:rPr>
          <w:lang w:val="en-CA"/>
        </w:rPr>
        <w:t>Article 11 of the 1969 Vienna Convention on the Law of treaties. Article 11 is titled ‘Means of expressing consent to be bound by a treaty’ and states ‘[T]</w:t>
      </w:r>
      <w:proofErr w:type="gramStart"/>
      <w:r w:rsidRPr="004C7951">
        <w:rPr>
          <w:lang w:val="en-CA"/>
        </w:rPr>
        <w:t>he</w:t>
      </w:r>
      <w:proofErr w:type="gramEnd"/>
      <w:r w:rsidRPr="004C7951">
        <w:rPr>
          <w:lang w:val="en-CA"/>
        </w:rPr>
        <w:t xml:space="preserve"> consent of a State to be bound by a treaty may be expressed by signature, exchange of instruments constituting a treaty, ratification, acceptance, approval or accession, or by any other means if so agreed.’ </w:t>
      </w:r>
      <w:r w:rsidRPr="004C7951">
        <w:t xml:space="preserve">United Nations, </w:t>
      </w:r>
      <w:r w:rsidRPr="004C7951">
        <w:rPr>
          <w:i/>
          <w:iCs/>
        </w:rPr>
        <w:t>Vienna Convention on the Law of Treaties</w:t>
      </w:r>
      <w:r w:rsidRPr="004C7951">
        <w:t xml:space="preserve">, 23 May 1969, United Nations, Treaty Series, vol. 1155, p. 331. </w:t>
      </w:r>
    </w:p>
  </w:footnote>
  <w:footnote w:id="4">
    <w:p w14:paraId="4010EF67"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 xml:space="preserve">Matthew Lister, ‘The Legitimating role of consent in International Law’ (2010-2011) 11 Chic J Intl L 663.  See also Samantha Besson, ‘State Consent and Disagreement in International Law Making; Dissolving the Paradox.’ (2016) 29 Leiden JIL 289. </w:t>
      </w:r>
    </w:p>
  </w:footnote>
  <w:footnote w:id="5">
    <w:p w14:paraId="4010EF68"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 xml:space="preserve">See </w:t>
      </w:r>
      <w:r w:rsidRPr="004C7951">
        <w:rPr>
          <w:rFonts w:eastAsia="Proforma-Book" w:cs="Proforma-Book"/>
        </w:rPr>
        <w:t xml:space="preserve">PCIJ, </w:t>
      </w:r>
      <w:r w:rsidRPr="004C7951">
        <w:rPr>
          <w:rFonts w:eastAsia="Proforma-Book" w:cs="Proforma-BookItalic"/>
          <w:i/>
          <w:iCs/>
        </w:rPr>
        <w:t>S.S. Lotus Case (France v. Turkey)</w:t>
      </w:r>
      <w:r w:rsidRPr="004C7951">
        <w:rPr>
          <w:rFonts w:eastAsia="Proforma-Book" w:cs="Proforma-Book"/>
        </w:rPr>
        <w:t xml:space="preserve">, Judgment of 7 September 1927, PCIJ Rep Series </w:t>
      </w:r>
      <w:proofErr w:type="gramStart"/>
      <w:r w:rsidRPr="004C7951">
        <w:rPr>
          <w:rFonts w:eastAsia="Proforma-Book" w:cs="Proforma-Book"/>
        </w:rPr>
        <w:t>A</w:t>
      </w:r>
      <w:proofErr w:type="gramEnd"/>
      <w:r w:rsidRPr="004C7951">
        <w:rPr>
          <w:rFonts w:eastAsia="Proforma-Book" w:cs="Proforma-Book"/>
        </w:rPr>
        <w:t xml:space="preserve"> No 10, para. 35: ‘The rules of law binding upon states . . . emanate from their own free will.’ </w:t>
      </w:r>
      <w:proofErr w:type="gramStart"/>
      <w:r w:rsidRPr="004C7951">
        <w:rPr>
          <w:rFonts w:eastAsia="Proforma-Book" w:cs="Proforma-Book"/>
        </w:rPr>
        <w:t>Also</w:t>
      </w:r>
      <w:proofErr w:type="gramEnd"/>
      <w:r w:rsidRPr="004C7951">
        <w:rPr>
          <w:rFonts w:eastAsia="Proforma-Book" w:cs="Proforma-Book"/>
        </w:rPr>
        <w:t xml:space="preserve"> ICJ, </w:t>
      </w:r>
      <w:r w:rsidRPr="004C7951">
        <w:rPr>
          <w:rFonts w:eastAsia="Proforma-Book" w:cs="Proforma-BookItalic"/>
          <w:i/>
          <w:iCs/>
        </w:rPr>
        <w:t>Barcelona Traction, Light and Power Company, Limited (New Application: 1962) (Belgium v. Spain)</w:t>
      </w:r>
      <w:r w:rsidRPr="004C7951">
        <w:rPr>
          <w:rFonts w:eastAsia="Proforma-Book" w:cs="Proforma-Book"/>
        </w:rPr>
        <w:t>, Second Phase, Judgment of 5 February 1970, [1970] ICJ Rep. 3, para. 47: ‘Here, as elsewhere, a body of rules could only have developed with the consent of those concerned.’</w:t>
      </w:r>
      <w:r w:rsidRPr="004C7951">
        <w:rPr>
          <w:lang w:val="en-CA"/>
        </w:rPr>
        <w:t xml:space="preserve"> </w:t>
      </w:r>
    </w:p>
  </w:footnote>
  <w:footnote w:id="6">
    <w:p w14:paraId="4010EF69"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 xml:space="preserve">This paper primarily focuses on the earlier means as these are acknowledged to be the most prevalent practices. Though ‘by any other means if so agreed’ has seen some evolution in recent years. Malgosia Fitzmaurice, ‘Consent to be bound – Anything New Under the Sun?’ (2005) 74 Nordic J I L 483. </w:t>
      </w:r>
    </w:p>
  </w:footnote>
  <w:footnote w:id="7">
    <w:p w14:paraId="4010EF6A" w14:textId="77777777" w:rsidR="00F7113F" w:rsidRPr="004C7951" w:rsidRDefault="00F7113F" w:rsidP="00FE4EF2">
      <w:pPr>
        <w:pStyle w:val="FootnoteText"/>
        <w:rPr>
          <w:lang w:val="en-CA"/>
        </w:rPr>
      </w:pPr>
      <w:r w:rsidRPr="004C7951">
        <w:rPr>
          <w:rStyle w:val="FootnoteReference"/>
        </w:rPr>
        <w:footnoteRef/>
      </w:r>
      <w:r w:rsidRPr="004C7951">
        <w:t xml:space="preserve"> This approach primarily stems from the Common Law tradition, which emphasises the freedom of parties to contract (and the responsibility of both parties to be fully informed on the nature and consequences of the contract - the caveat emptor principle), over the historical emphasis of that of the Civil Law tradition, which took account of the overall fairness of the contract to both parties and the impact of the contract on the wider community.</w:t>
      </w:r>
    </w:p>
  </w:footnote>
  <w:footnote w:id="8">
    <w:p w14:paraId="4010EF6B"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Article 2 of the Charter states – ‘</w:t>
      </w:r>
      <w:r w:rsidRPr="004C7951">
        <w:t xml:space="preserve">the threat or use of force against the </w:t>
      </w:r>
      <w:r w:rsidRPr="004C7951">
        <w:rPr>
          <w:i/>
        </w:rPr>
        <w:t>territorial integrity</w:t>
      </w:r>
      <w:r w:rsidRPr="004C7951">
        <w:t xml:space="preserve"> or </w:t>
      </w:r>
      <w:r w:rsidRPr="004C7951">
        <w:rPr>
          <w:i/>
        </w:rPr>
        <w:t>political independence</w:t>
      </w:r>
      <w:r w:rsidRPr="004C7951">
        <w:t xml:space="preserve"> of any state’ (own emphasis).</w:t>
      </w:r>
    </w:p>
  </w:footnote>
  <w:footnote w:id="9">
    <w:p w14:paraId="4010EF6C"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Article 51 VCLT.</w:t>
      </w:r>
    </w:p>
  </w:footnote>
  <w:footnote w:id="10">
    <w:p w14:paraId="4010EF6D" w14:textId="77777777" w:rsidR="00F7113F" w:rsidRPr="004C7951" w:rsidRDefault="00F7113F" w:rsidP="00FE4EF2">
      <w:pPr>
        <w:pStyle w:val="FootnoteText"/>
        <w:rPr>
          <w:lang w:val="en-CA"/>
        </w:rPr>
      </w:pPr>
      <w:r w:rsidRPr="004C7951">
        <w:rPr>
          <w:rStyle w:val="FootnoteReference"/>
        </w:rPr>
        <w:footnoteRef/>
      </w:r>
      <w:r w:rsidRPr="004C7951">
        <w:t xml:space="preserve"> Anne Peters, ‘Treaties, Unequal’ in </w:t>
      </w:r>
      <w:r w:rsidRPr="004C7951">
        <w:rPr>
          <w:i/>
        </w:rPr>
        <w:t>Max Planck Encyclopedia of Public International Law</w:t>
      </w:r>
      <w:r w:rsidRPr="004C7951">
        <w:t xml:space="preserve"> </w:t>
      </w:r>
      <w:r w:rsidRPr="004C7951">
        <w:rPr>
          <w:lang w:val="en-CA"/>
        </w:rPr>
        <w:t>at 52.</w:t>
      </w:r>
    </w:p>
  </w:footnote>
  <w:footnote w:id="11">
    <w:p w14:paraId="4010EF6E"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 xml:space="preserve">Final Act of the United Nations Conference on the Law of Treaties </w:t>
      </w:r>
      <w:r w:rsidRPr="004C7951">
        <w:rPr>
          <w:bCs/>
        </w:rPr>
        <w:t xml:space="preserve">A/CONF.39/26, </w:t>
      </w:r>
    </w:p>
  </w:footnote>
  <w:footnote w:id="12">
    <w:p w14:paraId="4010EF6F"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 xml:space="preserve">Maria Drakopoulou, ‘On the founding of law’s jurisdiction and the politics of sexual difference: the case of Roman Law’ in Shaun McVeigh (ed), </w:t>
      </w:r>
      <w:r w:rsidRPr="004C7951">
        <w:rPr>
          <w:i/>
          <w:lang w:val="en-CA"/>
        </w:rPr>
        <w:t>Jurisprudence of Jurisdiction</w:t>
      </w:r>
      <w:r w:rsidRPr="004C7951">
        <w:rPr>
          <w:lang w:val="en-CA"/>
        </w:rPr>
        <w:t xml:space="preserve"> (Routledge Cavendish, 2007) at 54. </w:t>
      </w:r>
    </w:p>
  </w:footnote>
  <w:footnote w:id="13">
    <w:p w14:paraId="4010EF70" w14:textId="77777777" w:rsidR="00F7113F" w:rsidRPr="004C7951" w:rsidRDefault="00F7113F">
      <w:pPr>
        <w:pStyle w:val="FootnoteText"/>
        <w:rPr>
          <w:lang w:val="en-CA"/>
        </w:rPr>
      </w:pPr>
      <w:r w:rsidRPr="004C7951">
        <w:rPr>
          <w:rStyle w:val="FootnoteReference"/>
        </w:rPr>
        <w:footnoteRef/>
      </w:r>
      <w:r w:rsidRPr="004C7951">
        <w:t xml:space="preserve"> Matthew Craven, ‘Between law and history: the Berlin Conference of 1884-1885 and the logic of free trade.’ (2015) 3 LRIL 31. </w:t>
      </w:r>
    </w:p>
  </w:footnote>
  <w:footnote w:id="14">
    <w:p w14:paraId="4010EF71" w14:textId="77777777" w:rsidR="00F7113F" w:rsidRPr="004C7951" w:rsidRDefault="00F7113F" w:rsidP="00FE4EF2">
      <w:pPr>
        <w:pStyle w:val="FootnoteText"/>
        <w:rPr>
          <w:lang w:val="en-CA"/>
        </w:rPr>
      </w:pPr>
      <w:r w:rsidRPr="004C7951">
        <w:rPr>
          <w:rStyle w:val="FootnoteReference"/>
        </w:rPr>
        <w:footnoteRef/>
      </w:r>
      <w:r w:rsidRPr="004C7951">
        <w:t xml:space="preserve"> </w:t>
      </w:r>
      <w:r w:rsidRPr="004C7951">
        <w:rPr>
          <w:lang w:val="en-CA"/>
        </w:rPr>
        <w:t xml:space="preserve">Note that in doing so, the VCLT takes a </w:t>
      </w:r>
      <w:r w:rsidR="00875A86" w:rsidRPr="004C7951">
        <w:rPr>
          <w:lang w:val="en-CA"/>
        </w:rPr>
        <w:t xml:space="preserve">very </w:t>
      </w:r>
      <w:r w:rsidRPr="004C7951">
        <w:rPr>
          <w:lang w:val="en-CA"/>
        </w:rPr>
        <w:t xml:space="preserve">definite stance on an issue that was hotly debated within the UN on many occasions over the 1960s and 1970s. The issue of economic sovereignty </w:t>
      </w:r>
      <w:r w:rsidR="00875A86" w:rsidRPr="004C7951">
        <w:rPr>
          <w:lang w:val="en-CA"/>
        </w:rPr>
        <w:t xml:space="preserve">had </w:t>
      </w:r>
      <w:r w:rsidRPr="004C7951">
        <w:rPr>
          <w:lang w:val="en-CA"/>
        </w:rPr>
        <w:t xml:space="preserve">emerged frequently in debates </w:t>
      </w:r>
      <w:r w:rsidR="00875A86" w:rsidRPr="004C7951">
        <w:rPr>
          <w:lang w:val="en-CA"/>
        </w:rPr>
        <w:t xml:space="preserve">at that time </w:t>
      </w:r>
      <w:r w:rsidRPr="004C7951">
        <w:rPr>
          <w:lang w:val="en-CA"/>
        </w:rPr>
        <w:t xml:space="preserve">on international relations between North and South and were clearly articulated in several Declarations. See for example, the Declaration on the Granting of Independence to Colonial Countries and Peoples GAR 1514 (XV) of 14 December 1960, affirmed ‘that peoples may, for their own ends, freely dispose of their natural wealth and resources </w:t>
      </w:r>
      <w:r w:rsidRPr="004C7951">
        <w:rPr>
          <w:i/>
          <w:lang w:val="en-CA"/>
        </w:rPr>
        <w:t>without prejudice to any obligations arising out of international economic co-operation</w:t>
      </w:r>
      <w:r w:rsidRPr="004C7951">
        <w:rPr>
          <w:lang w:val="en-CA"/>
        </w:rPr>
        <w:t>.</w:t>
      </w:r>
      <w:proofErr w:type="gramStart"/>
      <w:r w:rsidRPr="004C7951">
        <w:rPr>
          <w:lang w:val="en-CA"/>
        </w:rPr>
        <w:t>’(</w:t>
      </w:r>
      <w:proofErr w:type="gramEnd"/>
      <w:r w:rsidRPr="004C7951">
        <w:rPr>
          <w:lang w:val="en-CA"/>
        </w:rPr>
        <w:t>own italics).</w:t>
      </w:r>
    </w:p>
  </w:footnote>
  <w:footnote w:id="15">
    <w:p w14:paraId="4010EF72"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 xml:space="preserve">The ACP bloc consists of seven regions – West Africa, Central Africa, Eastern and Southern Africa, the East African Community, the Southern African Development Community, the </w:t>
      </w:r>
      <w:proofErr w:type="gramStart"/>
      <w:r w:rsidRPr="004C7951">
        <w:rPr>
          <w:lang w:val="en-CA"/>
        </w:rPr>
        <w:t>Caribbean</w:t>
      </w:r>
      <w:proofErr w:type="gramEnd"/>
      <w:r w:rsidRPr="004C7951">
        <w:rPr>
          <w:lang w:val="en-CA"/>
        </w:rPr>
        <w:t xml:space="preserve"> and the Pacific regions. These include</w:t>
      </w:r>
      <w:r w:rsidRPr="004C7951">
        <w:t xml:space="preserve"> 79 Member-States, all of them as signatories to the Cotonou Partnership Agreement (2000-2020) - 48 countries from Sub-Saharan Africa, 16 from the Caribbean and 15 from the Pacific. Many of these are Least Developed Countries (LDCs) designated as such by the United Nations, and whose status as LDCs is also recognised by the World Trade Organisation (WTO). LDC status confers rights to preferential access to EU markets under the EU’s ‘Everything </w:t>
      </w:r>
      <w:proofErr w:type="gramStart"/>
      <w:r w:rsidRPr="004C7951">
        <w:t>But</w:t>
      </w:r>
      <w:proofErr w:type="gramEnd"/>
      <w:r w:rsidRPr="004C7951">
        <w:t xml:space="preserve"> Arms’ scheme. Developing countries have preferential access to EU markets under the EU’s Generalised System of Preferences (GSP) and GSP+ schemes. </w:t>
      </w:r>
    </w:p>
  </w:footnote>
  <w:footnote w:id="16">
    <w:p w14:paraId="4010EF73" w14:textId="77777777" w:rsidR="00F7113F" w:rsidRPr="004C7951" w:rsidRDefault="00F7113F">
      <w:pPr>
        <w:pStyle w:val="FootnoteText"/>
        <w:rPr>
          <w:lang w:val="en-CA"/>
        </w:rPr>
      </w:pPr>
      <w:r w:rsidRPr="004C7951">
        <w:rPr>
          <w:rStyle w:val="FootnoteReference"/>
        </w:rPr>
        <w:footnoteRef/>
      </w:r>
      <w:r w:rsidRPr="004C7951">
        <w:t xml:space="preserve"> These EPAs are negotiated as part of a wider trade, </w:t>
      </w:r>
      <w:proofErr w:type="gramStart"/>
      <w:r w:rsidRPr="004C7951">
        <w:t>aid</w:t>
      </w:r>
      <w:proofErr w:type="gramEnd"/>
      <w:r w:rsidRPr="004C7951">
        <w:t xml:space="preserve"> and international relations agreement between the EU and nearly 80 African, Caribbean and Pacific states called the Cotonou Partnership Agreement (CPA) (2000-2020).</w:t>
      </w:r>
    </w:p>
  </w:footnote>
  <w:footnote w:id="17">
    <w:p w14:paraId="4010EF74" w14:textId="77777777" w:rsidR="00F7113F" w:rsidRPr="004C7951" w:rsidRDefault="00F7113F" w:rsidP="003E5BF3">
      <w:pPr>
        <w:autoSpaceDE w:val="0"/>
        <w:autoSpaceDN w:val="0"/>
        <w:adjustRightInd w:val="0"/>
        <w:spacing w:after="0" w:line="240" w:lineRule="auto"/>
        <w:rPr>
          <w:sz w:val="20"/>
          <w:szCs w:val="20"/>
          <w:lang w:val="en-CA"/>
        </w:rPr>
      </w:pPr>
      <w:r w:rsidRPr="004C7951">
        <w:rPr>
          <w:rStyle w:val="FootnoteReference"/>
          <w:sz w:val="20"/>
          <w:szCs w:val="20"/>
        </w:rPr>
        <w:footnoteRef/>
      </w:r>
      <w:r w:rsidRPr="004C7951">
        <w:rPr>
          <w:sz w:val="20"/>
          <w:szCs w:val="20"/>
        </w:rPr>
        <w:t xml:space="preserve"> </w:t>
      </w:r>
      <w:r w:rsidRPr="004C7951">
        <w:rPr>
          <w:rFonts w:cs="ArialMT"/>
          <w:sz w:val="20"/>
          <w:szCs w:val="20"/>
        </w:rPr>
        <w:t xml:space="preserve">The WTO waiver for EU preferences under the Cotonou Agreement was scheduled to expire in 2007. </w:t>
      </w:r>
    </w:p>
  </w:footnote>
  <w:footnote w:id="18">
    <w:p w14:paraId="4010EF75" w14:textId="77777777" w:rsidR="00F7113F" w:rsidRPr="004C7951" w:rsidRDefault="00F7113F">
      <w:pPr>
        <w:pStyle w:val="FootnoteText"/>
        <w:rPr>
          <w:lang w:val="en-CA"/>
        </w:rPr>
      </w:pPr>
      <w:r w:rsidRPr="004C7951">
        <w:rPr>
          <w:rStyle w:val="FootnoteReference"/>
        </w:rPr>
        <w:footnoteRef/>
      </w:r>
      <w:r w:rsidRPr="004C7951">
        <w:t xml:space="preserve"> By the initial scheduled deadline of 2007, only eighteen African states (including most non-LDCs and some LDCs) had initialled interim EPAs, as had two Pacific non-LDCs (Fiji and Papua New Guinea), while Caribbean countries had approved full EPAs. ODI, ECDPM, ‘interim EPAs in Africa: What’s in them and what’s next?’ ICTSD (2008) 7 Trade Negotiations Insights No. 3 available at </w:t>
      </w:r>
      <w:hyperlink r:id="rId1" w:history="1">
        <w:r w:rsidRPr="004C7951">
          <w:rPr>
            <w:rStyle w:val="Hyperlink"/>
          </w:rPr>
          <w:t>http://www.ictsd.org/bridges-news/trade-negotiations-insights/news/interim-epas-in-africa-what%E2%80%99s-in-them-and-what%E2%80%99s-next</w:t>
        </w:r>
      </w:hyperlink>
      <w:r w:rsidRPr="004C7951">
        <w:t xml:space="preserve"> </w:t>
      </w:r>
    </w:p>
  </w:footnote>
  <w:footnote w:id="19">
    <w:p w14:paraId="4010EF76" w14:textId="77777777" w:rsidR="00F7113F" w:rsidRPr="004C7951" w:rsidRDefault="00F7113F" w:rsidP="007F6219">
      <w:pPr>
        <w:autoSpaceDE w:val="0"/>
        <w:autoSpaceDN w:val="0"/>
        <w:adjustRightInd w:val="0"/>
        <w:spacing w:after="0" w:line="240" w:lineRule="auto"/>
        <w:rPr>
          <w:sz w:val="20"/>
          <w:szCs w:val="20"/>
          <w:lang w:val="en-CA"/>
        </w:rPr>
      </w:pPr>
      <w:r w:rsidRPr="004C7951">
        <w:rPr>
          <w:rStyle w:val="FootnoteReference"/>
          <w:sz w:val="20"/>
          <w:szCs w:val="20"/>
        </w:rPr>
        <w:footnoteRef/>
      </w:r>
      <w:r w:rsidRPr="004C7951">
        <w:rPr>
          <w:sz w:val="20"/>
          <w:szCs w:val="20"/>
        </w:rPr>
        <w:t xml:space="preserve"> Namibia originally initialled the draft EPA but did not later sign it. Henning Melber, ‘Namibia and the Economic Partnership Agreement’ Pambazuka News Wednesday August 14</w:t>
      </w:r>
      <w:r w:rsidRPr="004C7951">
        <w:rPr>
          <w:sz w:val="20"/>
          <w:szCs w:val="20"/>
          <w:vertAlign w:val="superscript"/>
        </w:rPr>
        <w:t>th</w:t>
      </w:r>
      <w:proofErr w:type="gramStart"/>
      <w:r w:rsidRPr="004C7951">
        <w:rPr>
          <w:sz w:val="20"/>
          <w:szCs w:val="20"/>
        </w:rPr>
        <w:t xml:space="preserve"> 2013</w:t>
      </w:r>
      <w:proofErr w:type="gramEnd"/>
      <w:r w:rsidRPr="004C7951">
        <w:rPr>
          <w:sz w:val="20"/>
          <w:szCs w:val="20"/>
        </w:rPr>
        <w:t xml:space="preserve">. See also BIDPA Briefing, ‘’Signing of the Interim Economic Partnership Agreement.’ BIDPA, September 2009 available at </w:t>
      </w:r>
      <w:hyperlink r:id="rId2" w:history="1">
        <w:r w:rsidRPr="004C7951">
          <w:rPr>
            <w:rStyle w:val="Hyperlink"/>
            <w:sz w:val="20"/>
            <w:szCs w:val="20"/>
          </w:rPr>
          <w:t>www.bidpa.bw</w:t>
        </w:r>
      </w:hyperlink>
      <w:r w:rsidRPr="004C7951">
        <w:rPr>
          <w:rStyle w:val="HTMLCite"/>
          <w:sz w:val="20"/>
          <w:szCs w:val="20"/>
        </w:rPr>
        <w:t xml:space="preserve">. </w:t>
      </w:r>
      <w:r w:rsidRPr="004C7951">
        <w:rPr>
          <w:rStyle w:val="HTMLCite"/>
          <w:i w:val="0"/>
          <w:sz w:val="20"/>
          <w:szCs w:val="20"/>
        </w:rPr>
        <w:t xml:space="preserve">Some ‘regional’ iEPAs were actually only signed by one member state of that region at that </w:t>
      </w:r>
      <w:proofErr w:type="gramStart"/>
      <w:r w:rsidRPr="004C7951">
        <w:rPr>
          <w:rStyle w:val="HTMLCite"/>
          <w:i w:val="0"/>
          <w:sz w:val="20"/>
          <w:szCs w:val="20"/>
        </w:rPr>
        <w:t>time  e.g.</w:t>
      </w:r>
      <w:proofErr w:type="gramEnd"/>
      <w:r w:rsidRPr="004C7951">
        <w:rPr>
          <w:rStyle w:val="HTMLCite"/>
          <w:i w:val="0"/>
          <w:sz w:val="20"/>
          <w:szCs w:val="20"/>
        </w:rPr>
        <w:t xml:space="preserve"> </w:t>
      </w:r>
      <w:r w:rsidRPr="004C7951">
        <w:rPr>
          <w:rFonts w:cs="TTE2AAB9B0t00"/>
          <w:sz w:val="20"/>
          <w:szCs w:val="20"/>
        </w:rPr>
        <w:t xml:space="preserve">“Central African” interim EPAs had been signed in 2009 by Cameroon only and the  “Pacific” interim EPA had been signed in 2009 by Papua New Guinea and Fiji only. See CAFOD, ‘EU ultimatum brings EPA negotiations to conclusion.’ </w:t>
      </w:r>
    </w:p>
  </w:footnote>
  <w:footnote w:id="20">
    <w:p w14:paraId="4010EF77" w14:textId="77777777" w:rsidR="00F7113F" w:rsidRPr="004C7951" w:rsidRDefault="00F7113F" w:rsidP="000F176A">
      <w:pPr>
        <w:autoSpaceDE w:val="0"/>
        <w:autoSpaceDN w:val="0"/>
        <w:adjustRightInd w:val="0"/>
        <w:spacing w:after="0" w:line="240" w:lineRule="auto"/>
        <w:rPr>
          <w:sz w:val="20"/>
          <w:szCs w:val="20"/>
          <w:lang w:val="en-CA"/>
        </w:rPr>
      </w:pPr>
      <w:r w:rsidRPr="004C7951">
        <w:rPr>
          <w:rStyle w:val="FootnoteReference"/>
          <w:sz w:val="20"/>
          <w:szCs w:val="20"/>
        </w:rPr>
        <w:footnoteRef/>
      </w:r>
      <w:r w:rsidRPr="004C7951">
        <w:rPr>
          <w:sz w:val="20"/>
          <w:szCs w:val="20"/>
        </w:rPr>
        <w:t xml:space="preserve"> The Commission identified 18 countries from the 36 countries that had initialled or signed an agreement that had either to sign and start the ratification of their existing EPA or conclude a new regional EPA. The group included Haiti, which had been struck by a catastrophic earthquake in 2010. This was to be achieved by the withdrawal of market access under Market Access Regulation (MAR) 1528 of January 2008 which required countries to initiate EPA ratification processes ‘within a reasonable </w:t>
      </w:r>
      <w:proofErr w:type="gramStart"/>
      <w:r w:rsidRPr="004C7951">
        <w:rPr>
          <w:sz w:val="20"/>
          <w:szCs w:val="20"/>
        </w:rPr>
        <w:t>period of time</w:t>
      </w:r>
      <w:proofErr w:type="gramEnd"/>
      <w:r w:rsidRPr="004C7951">
        <w:rPr>
          <w:sz w:val="20"/>
          <w:szCs w:val="20"/>
        </w:rPr>
        <w:t xml:space="preserve">’. See Council Regulation (EC) no 1528/2007 as regards the exclusion of </w:t>
      </w:r>
      <w:proofErr w:type="gramStart"/>
      <w:r w:rsidRPr="004C7951">
        <w:rPr>
          <w:sz w:val="20"/>
          <w:szCs w:val="20"/>
        </w:rPr>
        <w:t>a number of</w:t>
      </w:r>
      <w:proofErr w:type="gramEnd"/>
      <w:r w:rsidRPr="004C7951">
        <w:rPr>
          <w:sz w:val="20"/>
          <w:szCs w:val="20"/>
        </w:rPr>
        <w:t xml:space="preserve"> countries from the list of regions or states that have concluded negotiations. European Commission proposal on </w:t>
      </w:r>
      <w:r w:rsidRPr="004C7951">
        <w:rPr>
          <w:rFonts w:cs="Times New Roman"/>
          <w:bCs/>
          <w:sz w:val="20"/>
          <w:szCs w:val="20"/>
        </w:rPr>
        <w:t>amending Annex I to Council Regulation (EC) No 1528/</w:t>
      </w:r>
      <w:proofErr w:type="gramStart"/>
      <w:r w:rsidRPr="004C7951">
        <w:rPr>
          <w:rFonts w:cs="Times New Roman"/>
          <w:bCs/>
          <w:sz w:val="20"/>
          <w:szCs w:val="20"/>
        </w:rPr>
        <w:t xml:space="preserve">2007,  </w:t>
      </w:r>
      <w:r w:rsidRPr="004C7951">
        <w:rPr>
          <w:rFonts w:cs="Times New Roman"/>
          <w:sz w:val="20"/>
          <w:szCs w:val="20"/>
        </w:rPr>
        <w:t>Brussels</w:t>
      </w:r>
      <w:proofErr w:type="gramEnd"/>
      <w:r w:rsidRPr="004C7951">
        <w:rPr>
          <w:rFonts w:cs="Times New Roman"/>
          <w:sz w:val="20"/>
          <w:szCs w:val="20"/>
        </w:rPr>
        <w:t xml:space="preserve">, 30.9.2011 COM(2011) 598 final. </w:t>
      </w:r>
      <w:r w:rsidRPr="004C7951">
        <w:rPr>
          <w:sz w:val="20"/>
          <w:szCs w:val="20"/>
        </w:rPr>
        <w:t>The European Parliament, by a large majority, granted the African countries an extension until October 2014 to ratify their interim Economic Partnership Agreements (iEPAs). ‘EU Pressures Seven Africa countries to complete trade agreements.’ EURACTIV April 23</w:t>
      </w:r>
      <w:r w:rsidRPr="004C7951">
        <w:rPr>
          <w:sz w:val="20"/>
          <w:szCs w:val="20"/>
          <w:vertAlign w:val="superscript"/>
        </w:rPr>
        <w:t>rd</w:t>
      </w:r>
      <w:proofErr w:type="gramStart"/>
      <w:r w:rsidRPr="004C7951">
        <w:rPr>
          <w:sz w:val="20"/>
          <w:szCs w:val="20"/>
        </w:rPr>
        <w:t xml:space="preserve"> 2013</w:t>
      </w:r>
      <w:proofErr w:type="gramEnd"/>
      <w:r w:rsidRPr="004C7951">
        <w:rPr>
          <w:sz w:val="20"/>
          <w:szCs w:val="20"/>
        </w:rPr>
        <w:t xml:space="preserve"> available at </w:t>
      </w:r>
      <w:hyperlink r:id="rId3" w:history="1">
        <w:r w:rsidRPr="004C7951">
          <w:rPr>
            <w:rStyle w:val="Hyperlink"/>
            <w:sz w:val="20"/>
            <w:szCs w:val="20"/>
          </w:rPr>
          <w:t>http://www.euractiv.com/section/development-policy/news/eu-pressures-seven-african-countries-to-complete-trade-agreements/</w:t>
        </w:r>
      </w:hyperlink>
      <w:r w:rsidRPr="004C7951">
        <w:rPr>
          <w:sz w:val="20"/>
          <w:szCs w:val="20"/>
        </w:rPr>
        <w:t xml:space="preserve"> </w:t>
      </w:r>
    </w:p>
  </w:footnote>
  <w:footnote w:id="21">
    <w:p w14:paraId="4010EF78" w14:textId="77777777" w:rsidR="00F7113F" w:rsidRPr="004C7951" w:rsidRDefault="00F7113F" w:rsidP="00CD4DEA">
      <w:pPr>
        <w:spacing w:after="0"/>
        <w:rPr>
          <w:sz w:val="20"/>
          <w:szCs w:val="20"/>
          <w:lang w:val="en-CA"/>
        </w:rPr>
      </w:pPr>
      <w:r w:rsidRPr="004C7951">
        <w:rPr>
          <w:rStyle w:val="FootnoteReference"/>
          <w:sz w:val="20"/>
          <w:szCs w:val="20"/>
        </w:rPr>
        <w:footnoteRef/>
      </w:r>
      <w:r w:rsidRPr="004C7951">
        <w:rPr>
          <w:sz w:val="20"/>
          <w:szCs w:val="20"/>
        </w:rPr>
        <w:t xml:space="preserve"> International relations scholars have identified this action as a credible ultimatum – a threat backed by a deadline, whose implementation could be unilaterally implemented by the EU.</w:t>
      </w:r>
      <w:hyperlink r:id="rId4" w:history="1">
        <w:r w:rsidRPr="004C7951">
          <w:rPr>
            <w:rFonts w:eastAsia="Times New Roman" w:cs="Times New Roman"/>
            <w:sz w:val="20"/>
            <w:szCs w:val="20"/>
            <w:lang w:eastAsia="en-IE"/>
          </w:rPr>
          <w:t>Annika Björkdahl</w:t>
        </w:r>
      </w:hyperlink>
      <w:r w:rsidRPr="004C7951">
        <w:rPr>
          <w:rFonts w:eastAsia="Times New Roman" w:cs="Times New Roman"/>
          <w:sz w:val="20"/>
          <w:szCs w:val="20"/>
          <w:lang w:eastAsia="en-IE"/>
        </w:rPr>
        <w:t xml:space="preserve">, </w:t>
      </w:r>
      <w:hyperlink r:id="rId5" w:history="1">
        <w:r w:rsidRPr="004C7951">
          <w:rPr>
            <w:rFonts w:eastAsia="Times New Roman" w:cs="Times New Roman"/>
            <w:sz w:val="20"/>
            <w:szCs w:val="20"/>
            <w:lang w:eastAsia="en-IE"/>
          </w:rPr>
          <w:t>Ole Elgström</w:t>
        </w:r>
      </w:hyperlink>
      <w:r w:rsidRPr="004C7951">
        <w:rPr>
          <w:rFonts w:eastAsia="Times New Roman" w:cs="Times New Roman"/>
          <w:sz w:val="20"/>
          <w:szCs w:val="20"/>
          <w:lang w:eastAsia="en-IE"/>
        </w:rPr>
        <w:t xml:space="preserve">, ‘The EPA negotiations – A channel for norm import and export?’in </w:t>
      </w:r>
      <w:r w:rsidRPr="004C7951">
        <w:rPr>
          <w:sz w:val="20"/>
          <w:szCs w:val="20"/>
        </w:rPr>
        <w:t>Annika,</w:t>
      </w:r>
      <w:hyperlink r:id="rId6" w:tgtFrame="_parent" w:tooltip="Find all records containing" w:history="1">
        <w:r w:rsidRPr="004C7951">
          <w:rPr>
            <w:sz w:val="20"/>
            <w:szCs w:val="20"/>
          </w:rPr>
          <w:t xml:space="preserve">Björkdahl, </w:t>
        </w:r>
      </w:hyperlink>
      <w:r w:rsidRPr="004C7951">
        <w:rPr>
          <w:sz w:val="20"/>
          <w:szCs w:val="20"/>
        </w:rPr>
        <w:t xml:space="preserve"> Natalia </w:t>
      </w:r>
      <w:hyperlink r:id="rId7" w:tgtFrame="_parent" w:tooltip="Find all records containing" w:history="1">
        <w:r w:rsidRPr="004C7951">
          <w:rPr>
            <w:sz w:val="20"/>
            <w:szCs w:val="20"/>
          </w:rPr>
          <w:t xml:space="preserve">Chaban, </w:t>
        </w:r>
      </w:hyperlink>
      <w:r w:rsidRPr="004C7951">
        <w:rPr>
          <w:sz w:val="20"/>
          <w:szCs w:val="20"/>
        </w:rPr>
        <w:t xml:space="preserve"> John Leslie &amp; Annick </w:t>
      </w:r>
      <w:hyperlink r:id="rId8" w:tgtFrame="_parent" w:tooltip="Find all records containing" w:history="1">
        <w:r w:rsidRPr="004C7951">
          <w:rPr>
            <w:sz w:val="20"/>
            <w:szCs w:val="20"/>
          </w:rPr>
          <w:t xml:space="preserve">Masselot (eds) </w:t>
        </w:r>
      </w:hyperlink>
      <w:r w:rsidRPr="004C7951">
        <w:rPr>
          <w:sz w:val="20"/>
          <w:szCs w:val="20"/>
        </w:rPr>
        <w:t xml:space="preserve"> </w:t>
      </w:r>
      <w:r w:rsidRPr="004C7951">
        <w:rPr>
          <w:i/>
          <w:sz w:val="20"/>
          <w:szCs w:val="20"/>
        </w:rPr>
        <w:t xml:space="preserve">Importing EU norms : conceptual framework and empirical findings </w:t>
      </w:r>
      <w:r w:rsidRPr="004C7951">
        <w:rPr>
          <w:sz w:val="20"/>
          <w:szCs w:val="20"/>
        </w:rPr>
        <w:t>(</w:t>
      </w:r>
      <w:r w:rsidRPr="004C7951">
        <w:rPr>
          <w:rStyle w:val="exldetailsdisplayval"/>
          <w:sz w:val="20"/>
          <w:szCs w:val="20"/>
        </w:rPr>
        <w:t xml:space="preserve">Cham Switzerland: Springer, 2015), 133 at 147-148. </w:t>
      </w:r>
    </w:p>
  </w:footnote>
  <w:footnote w:id="22">
    <w:p w14:paraId="4010EF79" w14:textId="77777777" w:rsidR="00F7113F" w:rsidRPr="004C7951" w:rsidRDefault="00F7113F" w:rsidP="00CF693D">
      <w:pPr>
        <w:pStyle w:val="FootnoteText"/>
        <w:rPr>
          <w:lang w:val="en-CA"/>
        </w:rPr>
      </w:pPr>
      <w:r w:rsidRPr="004C7951">
        <w:rPr>
          <w:rStyle w:val="FootnoteReference"/>
        </w:rPr>
        <w:footnoteRef/>
      </w:r>
      <w:r w:rsidRPr="004C7951">
        <w:t xml:space="preserve"> </w:t>
      </w:r>
      <w:r w:rsidRPr="004C7951">
        <w:rPr>
          <w:lang w:val="en-CA"/>
        </w:rPr>
        <w:t xml:space="preserve">CONCORD, ‘EU ultimatum brings EPA negotiations to conclusion.’ CONCORD Cotonou Working Group Briefing Paper, December 2014 available at </w:t>
      </w:r>
      <w:hyperlink r:id="rId9" w:history="1">
        <w:r w:rsidRPr="004C7951">
          <w:rPr>
            <w:rStyle w:val="Hyperlink"/>
            <w:lang w:val="en-CA"/>
          </w:rPr>
          <w:t>http://concordeurope.org/</w:t>
        </w:r>
      </w:hyperlink>
      <w:r w:rsidRPr="004C7951">
        <w:rPr>
          <w:lang w:val="en-CA"/>
        </w:rPr>
        <w:t xml:space="preserve"> . The new EPAs were signed by West Africa, Southern Africa and the EAC. </w:t>
      </w:r>
    </w:p>
  </w:footnote>
  <w:footnote w:id="23">
    <w:p w14:paraId="4010EF7A" w14:textId="77777777" w:rsidR="00F7113F" w:rsidRPr="004C7951" w:rsidRDefault="00F7113F" w:rsidP="0002435D">
      <w:pPr>
        <w:spacing w:after="0" w:line="240" w:lineRule="auto"/>
        <w:rPr>
          <w:sz w:val="20"/>
          <w:szCs w:val="20"/>
        </w:rPr>
      </w:pPr>
      <w:r w:rsidRPr="004C7951">
        <w:rPr>
          <w:rStyle w:val="FootnoteReference"/>
          <w:sz w:val="20"/>
          <w:szCs w:val="20"/>
        </w:rPr>
        <w:footnoteRef/>
      </w:r>
      <w:r w:rsidRPr="004C7951">
        <w:rPr>
          <w:sz w:val="20"/>
          <w:szCs w:val="20"/>
        </w:rPr>
        <w:t xml:space="preserve"> The end of the preferential access enjoyed by these six countries will have dramatic consequences for the countries’ public finances. For countries in West Africa in general, it is expected that they would lose approx. E3.2 billion per year in lost customs duty from 2020 onwards.</w:t>
      </w:r>
    </w:p>
  </w:footnote>
  <w:footnote w:id="24">
    <w:p w14:paraId="4010EF7B" w14:textId="77777777" w:rsidR="00F7113F" w:rsidRPr="004C7951" w:rsidRDefault="00F7113F" w:rsidP="007B66E2">
      <w:pPr>
        <w:pStyle w:val="Heading1"/>
        <w:spacing w:before="0"/>
        <w:rPr>
          <w:rFonts w:asciiTheme="minorHAnsi" w:eastAsia="Times New Roman" w:hAnsiTheme="minorHAnsi" w:cs="Times New Roman"/>
          <w:bCs/>
          <w:color w:val="auto"/>
          <w:kern w:val="36"/>
          <w:sz w:val="20"/>
          <w:szCs w:val="20"/>
          <w:lang w:eastAsia="en-IE"/>
        </w:rPr>
      </w:pPr>
      <w:r w:rsidRPr="004C7951">
        <w:rPr>
          <w:rStyle w:val="FootnoteReference"/>
          <w:rFonts w:asciiTheme="minorHAnsi" w:hAnsiTheme="minorHAnsi"/>
          <w:color w:val="auto"/>
          <w:sz w:val="20"/>
          <w:szCs w:val="20"/>
        </w:rPr>
        <w:footnoteRef/>
      </w:r>
      <w:r w:rsidRPr="004C7951">
        <w:rPr>
          <w:rFonts w:asciiTheme="minorHAnsi" w:hAnsiTheme="minorHAnsi"/>
          <w:color w:val="auto"/>
          <w:sz w:val="20"/>
          <w:szCs w:val="20"/>
        </w:rPr>
        <w:t xml:space="preserve"> </w:t>
      </w:r>
      <w:hyperlink r:id="rId10" w:history="1">
        <w:r w:rsidRPr="004C7951">
          <w:rPr>
            <w:rFonts w:asciiTheme="minorHAnsi" w:hAnsiTheme="minorHAnsi"/>
            <w:color w:val="auto"/>
            <w:sz w:val="20"/>
            <w:szCs w:val="20"/>
          </w:rPr>
          <w:t>Cécile Barbière</w:t>
        </w:r>
      </w:hyperlink>
      <w:r w:rsidRPr="004C7951">
        <w:rPr>
          <w:rFonts w:asciiTheme="minorHAnsi" w:hAnsiTheme="minorHAnsi"/>
          <w:color w:val="auto"/>
          <w:sz w:val="20"/>
          <w:szCs w:val="20"/>
        </w:rPr>
        <w:t>, ‘Brussels to end preferential trade access for uncooperative African countries’ June 10</w:t>
      </w:r>
      <w:r w:rsidRPr="004C7951">
        <w:rPr>
          <w:rFonts w:asciiTheme="minorHAnsi" w:hAnsiTheme="minorHAnsi"/>
          <w:color w:val="auto"/>
          <w:sz w:val="20"/>
          <w:szCs w:val="20"/>
          <w:vertAlign w:val="superscript"/>
        </w:rPr>
        <w:t>th</w:t>
      </w:r>
      <w:r w:rsidRPr="004C7951">
        <w:rPr>
          <w:rFonts w:asciiTheme="minorHAnsi" w:hAnsiTheme="minorHAnsi"/>
          <w:color w:val="auto"/>
          <w:sz w:val="20"/>
          <w:szCs w:val="20"/>
        </w:rPr>
        <w:t xml:space="preserve"> 2016 EURACTIV, available at </w:t>
      </w:r>
      <w:hyperlink r:id="rId11" w:history="1">
        <w:r w:rsidRPr="004C7951">
          <w:rPr>
            <w:rStyle w:val="Hyperlink"/>
            <w:rFonts w:asciiTheme="minorHAnsi" w:hAnsiTheme="minorHAnsi"/>
            <w:sz w:val="20"/>
            <w:szCs w:val="20"/>
          </w:rPr>
          <w:t>http://www.euractiv.com/section/development-policy/news/brussels-to-end-preferential-trade-access-for-uncooperative-african-countries/</w:t>
        </w:r>
      </w:hyperlink>
      <w:r w:rsidRPr="004C7951">
        <w:rPr>
          <w:rFonts w:asciiTheme="minorHAnsi" w:hAnsiTheme="minorHAnsi"/>
          <w:sz w:val="20"/>
          <w:szCs w:val="20"/>
        </w:rPr>
        <w:t xml:space="preserve">.  </w:t>
      </w:r>
      <w:proofErr w:type="gramStart"/>
      <w:r w:rsidRPr="004C7951">
        <w:rPr>
          <w:rFonts w:asciiTheme="minorHAnsi" w:hAnsiTheme="minorHAnsi"/>
          <w:color w:val="auto"/>
          <w:sz w:val="20"/>
          <w:szCs w:val="20"/>
        </w:rPr>
        <w:t>Also</w:t>
      </w:r>
      <w:proofErr w:type="gramEnd"/>
      <w:r w:rsidRPr="004C7951">
        <w:rPr>
          <w:rFonts w:asciiTheme="minorHAnsi" w:hAnsiTheme="minorHAnsi"/>
          <w:color w:val="auto"/>
          <w:sz w:val="20"/>
          <w:szCs w:val="20"/>
        </w:rPr>
        <w:t xml:space="preserve"> S2B </w:t>
      </w:r>
      <w:r w:rsidRPr="004C7951">
        <w:rPr>
          <w:rFonts w:asciiTheme="minorHAnsi" w:hAnsiTheme="minorHAnsi"/>
          <w:sz w:val="20"/>
          <w:szCs w:val="20"/>
        </w:rPr>
        <w:t>‘</w:t>
      </w:r>
      <w:r w:rsidRPr="004C7951">
        <w:rPr>
          <w:rFonts w:asciiTheme="minorHAnsi" w:eastAsia="Times New Roman" w:hAnsiTheme="minorHAnsi" w:cs="Times New Roman"/>
          <w:bCs/>
          <w:color w:val="auto"/>
          <w:kern w:val="36"/>
          <w:sz w:val="20"/>
          <w:szCs w:val="20"/>
          <w:lang w:eastAsia="en-IE"/>
        </w:rPr>
        <w:t>The EU destabilizes and blackmails African states to secure its economic interests.’ Jun 15</w:t>
      </w:r>
      <w:r w:rsidRPr="004C7951">
        <w:rPr>
          <w:rFonts w:asciiTheme="minorHAnsi" w:eastAsia="Times New Roman" w:hAnsiTheme="minorHAnsi" w:cs="Times New Roman"/>
          <w:bCs/>
          <w:color w:val="auto"/>
          <w:kern w:val="36"/>
          <w:sz w:val="20"/>
          <w:szCs w:val="20"/>
          <w:vertAlign w:val="superscript"/>
          <w:lang w:eastAsia="en-IE"/>
        </w:rPr>
        <w:t>th</w:t>
      </w:r>
      <w:proofErr w:type="gramStart"/>
      <w:r w:rsidRPr="004C7951">
        <w:rPr>
          <w:rFonts w:asciiTheme="minorHAnsi" w:eastAsia="Times New Roman" w:hAnsiTheme="minorHAnsi" w:cs="Times New Roman"/>
          <w:bCs/>
          <w:color w:val="auto"/>
          <w:kern w:val="36"/>
          <w:sz w:val="20"/>
          <w:szCs w:val="20"/>
          <w:lang w:eastAsia="en-IE"/>
        </w:rPr>
        <w:t xml:space="preserve"> 2016</w:t>
      </w:r>
      <w:proofErr w:type="gramEnd"/>
      <w:r w:rsidRPr="004C7951">
        <w:rPr>
          <w:rFonts w:asciiTheme="minorHAnsi" w:eastAsia="Times New Roman" w:hAnsiTheme="minorHAnsi" w:cs="Times New Roman"/>
          <w:bCs/>
          <w:color w:val="auto"/>
          <w:kern w:val="36"/>
          <w:sz w:val="20"/>
          <w:szCs w:val="20"/>
          <w:lang w:eastAsia="en-IE"/>
        </w:rPr>
        <w:t xml:space="preserve"> at </w:t>
      </w:r>
      <w:hyperlink r:id="rId12" w:history="1">
        <w:r w:rsidRPr="004C7951">
          <w:rPr>
            <w:rStyle w:val="Hyperlink"/>
            <w:rFonts w:asciiTheme="minorHAnsi" w:eastAsia="Times New Roman" w:hAnsiTheme="minorHAnsi" w:cs="Times New Roman"/>
            <w:bCs/>
            <w:kern w:val="36"/>
            <w:sz w:val="20"/>
            <w:szCs w:val="20"/>
            <w:lang w:eastAsia="en-IE"/>
          </w:rPr>
          <w:t>http://www.s2bnetwork.org/eu-blackmails-african-states/</w:t>
        </w:r>
      </w:hyperlink>
      <w:r w:rsidRPr="004C7951">
        <w:rPr>
          <w:rFonts w:asciiTheme="minorHAnsi" w:eastAsia="Times New Roman" w:hAnsiTheme="minorHAnsi" w:cs="Times New Roman"/>
          <w:bCs/>
          <w:color w:val="auto"/>
          <w:kern w:val="36"/>
          <w:sz w:val="20"/>
          <w:szCs w:val="20"/>
          <w:lang w:eastAsia="en-IE"/>
        </w:rPr>
        <w:t xml:space="preserve">. </w:t>
      </w:r>
    </w:p>
  </w:footnote>
  <w:footnote w:id="25">
    <w:p w14:paraId="4010EF7C"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MEP critique. Also EP Co</w:t>
      </w:r>
      <w:r w:rsidR="004C7951" w:rsidRPr="004C7951">
        <w:rPr>
          <w:lang w:val="en-CA"/>
        </w:rPr>
        <w:t>mmittee on International Trade</w:t>
      </w:r>
      <w:proofErr w:type="gramStart"/>
      <w:r w:rsidR="004C7951" w:rsidRPr="004C7951">
        <w:rPr>
          <w:lang w:val="en-CA"/>
        </w:rPr>
        <w:t>…..</w:t>
      </w:r>
      <w:proofErr w:type="gramEnd"/>
      <w:r w:rsidR="004C7951" w:rsidRPr="004C7951">
        <w:rPr>
          <w:lang w:val="en-CA"/>
        </w:rPr>
        <w:t>refs…..</w:t>
      </w:r>
    </w:p>
  </w:footnote>
  <w:footnote w:id="26">
    <w:p w14:paraId="4010EF7D" w14:textId="77777777" w:rsidR="00F7113F" w:rsidRPr="004C7951" w:rsidRDefault="00F7113F">
      <w:pPr>
        <w:pStyle w:val="FootnoteText"/>
        <w:rPr>
          <w:lang w:val="en-CA"/>
        </w:rPr>
      </w:pPr>
      <w:r w:rsidRPr="004C7951">
        <w:rPr>
          <w:rStyle w:val="FootnoteReference"/>
        </w:rPr>
        <w:footnoteRef/>
      </w:r>
      <w:r w:rsidRPr="004C7951">
        <w:t xml:space="preserve"> See Para 58 of the </w:t>
      </w:r>
      <w:r w:rsidRPr="004C7951">
        <w:rPr>
          <w:rFonts w:eastAsia="Times New Roman" w:cs="Times New Roman"/>
          <w:bCs/>
          <w:lang w:eastAsia="en-IE"/>
        </w:rPr>
        <w:t>DECLARATION OF THE 8TH SUMMIT OF ACP HEADS OF STATE AND GOVERNMENT OF THE ACP GROUP OF STATES issued on June 1</w:t>
      </w:r>
      <w:r w:rsidRPr="004C7951">
        <w:rPr>
          <w:rFonts w:eastAsia="Times New Roman" w:cs="Times New Roman"/>
          <w:bCs/>
          <w:vertAlign w:val="superscript"/>
          <w:lang w:eastAsia="en-IE"/>
        </w:rPr>
        <w:t>st</w:t>
      </w:r>
      <w:r w:rsidRPr="004C7951">
        <w:rPr>
          <w:rFonts w:eastAsia="Times New Roman" w:cs="Times New Roman"/>
          <w:bCs/>
          <w:lang w:eastAsia="en-IE"/>
        </w:rPr>
        <w:t xml:space="preserve"> 2016 in Port Moresby in Papua New Guinea</w:t>
      </w:r>
      <w:r w:rsidRPr="004C7951">
        <w:t xml:space="preserve"> which stated </w:t>
      </w:r>
      <w:r w:rsidRPr="004C7951">
        <w:rPr>
          <w:b/>
        </w:rPr>
        <w:t>“</w:t>
      </w:r>
      <w:r w:rsidRPr="004C7951">
        <w:rPr>
          <w:rStyle w:val="Strong"/>
          <w:b w:val="0"/>
        </w:rPr>
        <w:t>We are concerned</w:t>
      </w:r>
      <w:r w:rsidRPr="004C7951">
        <w:t xml:space="preserve"> that all ACP States have not been able to conclude Economic Partnership Agreements (EPAs) due to the excessive demands from the European Union that has weakened regional economic integration processes.”  </w:t>
      </w:r>
      <w:hyperlink r:id="rId13" w:history="1">
        <w:r w:rsidRPr="004C7951">
          <w:rPr>
            <w:rStyle w:val="Hyperlink"/>
          </w:rPr>
          <w:t>http://www.acp.int/content/declaration-8th-summit-acp-heads-state-and-government-acp-group-states</w:t>
        </w:r>
      </w:hyperlink>
      <w:r w:rsidRPr="004C7951">
        <w:t xml:space="preserve"> </w:t>
      </w:r>
    </w:p>
  </w:footnote>
  <w:footnote w:id="27">
    <w:p w14:paraId="4010EF7E" w14:textId="77777777" w:rsidR="00F7113F" w:rsidRPr="004C7951" w:rsidRDefault="00F7113F" w:rsidP="00B96691">
      <w:pPr>
        <w:pStyle w:val="Default"/>
        <w:rPr>
          <w:rFonts w:asciiTheme="minorHAnsi" w:hAnsiTheme="minorHAnsi"/>
          <w:sz w:val="20"/>
          <w:szCs w:val="20"/>
          <w:lang w:val="en-CA"/>
        </w:rPr>
      </w:pPr>
      <w:r w:rsidRPr="004C7951">
        <w:rPr>
          <w:rStyle w:val="FootnoteReference"/>
          <w:rFonts w:asciiTheme="minorHAnsi" w:hAnsiTheme="minorHAnsi"/>
          <w:sz w:val="20"/>
          <w:szCs w:val="20"/>
        </w:rPr>
        <w:footnoteRef/>
      </w:r>
      <w:r w:rsidRPr="004C7951">
        <w:rPr>
          <w:rFonts w:asciiTheme="minorHAnsi" w:hAnsiTheme="minorHAnsi"/>
          <w:sz w:val="20"/>
          <w:szCs w:val="20"/>
        </w:rPr>
        <w:t xml:space="preserve"> European Commission HRFASP, </w:t>
      </w:r>
      <w:r w:rsidRPr="004C7951">
        <w:rPr>
          <w:rFonts w:asciiTheme="minorHAnsi" w:hAnsiTheme="minorHAnsi"/>
          <w:i/>
          <w:sz w:val="20"/>
          <w:szCs w:val="20"/>
        </w:rPr>
        <w:t>Evaluation of the Cotonou Partnership Agreement</w:t>
      </w:r>
      <w:r w:rsidRPr="004C7951">
        <w:rPr>
          <w:rFonts w:asciiTheme="minorHAnsi" w:hAnsiTheme="minorHAnsi"/>
          <w:sz w:val="20"/>
          <w:szCs w:val="20"/>
        </w:rPr>
        <w:t xml:space="preserve">, Brussels, 15.7.2016 </w:t>
      </w:r>
      <w:proofErr w:type="gramStart"/>
      <w:r w:rsidRPr="004C7951">
        <w:rPr>
          <w:rFonts w:asciiTheme="minorHAnsi" w:hAnsiTheme="minorHAnsi"/>
          <w:sz w:val="20"/>
          <w:szCs w:val="20"/>
        </w:rPr>
        <w:t>SWD(</w:t>
      </w:r>
      <w:proofErr w:type="gramEnd"/>
      <w:r w:rsidRPr="004C7951">
        <w:rPr>
          <w:rFonts w:asciiTheme="minorHAnsi" w:hAnsiTheme="minorHAnsi"/>
          <w:sz w:val="20"/>
          <w:szCs w:val="20"/>
        </w:rPr>
        <w:t xml:space="preserve">2016) 250 final at 6. Available at </w:t>
      </w:r>
      <w:hyperlink r:id="rId14" w:history="1">
        <w:r w:rsidRPr="004C7951">
          <w:rPr>
            <w:rStyle w:val="Hyperlink"/>
            <w:rFonts w:asciiTheme="minorHAnsi" w:hAnsiTheme="minorHAnsi"/>
            <w:sz w:val="20"/>
            <w:szCs w:val="20"/>
          </w:rPr>
          <w:t>http://ec.europa.eu/europeaid/news-and-events/results-evaluation-cotonou-partnership-agreement-announced_en</w:t>
        </w:r>
      </w:hyperlink>
      <w:r w:rsidRPr="004C7951">
        <w:rPr>
          <w:rFonts w:asciiTheme="minorHAnsi" w:hAnsiTheme="minorHAnsi"/>
          <w:sz w:val="20"/>
          <w:szCs w:val="20"/>
        </w:rPr>
        <w:t xml:space="preserve">. </w:t>
      </w:r>
    </w:p>
  </w:footnote>
  <w:footnote w:id="28">
    <w:p w14:paraId="4010EF7F" w14:textId="77777777" w:rsidR="00F7113F" w:rsidRPr="004C7951" w:rsidRDefault="00F7113F" w:rsidP="00E669FC">
      <w:pPr>
        <w:pStyle w:val="Heading1"/>
        <w:spacing w:before="0"/>
        <w:rPr>
          <w:rFonts w:asciiTheme="minorHAnsi" w:eastAsia="Times New Roman" w:hAnsiTheme="minorHAnsi" w:cs="Times New Roman"/>
          <w:bCs/>
          <w:color w:val="auto"/>
          <w:kern w:val="36"/>
          <w:sz w:val="20"/>
          <w:szCs w:val="20"/>
          <w:lang w:eastAsia="en-IE"/>
        </w:rPr>
      </w:pPr>
      <w:r w:rsidRPr="004C7951">
        <w:rPr>
          <w:rStyle w:val="FootnoteReference"/>
          <w:rFonts w:asciiTheme="minorHAnsi" w:hAnsiTheme="minorHAnsi"/>
          <w:color w:val="auto"/>
          <w:sz w:val="20"/>
          <w:szCs w:val="20"/>
        </w:rPr>
        <w:footnoteRef/>
      </w:r>
      <w:r w:rsidRPr="004C7951">
        <w:rPr>
          <w:rFonts w:asciiTheme="minorHAnsi" w:hAnsiTheme="minorHAnsi"/>
          <w:color w:val="auto"/>
          <w:sz w:val="20"/>
          <w:szCs w:val="20"/>
        </w:rPr>
        <w:t xml:space="preserve"> For a detailed analysis of how these projects came to characterise peace-time international law after World War II, s</w:t>
      </w:r>
      <w:r w:rsidRPr="004C7951">
        <w:rPr>
          <w:rFonts w:asciiTheme="minorHAnsi" w:hAnsiTheme="minorHAnsi"/>
          <w:color w:val="auto"/>
          <w:sz w:val="20"/>
          <w:szCs w:val="20"/>
          <w:lang w:val="en-CA"/>
        </w:rPr>
        <w:t xml:space="preserve">ee generally Sundhya Pahuja, </w:t>
      </w:r>
      <w:r w:rsidRPr="004C7951">
        <w:rPr>
          <w:rFonts w:asciiTheme="minorHAnsi" w:eastAsia="Times New Roman" w:hAnsiTheme="minorHAnsi" w:cs="Times New Roman"/>
          <w:bCs/>
          <w:i/>
          <w:color w:val="auto"/>
          <w:kern w:val="36"/>
          <w:sz w:val="20"/>
          <w:szCs w:val="20"/>
          <w:lang w:eastAsia="en-IE"/>
        </w:rPr>
        <w:t xml:space="preserve">Decolonising international </w:t>
      </w:r>
      <w:proofErr w:type="gramStart"/>
      <w:r w:rsidRPr="004C7951">
        <w:rPr>
          <w:rFonts w:asciiTheme="minorHAnsi" w:eastAsia="Times New Roman" w:hAnsiTheme="minorHAnsi" w:cs="Times New Roman"/>
          <w:bCs/>
          <w:i/>
          <w:color w:val="auto"/>
          <w:kern w:val="36"/>
          <w:sz w:val="20"/>
          <w:szCs w:val="20"/>
          <w:lang w:eastAsia="en-IE"/>
        </w:rPr>
        <w:t>law :</w:t>
      </w:r>
      <w:proofErr w:type="gramEnd"/>
      <w:r w:rsidRPr="004C7951">
        <w:rPr>
          <w:rFonts w:asciiTheme="minorHAnsi" w:eastAsia="Times New Roman" w:hAnsiTheme="minorHAnsi" w:cs="Times New Roman"/>
          <w:bCs/>
          <w:i/>
          <w:color w:val="auto"/>
          <w:kern w:val="36"/>
          <w:sz w:val="20"/>
          <w:szCs w:val="20"/>
          <w:lang w:eastAsia="en-IE"/>
        </w:rPr>
        <w:t xml:space="preserve"> development, economic growth and the politics of universality</w:t>
      </w:r>
      <w:r w:rsidRPr="004C7951">
        <w:rPr>
          <w:rFonts w:asciiTheme="minorHAnsi" w:eastAsia="Times New Roman" w:hAnsiTheme="minorHAnsi" w:cs="Times New Roman"/>
          <w:bCs/>
          <w:color w:val="auto"/>
          <w:kern w:val="36"/>
          <w:sz w:val="20"/>
          <w:szCs w:val="20"/>
          <w:lang w:eastAsia="en-IE"/>
        </w:rPr>
        <w:t xml:space="preserve"> (Cambridge: Cambridge University Press, 2011). </w:t>
      </w:r>
    </w:p>
  </w:footnote>
  <w:footnote w:id="29">
    <w:p w14:paraId="4010EF80" w14:textId="77777777" w:rsidR="00F7113F" w:rsidRPr="004C7951" w:rsidRDefault="00F7113F" w:rsidP="000A3453">
      <w:pPr>
        <w:pStyle w:val="FootnoteText"/>
        <w:rPr>
          <w:lang w:val="en-CA"/>
        </w:rPr>
      </w:pPr>
      <w:r w:rsidRPr="004C7951">
        <w:rPr>
          <w:rStyle w:val="FootnoteReference"/>
        </w:rPr>
        <w:footnoteRef/>
      </w:r>
      <w:r w:rsidRPr="004C7951">
        <w:t xml:space="preserve"> I use the term ‘structural logic’ here drawing from its use by Matthew Craven, who describes it as a range of interventions that occupy ‘the ‘gap’ between reality and aspiration’ which can well have perverse outcomes. </w:t>
      </w:r>
      <w:r w:rsidRPr="004C7951">
        <w:rPr>
          <w:i/>
        </w:rPr>
        <w:t xml:space="preserve">Supra </w:t>
      </w:r>
      <w:r w:rsidRPr="004C7951">
        <w:t xml:space="preserve">note </w:t>
      </w:r>
      <w:r w:rsidR="004C7951" w:rsidRPr="004C7951">
        <w:t>13</w:t>
      </w:r>
      <w:r w:rsidRPr="004C7951">
        <w:t xml:space="preserve"> at 57-58.</w:t>
      </w:r>
    </w:p>
  </w:footnote>
  <w:footnote w:id="30">
    <w:p w14:paraId="4010EF81" w14:textId="77777777" w:rsidR="00F7113F" w:rsidRPr="004C7951" w:rsidRDefault="00F7113F">
      <w:pPr>
        <w:pStyle w:val="FootnoteText"/>
        <w:rPr>
          <w:lang w:val="en-CA"/>
        </w:rPr>
      </w:pPr>
      <w:r w:rsidRPr="004C7951">
        <w:rPr>
          <w:rStyle w:val="FootnoteReference"/>
        </w:rPr>
        <w:footnoteRef/>
      </w:r>
      <w:r w:rsidRPr="004C7951">
        <w:t xml:space="preserve"> European Union, </w:t>
      </w:r>
      <w:r w:rsidRPr="004C7951">
        <w:rPr>
          <w:i/>
          <w:iCs/>
        </w:rPr>
        <w:t>Treaty Establishing the European Community (Consolidated Version), Rome Treaty</w:t>
      </w:r>
      <w:r w:rsidRPr="004C7951">
        <w:t xml:space="preserve">, 25 March 1957, available at </w:t>
      </w:r>
      <w:hyperlink r:id="rId15" w:history="1">
        <w:r w:rsidRPr="004C7951">
          <w:rPr>
            <w:rStyle w:val="Hyperlink"/>
          </w:rPr>
          <w:t>http://eur-lex.europa.eu/legal-content/EN/TXT/?uri=uriserv%3Axy0023</w:t>
        </w:r>
      </w:hyperlink>
      <w:r w:rsidRPr="004C7951">
        <w:t xml:space="preserve">. </w:t>
      </w:r>
    </w:p>
  </w:footnote>
  <w:footnote w:id="31">
    <w:p w14:paraId="4010EF82" w14:textId="77777777" w:rsidR="00F7113F" w:rsidRPr="004C7951" w:rsidRDefault="00F7113F" w:rsidP="00724F12">
      <w:pPr>
        <w:autoSpaceDE w:val="0"/>
        <w:autoSpaceDN w:val="0"/>
        <w:adjustRightInd w:val="0"/>
        <w:spacing w:after="0" w:line="240" w:lineRule="auto"/>
        <w:rPr>
          <w:sz w:val="20"/>
          <w:szCs w:val="20"/>
          <w:lang w:val="en-CA"/>
        </w:rPr>
      </w:pPr>
      <w:r w:rsidRPr="004C7951">
        <w:rPr>
          <w:rStyle w:val="FootnoteReference"/>
          <w:sz w:val="20"/>
          <w:szCs w:val="20"/>
        </w:rPr>
        <w:footnoteRef/>
      </w:r>
      <w:r w:rsidRPr="004C7951">
        <w:rPr>
          <w:sz w:val="20"/>
          <w:szCs w:val="20"/>
        </w:rPr>
        <w:t xml:space="preserve"> By production, </w:t>
      </w:r>
      <w:r w:rsidRPr="004C7951">
        <w:rPr>
          <w:sz w:val="20"/>
          <w:szCs w:val="20"/>
          <w:lang w:val="en-CA"/>
        </w:rPr>
        <w:t>Schumann was referring to the Franco-German production of coal and steel here. It was to be “</w:t>
      </w:r>
      <w:r w:rsidRPr="004C7951">
        <w:rPr>
          <w:rFonts w:cs="Verdana"/>
          <w:color w:val="3E3E40"/>
          <w:sz w:val="20"/>
          <w:szCs w:val="20"/>
        </w:rPr>
        <w:t>under a common High Authority, within the framework of an organisation open to the participation of the other countries of Europe.” Declaration of 9</w:t>
      </w:r>
      <w:r w:rsidRPr="004C7951">
        <w:rPr>
          <w:rFonts w:cs="Verdana"/>
          <w:color w:val="3E3E40"/>
          <w:sz w:val="20"/>
          <w:szCs w:val="20"/>
          <w:vertAlign w:val="superscript"/>
        </w:rPr>
        <w:t>th</w:t>
      </w:r>
      <w:r w:rsidRPr="004C7951">
        <w:rPr>
          <w:rFonts w:cs="Verdana"/>
          <w:color w:val="3E3E40"/>
          <w:sz w:val="20"/>
          <w:szCs w:val="20"/>
        </w:rPr>
        <w:t xml:space="preserve"> </w:t>
      </w:r>
      <w:proofErr w:type="gramStart"/>
      <w:r w:rsidRPr="004C7951">
        <w:rPr>
          <w:rFonts w:cs="Verdana"/>
          <w:color w:val="3E3E40"/>
          <w:sz w:val="20"/>
          <w:szCs w:val="20"/>
        </w:rPr>
        <w:t>May,</w:t>
      </w:r>
      <w:proofErr w:type="gramEnd"/>
      <w:r w:rsidRPr="004C7951">
        <w:rPr>
          <w:rFonts w:cs="Verdana"/>
          <w:color w:val="3E3E40"/>
          <w:sz w:val="20"/>
          <w:szCs w:val="20"/>
        </w:rPr>
        <w:t xml:space="preserve"> 1950 delivered by Robert Schumann. Available at </w:t>
      </w:r>
      <w:hyperlink r:id="rId16" w:history="1">
        <w:r w:rsidRPr="004C7951">
          <w:rPr>
            <w:rStyle w:val="Hyperlink"/>
            <w:sz w:val="20"/>
            <w:szCs w:val="20"/>
          </w:rPr>
          <w:t>www.robert-</w:t>
        </w:r>
        <w:r w:rsidRPr="004C7951">
          <w:rPr>
            <w:rStyle w:val="Hyperlink"/>
            <w:bCs/>
            <w:sz w:val="20"/>
            <w:szCs w:val="20"/>
          </w:rPr>
          <w:t>schuman</w:t>
        </w:r>
        <w:r w:rsidRPr="004C7951">
          <w:rPr>
            <w:rStyle w:val="Hyperlink"/>
            <w:sz w:val="20"/>
            <w:szCs w:val="20"/>
          </w:rPr>
          <w:t>.eu/en/doc/questions-d-europe/qe-204-en.pdf</w:t>
        </w:r>
      </w:hyperlink>
      <w:r w:rsidRPr="004C7951">
        <w:rPr>
          <w:rStyle w:val="HTMLCite"/>
          <w:sz w:val="20"/>
          <w:szCs w:val="20"/>
        </w:rPr>
        <w:t xml:space="preserve">. </w:t>
      </w:r>
      <w:r w:rsidRPr="004C7951">
        <w:rPr>
          <w:rStyle w:val="HTMLCite"/>
          <w:i w:val="0"/>
          <w:sz w:val="20"/>
          <w:szCs w:val="20"/>
        </w:rPr>
        <w:t>Italics my own.</w:t>
      </w:r>
    </w:p>
  </w:footnote>
  <w:footnote w:id="32">
    <w:p w14:paraId="4010EF83"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 xml:space="preserve">Most of the participants at the conference were European and were early members of the EU.  These included Prussia (Germany), France, the Netherlands, Portugal, Hungary, Belgium, Denmark, Spain, the United Kingdom, </w:t>
      </w:r>
      <w:proofErr w:type="gramStart"/>
      <w:r w:rsidRPr="004C7951">
        <w:rPr>
          <w:lang w:val="en-CA"/>
        </w:rPr>
        <w:t>Italy</w:t>
      </w:r>
      <w:proofErr w:type="gramEnd"/>
      <w:r w:rsidRPr="004C7951">
        <w:rPr>
          <w:lang w:val="en-CA"/>
        </w:rPr>
        <w:t xml:space="preserve"> and Luxembourg. </w:t>
      </w:r>
    </w:p>
  </w:footnote>
  <w:footnote w:id="33">
    <w:p w14:paraId="4010EF84"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rFonts w:cs="AdvP3E76B0"/>
        </w:rPr>
        <w:t>General Act of Conference of Berlin Concerning the Congo, signed at Berlin, February 26</w:t>
      </w:r>
      <w:r w:rsidRPr="004C7951">
        <w:rPr>
          <w:rFonts w:cs="AdvP3E76B0"/>
          <w:vertAlign w:val="superscript"/>
        </w:rPr>
        <w:t>th</w:t>
      </w:r>
      <w:proofErr w:type="gramStart"/>
      <w:r w:rsidRPr="004C7951">
        <w:rPr>
          <w:rFonts w:cs="AdvP3E76B0"/>
        </w:rPr>
        <w:t xml:space="preserve"> 1885</w:t>
      </w:r>
      <w:proofErr w:type="gramEnd"/>
      <w:r w:rsidRPr="004C7951">
        <w:rPr>
          <w:rFonts w:cs="AdvP3E76B0"/>
        </w:rPr>
        <w:t>, 1909 3 AJIL 7. Italics my own. Article 6 exhorted “</w:t>
      </w:r>
      <w:r w:rsidRPr="004C7951">
        <w:rPr>
          <w:rFonts w:eastAsia="Times New Roman" w:cs="Times New Roman"/>
          <w:color w:val="000000"/>
          <w:lang w:val="en-CA" w:eastAsia="en-IE"/>
        </w:rPr>
        <w:t>All Powers [to]engage themselves to watch over the conservation of the indigenous populations and the amelioration of their moral and material conditions of existence and to strive for the suppression of slavery and especially of the negro slave trade; they shall protect …all the institutions and enterprises religious, scientific or charitable, created and organised for these objects or tending to instruct the natives and to make them understand and appreciate the advantages of civilisation.”</w:t>
      </w:r>
    </w:p>
  </w:footnote>
  <w:footnote w:id="34">
    <w:p w14:paraId="4010EF85" w14:textId="77777777" w:rsidR="00F7113F" w:rsidRPr="004C7951" w:rsidRDefault="00F7113F" w:rsidP="00F8550E">
      <w:pPr>
        <w:pStyle w:val="FootnoteText"/>
        <w:rPr>
          <w:lang w:val="en-CA"/>
        </w:rPr>
      </w:pPr>
      <w:r w:rsidRPr="004C7951">
        <w:rPr>
          <w:rStyle w:val="FootnoteReference"/>
        </w:rPr>
        <w:footnoteRef/>
      </w:r>
      <w:r w:rsidRPr="004C7951">
        <w:t xml:space="preserve"> </w:t>
      </w:r>
      <w:r w:rsidRPr="004C7951">
        <w:rPr>
          <w:lang w:val="en-CA"/>
        </w:rPr>
        <w:t>The Kenya Human Rights Commission (a private NGO) circulated an advertisement on EPAs in Kenya’s most widely circulated daily newspaper, ‘The Daily Nation’ on 5</w:t>
      </w:r>
      <w:r w:rsidRPr="004C7951">
        <w:rPr>
          <w:vertAlign w:val="superscript"/>
          <w:lang w:val="en-CA"/>
        </w:rPr>
        <w:t>th</w:t>
      </w:r>
      <w:r w:rsidRPr="004C7951">
        <w:rPr>
          <w:lang w:val="en-CA"/>
        </w:rPr>
        <w:t xml:space="preserve"> December 2008 with the stark title “EPA = Recolonisation of Kenya” over an image of Africans in chains (image on file with author) evoking slavery motifs. This link to colonial history was also prominent in more restrained, yet still critical, EPA commentary from stakeholders such as NGOs. See for example, Timothy Kondo, </w:t>
      </w:r>
      <w:r w:rsidRPr="004C7951">
        <w:rPr>
          <w:i/>
          <w:lang w:val="en-CA"/>
        </w:rPr>
        <w:t>Alternatives to the EU’s EPAs in South Africa</w:t>
      </w:r>
      <w:r w:rsidRPr="004C7951">
        <w:rPr>
          <w:lang w:val="en-CA"/>
        </w:rPr>
        <w:t xml:space="preserve"> (Comhlamh, 2012) at 6. The power of the ‘re-colonisation’ motif used by anti-EPA activists was recognised as difficult to challenge by EU and African state representatives at the time (communications on file with author).</w:t>
      </w:r>
    </w:p>
  </w:footnote>
  <w:footnote w:id="35">
    <w:p w14:paraId="4010EF86" w14:textId="77777777" w:rsidR="00F7113F" w:rsidRPr="004C7951" w:rsidRDefault="00F7113F" w:rsidP="00F8550E">
      <w:pPr>
        <w:pStyle w:val="FootnoteText"/>
        <w:rPr>
          <w:lang w:val="en-CA"/>
        </w:rPr>
      </w:pPr>
      <w:r w:rsidRPr="004C7951">
        <w:rPr>
          <w:rStyle w:val="FootnoteReference"/>
        </w:rPr>
        <w:footnoteRef/>
      </w:r>
      <w:r w:rsidRPr="004C7951">
        <w:t xml:space="preserve"> Anne Peters, ‘Treaties, Unequal’ in </w:t>
      </w:r>
      <w:r w:rsidRPr="004C7951">
        <w:rPr>
          <w:i/>
        </w:rPr>
        <w:t>Max Planck Encyclopedia of Public International Law</w:t>
      </w:r>
      <w:r w:rsidRPr="004C7951">
        <w:t xml:space="preserve"> at 1. </w:t>
      </w:r>
    </w:p>
  </w:footnote>
  <w:footnote w:id="36">
    <w:p w14:paraId="4010EF87" w14:textId="77777777" w:rsidR="00F7113F" w:rsidRPr="004C7951" w:rsidRDefault="00F7113F" w:rsidP="00F8550E">
      <w:pPr>
        <w:pStyle w:val="FootnoteText"/>
        <w:rPr>
          <w:lang w:val="en-CA"/>
        </w:rPr>
      </w:pPr>
      <w:r w:rsidRPr="004C7951">
        <w:rPr>
          <w:rStyle w:val="FootnoteReference"/>
        </w:rPr>
        <w:footnoteRef/>
      </w:r>
      <w:r w:rsidRPr="004C7951">
        <w:t xml:space="preserve"> </w:t>
      </w:r>
      <w:r w:rsidRPr="004C7951">
        <w:rPr>
          <w:lang w:val="en-CA"/>
        </w:rPr>
        <w:t xml:space="preserve">1858 with the US, Russia, the UK, </w:t>
      </w:r>
      <w:proofErr w:type="gramStart"/>
      <w:r w:rsidRPr="004C7951">
        <w:rPr>
          <w:lang w:val="en-CA"/>
        </w:rPr>
        <w:t>France</w:t>
      </w:r>
      <w:proofErr w:type="gramEnd"/>
      <w:r w:rsidRPr="004C7951">
        <w:rPr>
          <w:lang w:val="en-CA"/>
        </w:rPr>
        <w:t xml:space="preserve"> and the Netherlands. (</w:t>
      </w:r>
      <w:proofErr w:type="gramStart"/>
      <w:r w:rsidRPr="004C7951">
        <w:rPr>
          <w:lang w:val="en-CA"/>
        </w:rPr>
        <w:t>treaty</w:t>
      </w:r>
      <w:proofErr w:type="gramEnd"/>
      <w:r w:rsidRPr="004C7951">
        <w:rPr>
          <w:lang w:val="en-CA"/>
        </w:rPr>
        <w:t xml:space="preserve"> refs)</w:t>
      </w:r>
    </w:p>
  </w:footnote>
  <w:footnote w:id="37">
    <w:p w14:paraId="4010EF88" w14:textId="77777777" w:rsidR="00F7113F" w:rsidRPr="004C7951" w:rsidRDefault="00F7113F" w:rsidP="00F8550E">
      <w:pPr>
        <w:pStyle w:val="FootnoteText"/>
        <w:rPr>
          <w:lang w:val="en-CA"/>
        </w:rPr>
      </w:pPr>
      <w:r w:rsidRPr="004C7951">
        <w:rPr>
          <w:rStyle w:val="FootnoteReference"/>
        </w:rPr>
        <w:footnoteRef/>
      </w:r>
      <w:r w:rsidRPr="004C7951">
        <w:t xml:space="preserve"> </w:t>
      </w:r>
      <w:r w:rsidRPr="004C7951">
        <w:rPr>
          <w:lang w:val="en-CA"/>
        </w:rPr>
        <w:t xml:space="preserve">Several treaties concluded in the 1850s and 60s with, variously, the US, France, Denmark, Poland, the Netherlands, </w:t>
      </w:r>
      <w:proofErr w:type="gramStart"/>
      <w:r w:rsidRPr="004C7951">
        <w:rPr>
          <w:lang w:val="en-CA"/>
        </w:rPr>
        <w:t>Germany</w:t>
      </w:r>
      <w:proofErr w:type="gramEnd"/>
      <w:r w:rsidRPr="004C7951">
        <w:rPr>
          <w:lang w:val="en-CA"/>
        </w:rPr>
        <w:t xml:space="preserve"> and Spain. (</w:t>
      </w:r>
      <w:proofErr w:type="gramStart"/>
      <w:r w:rsidRPr="004C7951">
        <w:rPr>
          <w:lang w:val="en-CA"/>
        </w:rPr>
        <w:t>treaty</w:t>
      </w:r>
      <w:proofErr w:type="gramEnd"/>
      <w:r w:rsidRPr="004C7951">
        <w:rPr>
          <w:lang w:val="en-CA"/>
        </w:rPr>
        <w:t xml:space="preserve"> refs)</w:t>
      </w:r>
    </w:p>
  </w:footnote>
  <w:footnote w:id="38">
    <w:p w14:paraId="4010EF89" w14:textId="77777777" w:rsidR="00F7113F" w:rsidRPr="004C7951" w:rsidRDefault="00F7113F" w:rsidP="00F8550E">
      <w:pPr>
        <w:pStyle w:val="FootnoteText"/>
        <w:rPr>
          <w:lang w:val="en-CA"/>
        </w:rPr>
      </w:pPr>
      <w:r w:rsidRPr="004C7951">
        <w:rPr>
          <w:rStyle w:val="FootnoteReference"/>
        </w:rPr>
        <w:footnoteRef/>
      </w:r>
      <w:r w:rsidRPr="004C7951">
        <w:t xml:space="preserve"> </w:t>
      </w:r>
      <w:r w:rsidRPr="004C7951">
        <w:rPr>
          <w:lang w:val="en-CA"/>
        </w:rPr>
        <w:t xml:space="preserve">Treaties from the 1840s to 1901 with Britain, Russia and with Japan, the Netherlands, Spain, the USA, Italy, Germany, </w:t>
      </w:r>
      <w:proofErr w:type="gramStart"/>
      <w:r w:rsidRPr="004C7951">
        <w:rPr>
          <w:lang w:val="en-CA"/>
        </w:rPr>
        <w:t>Austria-Hungary</w:t>
      </w:r>
      <w:proofErr w:type="gramEnd"/>
      <w:r w:rsidRPr="004C7951">
        <w:rPr>
          <w:lang w:val="en-CA"/>
        </w:rPr>
        <w:t xml:space="preserve"> and France. (</w:t>
      </w:r>
      <w:proofErr w:type="gramStart"/>
      <w:r w:rsidRPr="004C7951">
        <w:rPr>
          <w:lang w:val="en-CA"/>
        </w:rPr>
        <w:t>treaty</w:t>
      </w:r>
      <w:proofErr w:type="gramEnd"/>
      <w:r w:rsidRPr="004C7951">
        <w:rPr>
          <w:lang w:val="en-CA"/>
        </w:rPr>
        <w:t xml:space="preserve"> refs).</w:t>
      </w:r>
    </w:p>
  </w:footnote>
  <w:footnote w:id="39">
    <w:p w14:paraId="4010EF8A" w14:textId="77777777" w:rsidR="00F7113F" w:rsidRPr="004C7951" w:rsidRDefault="00F7113F" w:rsidP="00F8550E">
      <w:pPr>
        <w:pStyle w:val="FootnoteText"/>
        <w:rPr>
          <w:lang w:val="en-CA"/>
        </w:rPr>
      </w:pPr>
      <w:r w:rsidRPr="004C7951">
        <w:rPr>
          <w:rStyle w:val="FootnoteReference"/>
        </w:rPr>
        <w:footnoteRef/>
      </w:r>
      <w:r w:rsidRPr="004C7951">
        <w:t xml:space="preserve"> </w:t>
      </w:r>
      <w:r w:rsidRPr="004C7951">
        <w:rPr>
          <w:lang w:val="en-CA"/>
        </w:rPr>
        <w:t xml:space="preserve">Craven, </w:t>
      </w:r>
      <w:r w:rsidRPr="004C7951">
        <w:rPr>
          <w:i/>
          <w:lang w:val="en-CA"/>
        </w:rPr>
        <w:t xml:space="preserve">supra </w:t>
      </w:r>
      <w:r w:rsidRPr="004C7951">
        <w:rPr>
          <w:lang w:val="en-CA"/>
        </w:rPr>
        <w:t xml:space="preserve">note </w:t>
      </w:r>
      <w:r w:rsidR="004C7951">
        <w:rPr>
          <w:lang w:val="en-CA"/>
        </w:rPr>
        <w:t>13</w:t>
      </w:r>
      <w:r w:rsidRPr="004C7951">
        <w:rPr>
          <w:lang w:val="en-CA"/>
        </w:rPr>
        <w:t xml:space="preserve"> at 343-345. </w:t>
      </w:r>
    </w:p>
  </w:footnote>
  <w:footnote w:id="40">
    <w:p w14:paraId="4010EF8B" w14:textId="77777777" w:rsidR="00F7113F" w:rsidRPr="004C7951" w:rsidRDefault="00F7113F">
      <w:pPr>
        <w:pStyle w:val="FootnoteText"/>
        <w:rPr>
          <w:lang w:val="en-CA"/>
        </w:rPr>
      </w:pPr>
      <w:r w:rsidRPr="004C7951">
        <w:rPr>
          <w:rStyle w:val="FootnoteReference"/>
        </w:rPr>
        <w:footnoteRef/>
      </w:r>
      <w:r w:rsidRPr="004C7951">
        <w:t xml:space="preserve"> However, this concept of ‘unequal treaty’ as one that recognises not just the procedural nature of its conclusion but also the unequal nature of its substantive content, is not recognised under the VCLT. In her analysis, </w:t>
      </w:r>
      <w:r w:rsidRPr="004C7951">
        <w:rPr>
          <w:lang w:val="en-CA"/>
        </w:rPr>
        <w:t xml:space="preserve">Peters, </w:t>
      </w:r>
      <w:r w:rsidRPr="004C7951">
        <w:rPr>
          <w:i/>
          <w:lang w:val="en-CA"/>
        </w:rPr>
        <w:t xml:space="preserve">supra </w:t>
      </w:r>
      <w:r w:rsidRPr="004C7951">
        <w:rPr>
          <w:lang w:val="en-CA"/>
        </w:rPr>
        <w:t xml:space="preserve">note X notes four potential grounds for a determination of a treaty being unequal, including lack of reciprocity, infringement of sovereignty, violation of ius cogens and a conflict with Article 103 of the UN Charter. None of these (other than reciprocity) address the substance of the treaty. In addition, she notes that each of these contains such significant legal weakness as to make effective resort to them legally unlikely. At 38-44. Li reaches a similar conclusion – Jangfeng Li, ‘Equal or unequal: Seeking a new paradigm for the misused theory of ‘Unequal Treaties” in contemporary international law.’ (2016) 38 Hous J Int’l L 465. </w:t>
      </w:r>
    </w:p>
  </w:footnote>
  <w:footnote w:id="41">
    <w:p w14:paraId="4010EF8C"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INcl details on EU proposals on liberalisation rates; on export taxes; on MFN etc. And details on negative development effects.</w:t>
      </w:r>
    </w:p>
  </w:footnote>
  <w:footnote w:id="42">
    <w:p w14:paraId="4010EF8D" w14:textId="77777777" w:rsidR="00381E01" w:rsidRPr="004C7951" w:rsidRDefault="00381E01">
      <w:pPr>
        <w:pStyle w:val="FootnoteText"/>
        <w:rPr>
          <w:lang w:val="en-CA"/>
        </w:rPr>
      </w:pPr>
      <w:r w:rsidRPr="004C7951">
        <w:rPr>
          <w:rStyle w:val="FootnoteReference"/>
        </w:rPr>
        <w:footnoteRef/>
      </w:r>
      <w:r w:rsidRPr="004C7951">
        <w:t xml:space="preserve"> </w:t>
      </w:r>
      <w:r w:rsidRPr="004C7951">
        <w:rPr>
          <w:lang w:val="en-CA"/>
        </w:rPr>
        <w:t xml:space="preserve">These critiques, though immensely valuable to revealing the inequalities inherent in the negotiations processes on EPAs and the problematic nature of the clauses on trade liberalisation of EPAS vis-à-vis what is permissible under international trade law, do so within a framework which accepts as given the rationales underpinning international trade law and seek ways to maximise LDC and developing country interests within this framework. See reports and analyses from South Centre; ECDPM (refs). </w:t>
      </w:r>
    </w:p>
  </w:footnote>
  <w:footnote w:id="43">
    <w:p w14:paraId="4010EF8E"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 xml:space="preserve">I use the term ‘tea and roses’ to draw attention to the disguised feminised nature of the ‘civilisation and commerce’ trope particular to international trade law. The products – tea and roses – are key exports from East Africa (Kenya in particular) to the EU. There is a symmetry to their production and eventual use that is deeply troubling from a feminist perspective. The production and export of these products rely on highly feminised labour practices that fail to adequately recognise women’s caring relations within their families and communities. Their end use as products </w:t>
      </w:r>
      <w:proofErr w:type="gramStart"/>
      <w:r w:rsidRPr="004C7951">
        <w:rPr>
          <w:lang w:val="en-CA"/>
        </w:rPr>
        <w:t>are</w:t>
      </w:r>
      <w:proofErr w:type="gramEnd"/>
      <w:r w:rsidRPr="004C7951">
        <w:rPr>
          <w:lang w:val="en-CA"/>
        </w:rPr>
        <w:t xml:space="preserve"> strongly associated with feminine ideals of family and social care (tea) and commodified romantic love (roses). </w:t>
      </w:r>
    </w:p>
  </w:footnote>
  <w:footnote w:id="44">
    <w:p w14:paraId="4010EF8F"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 xml:space="preserve">John F. Decker &amp; Peter G Baroni, “’No” Still Means “Yes”: The Failure of the “Non-Consent” Reform Movement in American Rape and Sexual Assault Law.” (2012) 101 J Crim L &amp; Criminology 1081. </w:t>
      </w:r>
    </w:p>
  </w:footnote>
  <w:footnote w:id="45">
    <w:p w14:paraId="4010EF90"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lang w:val="en-CA"/>
        </w:rPr>
        <w:t>They defined forcible compulsion as either a “[p]hysical force that overcomes reasonable resistance” or “a threat, express or implied, that places a person in reasonable fear of death, serious physical injury or kidnapping of such person or another person.” Decker &amp; Baroni</w:t>
      </w:r>
      <w:r w:rsidRPr="004C7951">
        <w:rPr>
          <w:i/>
          <w:lang w:val="en-CA"/>
        </w:rPr>
        <w:t xml:space="preserve"> ibid</w:t>
      </w:r>
      <w:r w:rsidRPr="004C7951">
        <w:rPr>
          <w:lang w:val="en-CA"/>
        </w:rPr>
        <w:t xml:space="preserve"> at footnote 8, 1083.</w:t>
      </w:r>
    </w:p>
  </w:footnote>
  <w:footnote w:id="46">
    <w:p w14:paraId="4010EF91" w14:textId="77777777" w:rsidR="00F7113F" w:rsidRPr="004C7951" w:rsidRDefault="00F7113F">
      <w:pPr>
        <w:pStyle w:val="FootnoteText"/>
        <w:rPr>
          <w:lang w:val="en-CA"/>
        </w:rPr>
      </w:pPr>
      <w:r w:rsidRPr="004C7951">
        <w:rPr>
          <w:rStyle w:val="FootnoteReference"/>
        </w:rPr>
        <w:footnoteRef/>
      </w:r>
      <w:r w:rsidRPr="004C7951">
        <w:t xml:space="preserve"> </w:t>
      </w:r>
      <w:r w:rsidRPr="004C7951">
        <w:rPr>
          <w:i/>
          <w:lang w:val="en-CA"/>
        </w:rPr>
        <w:t xml:space="preserve">Ibid </w:t>
      </w:r>
      <w:r w:rsidRPr="004C7951">
        <w:rPr>
          <w:lang w:val="en-CA"/>
        </w:rPr>
        <w:t>1125.</w:t>
      </w:r>
    </w:p>
  </w:footnote>
  <w:footnote w:id="47">
    <w:p w14:paraId="4010EF92" w14:textId="77777777" w:rsidR="009401FC" w:rsidRPr="004C7951" w:rsidRDefault="009401FC" w:rsidP="009401FC">
      <w:pPr>
        <w:pStyle w:val="FootnoteText"/>
        <w:rPr>
          <w:lang w:val="en-CA"/>
        </w:rPr>
      </w:pPr>
      <w:r w:rsidRPr="004C7951">
        <w:rPr>
          <w:rStyle w:val="FootnoteReference"/>
        </w:rPr>
        <w:footnoteRef/>
      </w:r>
      <w:r w:rsidRPr="004C7951">
        <w:t xml:space="preserve"> </w:t>
      </w:r>
      <w:r w:rsidRPr="004C7951">
        <w:rPr>
          <w:lang w:val="en-CA"/>
        </w:rPr>
        <w:t xml:space="preserve">Jane McGregor, </w:t>
      </w:r>
      <w:r w:rsidRPr="004C7951">
        <w:rPr>
          <w:i/>
          <w:lang w:val="en-CA"/>
        </w:rPr>
        <w:t>The Legal Heritage of the Crime of Rape</w:t>
      </w:r>
      <w:r w:rsidRPr="004C7951">
        <w:rPr>
          <w:lang w:val="en-CA"/>
        </w:rPr>
        <w:t xml:space="preserve"> (Routledge, </w:t>
      </w:r>
      <w:proofErr w:type="gramStart"/>
      <w:r w:rsidRPr="004C7951">
        <w:rPr>
          <w:lang w:val="en-CA"/>
        </w:rPr>
        <w:t>2011)at</w:t>
      </w:r>
      <w:proofErr w:type="gramEnd"/>
      <w:r w:rsidRPr="004C7951">
        <w:rPr>
          <w:lang w:val="en-CA"/>
        </w:rPr>
        <w:t xml:space="preserve"> 76. </w:t>
      </w:r>
    </w:p>
  </w:footnote>
  <w:footnote w:id="48">
    <w:p w14:paraId="4010EF93" w14:textId="77777777" w:rsidR="00B60E94" w:rsidRPr="004C7951" w:rsidRDefault="00B60E94" w:rsidP="00B60E94">
      <w:pPr>
        <w:pStyle w:val="FootnoteText"/>
        <w:rPr>
          <w:lang w:val="en-CA"/>
        </w:rPr>
      </w:pPr>
      <w:r w:rsidRPr="004C7951">
        <w:rPr>
          <w:rStyle w:val="FootnoteReference"/>
        </w:rPr>
        <w:footnoteRef/>
      </w:r>
      <w:r w:rsidRPr="004C7951">
        <w:t xml:space="preserve"> Susan Estrich, </w:t>
      </w:r>
      <w:r w:rsidRPr="004C7951">
        <w:rPr>
          <w:i/>
        </w:rPr>
        <w:t>Real Rape</w:t>
      </w:r>
      <w:r w:rsidRPr="004C7951">
        <w:t xml:space="preserve">. (Cambridge: Harvard University Press, 1987) quoted in </w:t>
      </w:r>
      <w:r w:rsidRPr="004C7951">
        <w:rPr>
          <w:lang w:val="en-CA"/>
        </w:rPr>
        <w:t xml:space="preserve">McGregor </w:t>
      </w:r>
      <w:r w:rsidRPr="004C7951">
        <w:rPr>
          <w:i/>
          <w:lang w:val="en-CA"/>
        </w:rPr>
        <w:t xml:space="preserve">infra </w:t>
      </w:r>
      <w:r w:rsidRPr="004C7951">
        <w:rPr>
          <w:lang w:val="en-CA"/>
        </w:rPr>
        <w:t xml:space="preserve">at 82. </w:t>
      </w:r>
    </w:p>
  </w:footnote>
  <w:footnote w:id="49">
    <w:p w14:paraId="4010EF94" w14:textId="77777777" w:rsidR="009D140D" w:rsidRPr="004C7951" w:rsidRDefault="009D140D" w:rsidP="009D140D">
      <w:pPr>
        <w:pStyle w:val="FootnoteText"/>
        <w:rPr>
          <w:lang w:val="en-CA"/>
        </w:rPr>
      </w:pPr>
      <w:r w:rsidRPr="004C7951">
        <w:rPr>
          <w:rStyle w:val="FootnoteReference"/>
        </w:rPr>
        <w:footnoteRef/>
      </w:r>
      <w:r w:rsidRPr="004C7951">
        <w:t xml:space="preserve"> </w:t>
      </w:r>
      <w:r w:rsidRPr="004C7951">
        <w:rPr>
          <w:lang w:val="en-CA"/>
        </w:rPr>
        <w:t xml:space="preserve">Rosemary Hunter, ‘Contesting the dominant Paradigm: Feminist Critiques of Legal Liberalism’ in Margaret Davies &amp; Vanessa Munroe (eds), </w:t>
      </w:r>
      <w:r w:rsidRPr="004C7951">
        <w:rPr>
          <w:i/>
          <w:lang w:val="en-CA"/>
        </w:rPr>
        <w:t>Ashgate Research Companion to Feminist Legal Theory</w:t>
      </w:r>
      <w:r w:rsidRPr="004C7951">
        <w:rPr>
          <w:lang w:val="en-CA"/>
        </w:rPr>
        <w:t xml:space="preserve">, (Abingdon, Oxon: Ashgate, 2013) at 13. She quotes Anna Grear’s description of the ‘paradigmatic legal subject’ as </w:t>
      </w:r>
      <w:r w:rsidRPr="004C7951">
        <w:rPr>
          <w:rFonts w:cs="PalatinoLinotype-Roman"/>
        </w:rPr>
        <w:t xml:space="preserve">a </w:t>
      </w:r>
      <w:r w:rsidR="004C7951" w:rsidRPr="004C7951">
        <w:rPr>
          <w:rFonts w:cs="PalatinoLinotype-Roman"/>
        </w:rPr>
        <w:t>‘</w:t>
      </w:r>
      <w:r w:rsidRPr="004C7951">
        <w:rPr>
          <w:rFonts w:cs="PalatinoLinotype-Roman"/>
        </w:rPr>
        <w:t xml:space="preserve">socially decontextualized, hyper-rational, wilful individual systematically stripped of embodied particularities </w:t>
      </w:r>
      <w:proofErr w:type="gramStart"/>
      <w:r w:rsidRPr="004C7951">
        <w:rPr>
          <w:rFonts w:cs="PalatinoLinotype-Roman"/>
        </w:rPr>
        <w:t>in order to</w:t>
      </w:r>
      <w:proofErr w:type="gramEnd"/>
      <w:r w:rsidRPr="004C7951">
        <w:rPr>
          <w:rFonts w:cs="PalatinoLinotype-Roman"/>
        </w:rPr>
        <w:t xml:space="preserve"> appear neutral and, of course, theoretically genderless, serving the mediation of power linked to property and capital accumulation’</w:t>
      </w:r>
    </w:p>
  </w:footnote>
  <w:footnote w:id="50">
    <w:p w14:paraId="4010EF95" w14:textId="77777777" w:rsidR="009D140D" w:rsidRPr="004C7951" w:rsidRDefault="009D140D" w:rsidP="009D140D">
      <w:pPr>
        <w:pStyle w:val="FootnoteText"/>
        <w:rPr>
          <w:lang w:val="en-CA"/>
        </w:rPr>
      </w:pPr>
      <w:r w:rsidRPr="004C7951">
        <w:rPr>
          <w:rStyle w:val="FootnoteReference"/>
        </w:rPr>
        <w:footnoteRef/>
      </w:r>
      <w:r w:rsidRPr="004C7951">
        <w:t xml:space="preserve"> </w:t>
      </w:r>
      <w:r w:rsidRPr="004C7951">
        <w:rPr>
          <w:lang w:val="en-CA"/>
        </w:rPr>
        <w:t xml:space="preserve">Matthew Lister, ‘The Legitimising Role of Consent in international Law’, (2010-2011) 11 Chi J Int’l L 663 who concludes that consent remains a fundamental legitimising device for international law, and Samantha Besson, ‘State Consent and Disagreement in international Law-Making’ (2016) LJInt’l L 289 who, though proposing an intriguing ‘disagreement-attuned’ account of consent, and recognising that ‘state consent should be expressed and </w:t>
      </w:r>
      <w:r w:rsidRPr="004C7951">
        <w:rPr>
          <w:i/>
          <w:lang w:val="en-CA"/>
        </w:rPr>
        <w:t>potentially</w:t>
      </w:r>
      <w:r w:rsidRPr="004C7951">
        <w:rPr>
          <w:lang w:val="en-CA"/>
        </w:rPr>
        <w:t xml:space="preserve"> exchanged in a fair and egalitarian fashion’ (own emphasis at 310), does not address the potential for coercion that disagreement and consent in the context of unequal relations between states could imply.</w:t>
      </w:r>
    </w:p>
  </w:footnote>
  <w:footnote w:id="51">
    <w:p w14:paraId="4010EF96" w14:textId="77777777" w:rsidR="009D140D" w:rsidRPr="004C7951" w:rsidRDefault="009D140D" w:rsidP="009D140D">
      <w:pPr>
        <w:pStyle w:val="FootnoteText"/>
        <w:rPr>
          <w:lang w:val="en-CA"/>
        </w:rPr>
      </w:pPr>
      <w:r w:rsidRPr="004C7951">
        <w:rPr>
          <w:rStyle w:val="FootnoteReference"/>
        </w:rPr>
        <w:footnoteRef/>
      </w:r>
      <w:r w:rsidRPr="004C7951">
        <w:t xml:space="preserve"> </w:t>
      </w:r>
      <w:r w:rsidRPr="004C7951">
        <w:rPr>
          <w:lang w:val="en-CA"/>
        </w:rPr>
        <w:t>Slaughter, Wendt</w:t>
      </w:r>
    </w:p>
  </w:footnote>
  <w:footnote w:id="52">
    <w:p w14:paraId="4010EF97" w14:textId="77777777" w:rsidR="009D140D" w:rsidRPr="004C7951" w:rsidRDefault="009D140D">
      <w:pPr>
        <w:pStyle w:val="FootnoteText"/>
        <w:rPr>
          <w:lang w:val="en-CA"/>
        </w:rPr>
      </w:pPr>
      <w:r w:rsidRPr="004C7951">
        <w:rPr>
          <w:rStyle w:val="FootnoteReference"/>
        </w:rPr>
        <w:footnoteRef/>
      </w:r>
      <w:r w:rsidRPr="004C7951">
        <w:t xml:space="preserve"> </w:t>
      </w:r>
      <w:r w:rsidR="004C7951" w:rsidRPr="004C7951">
        <w:t xml:space="preserve">Hunter, supra note 49 at </w:t>
      </w:r>
      <w:r w:rsidR="00E12285" w:rsidRPr="004C7951">
        <w:t xml:space="preserve">13 – 30. </w:t>
      </w:r>
      <w:r w:rsidRPr="004C7951">
        <w:rPr>
          <w:lang w:val="en-CA"/>
        </w:rPr>
        <w:t xml:space="preserve">See </w:t>
      </w:r>
      <w:r w:rsidR="004C7951" w:rsidRPr="004C7951">
        <w:rPr>
          <w:lang w:val="en-CA"/>
        </w:rPr>
        <w:t xml:space="preserve">also </w:t>
      </w:r>
      <w:r w:rsidRPr="004C7951">
        <w:rPr>
          <w:lang w:val="en-CA"/>
        </w:rPr>
        <w:t xml:space="preserve">the many prohibitions on bodily autonomy for women </w:t>
      </w:r>
      <w:r w:rsidR="00E12285" w:rsidRPr="004C7951">
        <w:rPr>
          <w:lang w:val="en-CA"/>
        </w:rPr>
        <w:t xml:space="preserve">that continue to exist </w:t>
      </w:r>
      <w:r w:rsidRPr="004C7951">
        <w:rPr>
          <w:lang w:val="en-CA"/>
        </w:rPr>
        <w:t>in relation to abortion</w:t>
      </w:r>
      <w:r w:rsidR="00E12285" w:rsidRPr="004C7951">
        <w:rPr>
          <w:lang w:val="en-CA"/>
        </w:rPr>
        <w:t xml:space="preserve"> which can affect, for example, their rights to travel beyond their own jurisdiction to receive health care. </w:t>
      </w:r>
    </w:p>
  </w:footnote>
  <w:footnote w:id="53">
    <w:p w14:paraId="4010EF98" w14:textId="77777777" w:rsidR="003C3116" w:rsidRPr="004C7951" w:rsidRDefault="003C3116" w:rsidP="00F4024C">
      <w:pPr>
        <w:pStyle w:val="Heading3"/>
        <w:rPr>
          <w:rFonts w:asciiTheme="minorHAnsi" w:hAnsiTheme="minorHAnsi"/>
          <w:sz w:val="20"/>
          <w:szCs w:val="20"/>
          <w:lang w:val="en-CA"/>
        </w:rPr>
      </w:pPr>
      <w:r w:rsidRPr="004C7951">
        <w:rPr>
          <w:rStyle w:val="FootnoteReference"/>
          <w:rFonts w:asciiTheme="minorHAnsi" w:hAnsiTheme="minorHAnsi"/>
          <w:color w:val="auto"/>
          <w:sz w:val="20"/>
          <w:szCs w:val="20"/>
        </w:rPr>
        <w:footnoteRef/>
      </w:r>
      <w:r w:rsidRPr="004C7951">
        <w:rPr>
          <w:rFonts w:asciiTheme="minorHAnsi" w:hAnsiTheme="minorHAnsi"/>
          <w:color w:val="auto"/>
          <w:sz w:val="20"/>
          <w:szCs w:val="20"/>
        </w:rPr>
        <w:t xml:space="preserve"> </w:t>
      </w:r>
      <w:r w:rsidRPr="004C7951">
        <w:rPr>
          <w:rFonts w:asciiTheme="minorHAnsi" w:hAnsiTheme="minorHAnsi"/>
          <w:color w:val="auto"/>
          <w:sz w:val="20"/>
          <w:szCs w:val="20"/>
          <w:lang w:val="en-CA"/>
        </w:rPr>
        <w:t>See for example</w:t>
      </w:r>
      <w:r w:rsidR="00E12285" w:rsidRPr="004C7951">
        <w:rPr>
          <w:rFonts w:asciiTheme="minorHAnsi" w:hAnsiTheme="minorHAnsi"/>
          <w:color w:val="auto"/>
          <w:sz w:val="20"/>
          <w:szCs w:val="20"/>
          <w:lang w:val="en-CA"/>
        </w:rPr>
        <w:t>,</w:t>
      </w:r>
      <w:r w:rsidRPr="004C7951">
        <w:rPr>
          <w:rFonts w:asciiTheme="minorHAnsi" w:hAnsiTheme="minorHAnsi"/>
          <w:color w:val="auto"/>
          <w:sz w:val="20"/>
          <w:szCs w:val="20"/>
          <w:lang w:val="en-CA"/>
        </w:rPr>
        <w:t xml:space="preserve"> the qualified critiques of the UN’s Security Council’s Women Peace and Security Agenda, which though welcoming the long-overdue explicit recognition of a women’s dimension to the UN’s Peace and Security Agenda, highlight </w:t>
      </w:r>
      <w:r w:rsidR="00E12285" w:rsidRPr="004C7951">
        <w:rPr>
          <w:rFonts w:asciiTheme="minorHAnsi" w:hAnsiTheme="minorHAnsi"/>
          <w:color w:val="auto"/>
          <w:sz w:val="20"/>
          <w:szCs w:val="20"/>
          <w:lang w:val="en-CA"/>
        </w:rPr>
        <w:t xml:space="preserve">a number of problematic aspects of this Agenda, including </w:t>
      </w:r>
      <w:r w:rsidRPr="004C7951">
        <w:rPr>
          <w:rFonts w:asciiTheme="minorHAnsi" w:hAnsiTheme="minorHAnsi"/>
          <w:color w:val="auto"/>
          <w:sz w:val="20"/>
          <w:szCs w:val="20"/>
          <w:lang w:val="en-CA"/>
        </w:rPr>
        <w:t>the continuing persistence of masculinised perceptions of, for exampl</w:t>
      </w:r>
      <w:r w:rsidR="00E12285" w:rsidRPr="004C7951">
        <w:rPr>
          <w:rFonts w:asciiTheme="minorHAnsi" w:hAnsiTheme="minorHAnsi"/>
          <w:color w:val="auto"/>
          <w:sz w:val="20"/>
          <w:szCs w:val="20"/>
          <w:lang w:val="en-CA"/>
        </w:rPr>
        <w:t>e, violence and accountability (</w:t>
      </w:r>
      <w:hyperlink r:id="rId17" w:history="1">
        <w:r w:rsidRPr="004C7951">
          <w:rPr>
            <w:rFonts w:asciiTheme="minorHAnsi" w:hAnsiTheme="minorHAnsi"/>
            <w:color w:val="auto"/>
            <w:sz w:val="20"/>
            <w:szCs w:val="20"/>
          </w:rPr>
          <w:t>Sahla Aroussi</w:t>
        </w:r>
      </w:hyperlink>
      <w:r w:rsidRPr="004C7951">
        <w:rPr>
          <w:rFonts w:asciiTheme="minorHAnsi" w:hAnsiTheme="minorHAnsi"/>
          <w:color w:val="auto"/>
          <w:sz w:val="20"/>
          <w:szCs w:val="20"/>
        </w:rPr>
        <w:t xml:space="preserve">, </w:t>
      </w:r>
      <w:r w:rsidR="00E12285" w:rsidRPr="004C7951">
        <w:rPr>
          <w:rFonts w:asciiTheme="minorHAnsi" w:hAnsiTheme="minorHAnsi"/>
          <w:color w:val="auto"/>
          <w:sz w:val="20"/>
          <w:szCs w:val="20"/>
        </w:rPr>
        <w:t>‘</w:t>
      </w:r>
      <w:r w:rsidRPr="004C7951">
        <w:rPr>
          <w:rFonts w:asciiTheme="minorHAnsi" w:eastAsia="Times New Roman" w:hAnsiTheme="minorHAnsi" w:cs="Times New Roman"/>
          <w:bCs/>
          <w:color w:val="auto"/>
          <w:sz w:val="20"/>
          <w:szCs w:val="20"/>
          <w:lang w:eastAsia="en-IE"/>
        </w:rPr>
        <w:t>Women, Peace and Security’: Addressing Accountabil</w:t>
      </w:r>
      <w:r w:rsidR="00E12285" w:rsidRPr="004C7951">
        <w:rPr>
          <w:rFonts w:asciiTheme="minorHAnsi" w:eastAsia="Times New Roman" w:hAnsiTheme="minorHAnsi" w:cs="Times New Roman"/>
          <w:bCs/>
          <w:color w:val="auto"/>
          <w:sz w:val="20"/>
          <w:szCs w:val="20"/>
          <w:lang w:eastAsia="en-IE"/>
        </w:rPr>
        <w:t>ity for Wartime Sexual Violence.’ (2011) 13 Int’l Fem J Pol 576); claims that it reinforces racial-sexual boundaries (Nicola Pratt, ‘Reconceptualizing Gender, Reinscribing Racial–Sexual Boundaries in International Security: The Case of UN Security Council Resolution 1325 on “Women, Peace and Security.”’ (2013) 57 Int’l Studies Qtr 772), and that opportunities for feminist theorising on a ‘re-gendering’ of the military remain under-attended to (</w:t>
      </w:r>
      <w:hyperlink r:id="rId18" w:history="1">
        <w:r w:rsidR="00E12285" w:rsidRPr="004C7951">
          <w:rPr>
            <w:rFonts w:asciiTheme="minorHAnsi" w:eastAsia="Times New Roman" w:hAnsiTheme="minorHAnsi" w:cs="Times New Roman"/>
            <w:color w:val="auto"/>
            <w:sz w:val="20"/>
            <w:szCs w:val="20"/>
            <w:lang w:eastAsia="en-IE"/>
          </w:rPr>
          <w:t>Claire Duncanson</w:t>
        </w:r>
      </w:hyperlink>
      <w:r w:rsidR="00E12285" w:rsidRPr="004C7951">
        <w:rPr>
          <w:rFonts w:asciiTheme="minorHAnsi" w:eastAsia="Times New Roman" w:hAnsiTheme="minorHAnsi" w:cs="Times New Roman"/>
          <w:color w:val="auto"/>
          <w:sz w:val="20"/>
          <w:szCs w:val="20"/>
          <w:lang w:eastAsia="en-IE"/>
        </w:rPr>
        <w:t xml:space="preserve">  &amp; </w:t>
      </w:r>
      <w:hyperlink r:id="rId19" w:history="1">
        <w:r w:rsidR="00E12285" w:rsidRPr="004C7951">
          <w:rPr>
            <w:rFonts w:asciiTheme="minorHAnsi" w:eastAsia="Times New Roman" w:hAnsiTheme="minorHAnsi" w:cs="Times New Roman"/>
            <w:color w:val="auto"/>
            <w:sz w:val="20"/>
            <w:szCs w:val="20"/>
            <w:lang w:eastAsia="en-IE"/>
          </w:rPr>
          <w:t>Rachel Woodward</w:t>
        </w:r>
      </w:hyperlink>
      <w:r w:rsidR="00E12285" w:rsidRPr="004C7951">
        <w:rPr>
          <w:rFonts w:asciiTheme="minorHAnsi" w:eastAsia="Times New Roman" w:hAnsiTheme="minorHAnsi" w:cs="Times New Roman"/>
          <w:color w:val="auto"/>
          <w:sz w:val="20"/>
          <w:szCs w:val="20"/>
          <w:lang w:eastAsia="en-IE"/>
        </w:rPr>
        <w:t>, ‘</w:t>
      </w:r>
      <w:r w:rsidR="00E12285" w:rsidRPr="004C7951">
        <w:rPr>
          <w:rFonts w:asciiTheme="minorHAnsi" w:eastAsia="Times New Roman" w:hAnsiTheme="minorHAnsi" w:cs="Times New Roman"/>
          <w:bCs/>
          <w:color w:val="auto"/>
          <w:sz w:val="20"/>
          <w:szCs w:val="20"/>
          <w:lang w:eastAsia="en-IE"/>
        </w:rPr>
        <w:t xml:space="preserve">Regendering the military: Theorizing women’s military participation.‘ (2016) 47 Sec Dialogue 3). </w:t>
      </w:r>
    </w:p>
  </w:footnote>
  <w:footnote w:id="54">
    <w:p w14:paraId="4010EF99" w14:textId="77777777" w:rsidR="00F4024C" w:rsidRPr="004C7951" w:rsidRDefault="00F4024C" w:rsidP="00F4024C">
      <w:pPr>
        <w:autoSpaceDE w:val="0"/>
        <w:autoSpaceDN w:val="0"/>
        <w:adjustRightInd w:val="0"/>
        <w:spacing w:after="0" w:line="240" w:lineRule="auto"/>
        <w:rPr>
          <w:sz w:val="20"/>
          <w:szCs w:val="20"/>
        </w:rPr>
      </w:pPr>
      <w:r w:rsidRPr="004C7951">
        <w:rPr>
          <w:rStyle w:val="FootnoteReference"/>
          <w:sz w:val="20"/>
          <w:szCs w:val="20"/>
        </w:rPr>
        <w:footnoteRef/>
      </w:r>
      <w:r w:rsidRPr="004C7951">
        <w:rPr>
          <w:sz w:val="20"/>
          <w:szCs w:val="20"/>
        </w:rPr>
        <w:t xml:space="preserve"> This issue is not normally prominent in critiques of EPAs. I have selected it as it is an aspect of international relations that is increasingly prominent as an international site and space of global governance, in which law plays a key role. However, the regional also retains potential </w:t>
      </w:r>
      <w:r w:rsidR="004C7951" w:rsidRPr="004C7951">
        <w:rPr>
          <w:sz w:val="20"/>
          <w:szCs w:val="20"/>
        </w:rPr>
        <w:t xml:space="preserve">as a legal space </w:t>
      </w:r>
      <w:r w:rsidRPr="004C7951">
        <w:rPr>
          <w:sz w:val="20"/>
          <w:szCs w:val="20"/>
        </w:rPr>
        <w:t xml:space="preserve">for the articulation of ideals not articulated within the international </w:t>
      </w:r>
      <w:r w:rsidR="004C7951" w:rsidRPr="004C7951">
        <w:rPr>
          <w:sz w:val="20"/>
          <w:szCs w:val="20"/>
        </w:rPr>
        <w:t xml:space="preserve">or domestic </w:t>
      </w:r>
      <w:r w:rsidRPr="004C7951">
        <w:rPr>
          <w:sz w:val="20"/>
          <w:szCs w:val="20"/>
        </w:rPr>
        <w:t>realm</w:t>
      </w:r>
      <w:r w:rsidR="004C7951" w:rsidRPr="004C7951">
        <w:rPr>
          <w:sz w:val="20"/>
          <w:szCs w:val="20"/>
        </w:rPr>
        <w:t>s</w:t>
      </w:r>
      <w:r w:rsidRPr="004C7951">
        <w:rPr>
          <w:sz w:val="20"/>
          <w:szCs w:val="20"/>
        </w:rPr>
        <w:t xml:space="preserve">. </w:t>
      </w:r>
      <w:r w:rsidRPr="004C7951">
        <w:rPr>
          <w:rFonts w:cs="Arial"/>
          <w:sz w:val="20"/>
          <w:szCs w:val="20"/>
        </w:rPr>
        <w:t>References to regionalism can be found in many aspects of the Cotonou Agreement</w:t>
      </w:r>
      <w:r w:rsidRPr="004C7951">
        <w:rPr>
          <w:sz w:val="20"/>
          <w:szCs w:val="20"/>
          <w:lang w:val="en-CA"/>
        </w:rPr>
        <w:t xml:space="preserve">. </w:t>
      </w:r>
    </w:p>
  </w:footnote>
  <w:footnote w:id="55">
    <w:p w14:paraId="4010EF9A" w14:textId="77777777" w:rsidR="00F4024C" w:rsidRPr="004C7951" w:rsidRDefault="00F4024C" w:rsidP="00F4024C">
      <w:pPr>
        <w:pStyle w:val="Heading3"/>
        <w:spacing w:before="0" w:line="240" w:lineRule="auto"/>
        <w:rPr>
          <w:rFonts w:asciiTheme="minorHAnsi" w:eastAsia="Times New Roman" w:hAnsiTheme="minorHAnsi" w:cs="Times New Roman"/>
          <w:bCs/>
          <w:color w:val="auto"/>
          <w:sz w:val="20"/>
          <w:szCs w:val="20"/>
          <w:lang w:eastAsia="en-IE"/>
        </w:rPr>
      </w:pPr>
      <w:r w:rsidRPr="004C7951">
        <w:rPr>
          <w:rStyle w:val="FootnoteReference"/>
          <w:rFonts w:asciiTheme="minorHAnsi" w:hAnsiTheme="minorHAnsi"/>
          <w:sz w:val="20"/>
          <w:szCs w:val="20"/>
        </w:rPr>
        <w:footnoteRef/>
      </w:r>
      <w:r w:rsidRPr="004C7951">
        <w:rPr>
          <w:rFonts w:asciiTheme="minorHAnsi" w:hAnsiTheme="minorHAnsi"/>
          <w:sz w:val="20"/>
          <w:szCs w:val="20"/>
        </w:rPr>
        <w:t xml:space="preserve"> </w:t>
      </w:r>
      <w:r w:rsidRPr="004C7951">
        <w:rPr>
          <w:rFonts w:asciiTheme="minorHAnsi" w:hAnsiTheme="minorHAnsi"/>
          <w:color w:val="auto"/>
          <w:sz w:val="20"/>
          <w:szCs w:val="20"/>
          <w:lang w:val="en-CA"/>
        </w:rPr>
        <w:t xml:space="preserve">John Ravenhill, ‘Regional Integration in Africa, Theory and Practice’ in Daniel </w:t>
      </w:r>
      <w:r w:rsidRPr="004C7951">
        <w:rPr>
          <w:rFonts w:asciiTheme="minorHAnsi" w:eastAsia="Times New Roman" w:hAnsiTheme="minorHAnsi" w:cs="Times New Roman"/>
          <w:bCs/>
          <w:color w:val="auto"/>
          <w:sz w:val="20"/>
          <w:szCs w:val="20"/>
          <w:lang w:eastAsia="en-IE"/>
        </w:rPr>
        <w:t xml:space="preserve">Levine &amp; Dawn Nagar (eds), </w:t>
      </w:r>
      <w:r w:rsidRPr="004C7951">
        <w:rPr>
          <w:rFonts w:asciiTheme="minorHAnsi" w:eastAsia="Times New Roman" w:hAnsiTheme="minorHAnsi" w:cs="Times New Roman"/>
          <w:bCs/>
          <w:i/>
          <w:color w:val="auto"/>
          <w:sz w:val="20"/>
          <w:szCs w:val="20"/>
          <w:lang w:eastAsia="en-IE"/>
        </w:rPr>
        <w:t>Region building in Africa: Political and Economic Challenges</w:t>
      </w:r>
      <w:r w:rsidRPr="004C7951">
        <w:rPr>
          <w:rFonts w:asciiTheme="minorHAnsi" w:eastAsia="Times New Roman" w:hAnsiTheme="minorHAnsi" w:cs="Times New Roman"/>
          <w:bCs/>
          <w:color w:val="auto"/>
          <w:sz w:val="20"/>
          <w:szCs w:val="20"/>
          <w:lang w:eastAsia="en-IE"/>
        </w:rPr>
        <w:t xml:space="preserve"> (New York: Palgrave Macmillan, 2016) at 41. </w:t>
      </w:r>
    </w:p>
  </w:footnote>
  <w:footnote w:id="56">
    <w:p w14:paraId="4010EF9B" w14:textId="77777777" w:rsidR="00F4024C" w:rsidRPr="004C7951" w:rsidRDefault="00F4024C" w:rsidP="00F4024C">
      <w:pPr>
        <w:pStyle w:val="FootnoteText"/>
        <w:rPr>
          <w:lang w:val="en-CA"/>
        </w:rPr>
      </w:pPr>
      <w:r w:rsidRPr="004C7951">
        <w:rPr>
          <w:rStyle w:val="FootnoteReference"/>
        </w:rPr>
        <w:footnoteRef/>
      </w:r>
      <w:r w:rsidRPr="004C7951">
        <w:t xml:space="preserve"> </w:t>
      </w:r>
      <w:r w:rsidR="005E3BCF" w:rsidRPr="004C7951">
        <w:rPr>
          <w:rFonts w:cs="Arial"/>
        </w:rPr>
        <w:t>Article 1(4) states that ‘Regional and sub-regional integration processes which foster the integration of the ACP countries into the world economy in terms of trade and private investment shall be encouraged and supported’. Article 2 mentions regionalisation as one of the fundamental principles, noting that ‘Particular emphasis shall be placed on the regional dimension’. With respect to economic and trade cooperation, Article 35.2 stipulates that ‘Economic and trade cooperation shall build on regional integration   initiatives of ACP States, bearing in mind that regional integration is a key instrument for the integration of ACP countries into the world economy’.</w:t>
      </w:r>
      <w:r w:rsidR="005E3BCF" w:rsidRPr="004C7951">
        <w:rPr>
          <w:lang w:val="en-CA"/>
        </w:rPr>
        <w:t xml:space="preserve"> </w:t>
      </w:r>
      <w:r w:rsidR="005E3BCF" w:rsidRPr="004C7951">
        <w:rPr>
          <w:rFonts w:cs="Arial"/>
        </w:rPr>
        <w:t>Article 37.5 which states that the negotiations of EPAs shall ‘tak[e] into account regional integration process within the ACP’.</w:t>
      </w:r>
    </w:p>
  </w:footnote>
  <w:footnote w:id="57">
    <w:p w14:paraId="4010EF9C" w14:textId="77777777" w:rsidR="00F4024C" w:rsidRPr="004C7951" w:rsidRDefault="00F4024C" w:rsidP="00F4024C">
      <w:pPr>
        <w:pStyle w:val="FootnoteText"/>
        <w:rPr>
          <w:lang w:val="en-CA"/>
        </w:rPr>
      </w:pPr>
      <w:r w:rsidRPr="004C7951">
        <w:rPr>
          <w:rStyle w:val="FootnoteReference"/>
        </w:rPr>
        <w:footnoteRef/>
      </w:r>
      <w:r w:rsidRPr="004C7951">
        <w:t xml:space="preserve"> This consisted of five components addressing issues in trade in services and goods, rules such as in SPS and IP, the establishment of regional enforcement mechanisms and other initiatives on regional co-operation.</w:t>
      </w:r>
      <w:r w:rsidR="004C7951" w:rsidRPr="004C7951">
        <w:rPr>
          <w:lang w:val="en-CA"/>
        </w:rPr>
        <w:t xml:space="preserve"> Philippe de Loumbarde, ‘Supporting Regional Integration – A Roadmap of Indicators and Tools.’ UNU/CRIS Occasional Papers 2003-3 at 5-6. Available at </w:t>
      </w:r>
      <w:hyperlink r:id="rId20" w:history="1">
        <w:r w:rsidR="004C7951" w:rsidRPr="004C7951">
          <w:rPr>
            <w:rStyle w:val="Hyperlink"/>
            <w:lang w:val="en-CA"/>
          </w:rPr>
          <w:t>www</w:t>
        </w:r>
        <w:r w:rsidR="004C7951" w:rsidRPr="004C7951">
          <w:rPr>
            <w:rStyle w:val="Hyperlink"/>
            <w:i/>
            <w:lang w:val="en-CA"/>
          </w:rPr>
          <w:t>.</w:t>
        </w:r>
        <w:r w:rsidR="004C7951" w:rsidRPr="004C7951">
          <w:rPr>
            <w:rStyle w:val="Hyperlink"/>
          </w:rPr>
          <w:t>cris.unu.edu/sites/cris.unu.edu/files/O-</w:t>
        </w:r>
        <w:r w:rsidR="004C7951" w:rsidRPr="004C7951">
          <w:rPr>
            <w:rStyle w:val="Hyperlink"/>
            <w:b/>
            <w:bCs/>
          </w:rPr>
          <w:t>2003</w:t>
        </w:r>
        <w:r w:rsidR="004C7951" w:rsidRPr="004C7951">
          <w:rPr>
            <w:rStyle w:val="Hyperlink"/>
          </w:rPr>
          <w:t>-3.pdf</w:t>
        </w:r>
      </w:hyperlink>
      <w:r w:rsidR="004C7951" w:rsidRPr="004C7951">
        <w:rPr>
          <w:rStyle w:val="HTMLCite"/>
          <w:i w:val="0"/>
        </w:rPr>
        <w:t>.</w:t>
      </w:r>
    </w:p>
  </w:footnote>
  <w:footnote w:id="58">
    <w:p w14:paraId="4010EF9D" w14:textId="77777777" w:rsidR="00F4024C" w:rsidRPr="004C7951" w:rsidRDefault="00F4024C" w:rsidP="00F4024C">
      <w:pPr>
        <w:pStyle w:val="FootnoteText"/>
      </w:pPr>
      <w:r w:rsidRPr="004C7951">
        <w:rPr>
          <w:rStyle w:val="FootnoteReference"/>
        </w:rPr>
        <w:footnoteRef/>
      </w:r>
      <w:r w:rsidRPr="004C7951">
        <w:t xml:space="preserve"> Bilal and Stevens demonstrate this complexity when attempting to capture the impact of proposed liberalisation commitments in the ESA region. Five ESA states had initialled an iEPA with the same text at the end of 2007 (Comoros, Madagascar, Mauritius, Seychelles, and Zimbabwe). All of them also established their liberalisation schedules in relation to the COMESA common external tariff (CET). During 2008, Zambia also initialled the iEPA text (meaning that six of the 11 ESA countries had then done so), but its liberalisation schedule was completely different, with no reference to a CET and different start and end dates. Thus, the ESA iEPA consisted of five partly and one completely different country cases.  Sanoussi Bilal &amp; Christopher Stevens (eds), </w:t>
      </w:r>
      <w:r w:rsidRPr="004C7951">
        <w:rPr>
          <w:i/>
        </w:rPr>
        <w:t xml:space="preserve">The Interim Economic Partnership Agreements between the EU and African States. Contents, </w:t>
      </w:r>
      <w:proofErr w:type="gramStart"/>
      <w:r w:rsidRPr="004C7951">
        <w:rPr>
          <w:i/>
        </w:rPr>
        <w:t>challenges</w:t>
      </w:r>
      <w:proofErr w:type="gramEnd"/>
      <w:r w:rsidRPr="004C7951">
        <w:rPr>
          <w:i/>
        </w:rPr>
        <w:t xml:space="preserve"> and prospects. </w:t>
      </w:r>
      <w:r w:rsidRPr="004C7951">
        <w:t xml:space="preserve">ECPDM Policy Management Report No. 17. (Maastricht: ECPDM, 2009) at 138. The original ESA group at the start of the EPA negotiations included the East African Community (EAC) states of Burundi, Kenya, Rwanda, </w:t>
      </w:r>
      <w:proofErr w:type="gramStart"/>
      <w:r w:rsidRPr="004C7951">
        <w:t>Tanzania</w:t>
      </w:r>
      <w:proofErr w:type="gramEnd"/>
      <w:r w:rsidRPr="004C7951">
        <w:t xml:space="preserve"> and Uganda, however in 2007, they agreed a separate iEPA based on the newly formed EAC customs union. </w:t>
      </w:r>
    </w:p>
  </w:footnote>
  <w:footnote w:id="59">
    <w:p w14:paraId="4010EF9E" w14:textId="77777777" w:rsidR="00F4024C" w:rsidRPr="004C7951" w:rsidRDefault="00F4024C" w:rsidP="00F4024C">
      <w:pPr>
        <w:pStyle w:val="FootnoteText"/>
      </w:pPr>
      <w:r w:rsidRPr="004C7951">
        <w:rPr>
          <w:rStyle w:val="FootnoteReference"/>
        </w:rPr>
        <w:footnoteRef/>
      </w:r>
      <w:r w:rsidRPr="004C7951">
        <w:t xml:space="preserve"> Stephen R. Hurt, ‘Co-operation and Coercion? The Cotonou Agreement between the European Union and ACP States and the end of the Lomé Convention,’ (2003) 24 Third W Qtly (1) 161 at 173. </w:t>
      </w:r>
    </w:p>
  </w:footnote>
  <w:footnote w:id="60">
    <w:p w14:paraId="4010EF9F" w14:textId="77777777" w:rsidR="00B23C6C" w:rsidRPr="004C7951" w:rsidRDefault="00B23C6C" w:rsidP="00B23C6C">
      <w:pPr>
        <w:spacing w:after="0"/>
        <w:rPr>
          <w:rFonts w:eastAsia="Times New Roman" w:cs="Times New Roman"/>
          <w:sz w:val="20"/>
          <w:szCs w:val="20"/>
          <w:lang w:eastAsia="en-CA"/>
        </w:rPr>
      </w:pPr>
      <w:r w:rsidRPr="004C7951">
        <w:rPr>
          <w:rStyle w:val="FootnoteReference"/>
          <w:sz w:val="20"/>
          <w:szCs w:val="20"/>
        </w:rPr>
        <w:footnoteRef/>
      </w:r>
      <w:r w:rsidRPr="004C7951">
        <w:rPr>
          <w:sz w:val="20"/>
          <w:szCs w:val="20"/>
        </w:rPr>
        <w:t xml:space="preserve"> </w:t>
      </w:r>
      <w:r w:rsidRPr="004C7951">
        <w:rPr>
          <w:rFonts w:eastAsia="Times New Roman" w:cs="Times New Roman"/>
          <w:sz w:val="20"/>
          <w:szCs w:val="20"/>
          <w:lang w:eastAsia="en-CA"/>
        </w:rPr>
        <w:t xml:space="preserve">T Dinka &amp; W Kennes, ‘Africa's Regional Integration Arrangements: History and Challenges.  ECDPM Discussion Paper 74, (Maastricht: ECDPM, 2007). Available at </w:t>
      </w:r>
      <w:hyperlink r:id="rId21" w:anchor="sthash.y6RUJa5g.dpuf" w:history="1">
        <w:r w:rsidRPr="004C7951">
          <w:rPr>
            <w:rStyle w:val="Hyperlink"/>
            <w:rFonts w:eastAsia="Times New Roman" w:cs="Times New Roman"/>
            <w:sz w:val="20"/>
            <w:szCs w:val="20"/>
            <w:lang w:eastAsia="en-CA"/>
          </w:rPr>
          <w:t>http://www.ecdpm.org/Web_ECDPM/Web/Content/Content.nsf/0/0AFF1EE6DDE15146C12579CE004774B2?OpenDocument#sthash.y6RUJa5g.dpuf</w:t>
        </w:r>
      </w:hyperlink>
      <w:r w:rsidRPr="004C7951">
        <w:rPr>
          <w:rFonts w:eastAsia="Times New Roman" w:cs="Times New Roman"/>
          <w:sz w:val="20"/>
          <w:szCs w:val="20"/>
          <w:lang w:eastAsia="en-CA"/>
        </w:rPr>
        <w:t xml:space="preserve">. Community levies also emerged as an issue for CEMAC. See European Parliament DG for External Policies, </w:t>
      </w:r>
      <w:r w:rsidRPr="004C7951">
        <w:rPr>
          <w:rFonts w:eastAsia="Times New Roman" w:cs="Times New Roman"/>
          <w:i/>
          <w:sz w:val="20"/>
          <w:szCs w:val="20"/>
          <w:lang w:eastAsia="en-CA"/>
        </w:rPr>
        <w:t>African, Caribbean and Pacific (ACP) countries’ positions on Economic Partnership Agreements (ACP)</w:t>
      </w:r>
      <w:r w:rsidRPr="004C7951">
        <w:rPr>
          <w:rFonts w:eastAsia="Times New Roman" w:cs="Times New Roman"/>
          <w:sz w:val="20"/>
          <w:szCs w:val="20"/>
          <w:lang w:eastAsia="en-CA"/>
        </w:rPr>
        <w:t xml:space="preserve"> </w:t>
      </w:r>
      <w:r w:rsidRPr="004C7951">
        <w:rPr>
          <w:rFonts w:cs="MyriadPro,Bold"/>
          <w:bCs/>
          <w:color w:val="333333"/>
          <w:sz w:val="20"/>
          <w:szCs w:val="20"/>
        </w:rPr>
        <w:t xml:space="preserve">EXPO/B/DEVE/2013/30, (European Union, 2014) at 34. Available at </w:t>
      </w:r>
      <w:hyperlink r:id="rId22" w:history="1">
        <w:r w:rsidRPr="004C7951">
          <w:rPr>
            <w:rStyle w:val="Hyperlink"/>
            <w:rFonts w:cs="MyriadPro"/>
            <w:sz w:val="20"/>
            <w:szCs w:val="20"/>
          </w:rPr>
          <w:t>http://www.europarl.europa.eu/activities/committees/studies.do?language=EN</w:t>
        </w:r>
      </w:hyperlink>
      <w:r w:rsidRPr="004C7951">
        <w:rPr>
          <w:rFonts w:cs="MyriadPro"/>
          <w:color w:val="0000FF"/>
          <w:sz w:val="20"/>
          <w:szCs w:val="20"/>
        </w:rPr>
        <w:t xml:space="preserve">. </w:t>
      </w:r>
    </w:p>
  </w:footnote>
  <w:footnote w:id="61">
    <w:p w14:paraId="4010EFA0" w14:textId="77777777" w:rsidR="00B23C6C" w:rsidRPr="004C7951" w:rsidRDefault="00B23C6C" w:rsidP="00B23C6C">
      <w:pPr>
        <w:pStyle w:val="FootnoteText"/>
        <w:rPr>
          <w:lang w:val="en-CA"/>
        </w:rPr>
      </w:pPr>
      <w:r w:rsidRPr="004C7951">
        <w:rPr>
          <w:rStyle w:val="FootnoteReference"/>
        </w:rPr>
        <w:footnoteRef/>
      </w:r>
      <w:r w:rsidRPr="004C7951">
        <w:t xml:space="preserve"> </w:t>
      </w:r>
      <w:r w:rsidRPr="004C7951">
        <w:rPr>
          <w:lang w:val="en-CA"/>
        </w:rPr>
        <w:t>Refs in newspaper…….</w:t>
      </w:r>
    </w:p>
  </w:footnote>
  <w:footnote w:id="62">
    <w:p w14:paraId="4010EFA1" w14:textId="77777777" w:rsidR="007813BC" w:rsidRPr="004C7951" w:rsidRDefault="007813BC">
      <w:pPr>
        <w:pStyle w:val="FootnoteText"/>
        <w:rPr>
          <w:lang w:val="en-CA"/>
        </w:rPr>
      </w:pPr>
      <w:r w:rsidRPr="004C7951">
        <w:rPr>
          <w:rStyle w:val="FootnoteReference"/>
        </w:rPr>
        <w:footnoteRef/>
      </w:r>
      <w:r w:rsidRPr="004C7951">
        <w:t xml:space="preserve"> </w:t>
      </w:r>
      <w:r w:rsidRPr="004C7951">
        <w:rPr>
          <w:lang w:val="en-CA"/>
        </w:rPr>
        <w:t xml:space="preserve">James Thuo Gathii, ‘African Regional Trade Regimes as Flexible Legal Regimes.’ Albany Law School Working Paper Series 20 (2009) at 2. </w:t>
      </w:r>
    </w:p>
  </w:footnote>
  <w:footnote w:id="63">
    <w:p w14:paraId="4010EFA2" w14:textId="77777777" w:rsidR="00B23C6C" w:rsidRPr="004C7951" w:rsidRDefault="00B23C6C">
      <w:pPr>
        <w:pStyle w:val="FootnoteText"/>
        <w:rPr>
          <w:i/>
          <w:lang w:val="en-CA"/>
        </w:rPr>
      </w:pPr>
      <w:r w:rsidRPr="004C7951">
        <w:rPr>
          <w:rStyle w:val="FootnoteReference"/>
        </w:rPr>
        <w:footnoteRef/>
      </w:r>
      <w:r w:rsidRPr="004C7951">
        <w:t xml:space="preserve"> </w:t>
      </w:r>
      <w:r w:rsidRPr="004C7951">
        <w:rPr>
          <w:i/>
          <w:lang w:val="en-CA"/>
        </w:rPr>
        <w:t xml:space="preserve">Ibid. </w:t>
      </w:r>
    </w:p>
  </w:footnote>
  <w:footnote w:id="64">
    <w:p w14:paraId="4010EFA3" w14:textId="77777777" w:rsidR="002725A2" w:rsidRPr="004C7951" w:rsidRDefault="002725A2">
      <w:pPr>
        <w:pStyle w:val="FootnoteText"/>
        <w:rPr>
          <w:lang w:val="en-CA"/>
        </w:rPr>
      </w:pPr>
      <w:r w:rsidRPr="004C7951">
        <w:rPr>
          <w:rStyle w:val="FootnoteReference"/>
        </w:rPr>
        <w:footnoteRef/>
      </w:r>
      <w:r w:rsidRPr="004C7951">
        <w:t xml:space="preserve"> </w:t>
      </w:r>
      <w:r w:rsidRPr="004C7951">
        <w:rPr>
          <w:lang w:val="en-CA"/>
        </w:rPr>
        <w:t xml:space="preserve">Ravenhill, </w:t>
      </w:r>
      <w:r w:rsidRPr="004C7951">
        <w:rPr>
          <w:i/>
          <w:lang w:val="en-CA"/>
        </w:rPr>
        <w:t xml:space="preserve">supra </w:t>
      </w:r>
      <w:r w:rsidR="004C7951">
        <w:rPr>
          <w:lang w:val="en-CA"/>
        </w:rPr>
        <w:t>note 55</w:t>
      </w:r>
      <w:r w:rsidRPr="004C7951">
        <w:rPr>
          <w:lang w:val="en-CA"/>
        </w:rPr>
        <w:t xml:space="preserve"> at 45-46.  </w:t>
      </w:r>
    </w:p>
  </w:footnote>
  <w:footnote w:id="65">
    <w:p w14:paraId="4010EFA4" w14:textId="77777777" w:rsidR="00EA78D6" w:rsidRPr="004C7951" w:rsidRDefault="00EA78D6">
      <w:pPr>
        <w:pStyle w:val="FootnoteText"/>
        <w:rPr>
          <w:lang w:val="en-CA"/>
        </w:rPr>
      </w:pPr>
      <w:r w:rsidRPr="004C7951">
        <w:rPr>
          <w:rStyle w:val="FootnoteReference"/>
        </w:rPr>
        <w:footnoteRef/>
      </w:r>
      <w:r w:rsidRPr="004C7951">
        <w:t xml:space="preserve"> </w:t>
      </w:r>
      <w:r w:rsidRPr="004C7951">
        <w:rPr>
          <w:lang w:val="en-CA"/>
        </w:rPr>
        <w:t xml:space="preserve">Anne Orford, “Beyond Harmonization: Trade, Human Rights and the Economy of Sacrifice” in (2005) 18 L J Int’l Law 179 at 198. </w:t>
      </w:r>
    </w:p>
  </w:footnote>
  <w:footnote w:id="66">
    <w:p w14:paraId="4010EFA5" w14:textId="77777777" w:rsidR="00C724DB" w:rsidRPr="004C7951" w:rsidRDefault="00C724DB">
      <w:pPr>
        <w:pStyle w:val="FootnoteText"/>
        <w:rPr>
          <w:lang w:val="en-CA"/>
        </w:rPr>
      </w:pPr>
      <w:r w:rsidRPr="004C7951">
        <w:rPr>
          <w:rStyle w:val="FootnoteReference"/>
        </w:rPr>
        <w:footnoteRef/>
      </w:r>
      <w:r w:rsidRPr="004C7951">
        <w:t xml:space="preserve"> </w:t>
      </w:r>
      <w:r w:rsidRPr="004C7951">
        <w:rPr>
          <w:lang w:val="en-CA"/>
        </w:rPr>
        <w:t xml:space="preserve">She describes how the Report of an Appellate Body decision on </w:t>
      </w:r>
      <w:r w:rsidRPr="004C7951">
        <w:rPr>
          <w:i/>
          <w:lang w:val="en-CA"/>
        </w:rPr>
        <w:t>EC Measures Concerning Meat and Meat Products</w:t>
      </w:r>
      <w:r w:rsidRPr="004C7951">
        <w:rPr>
          <w:lang w:val="en-CA"/>
        </w:rPr>
        <w:t xml:space="preserve"> (EC-Hormones) dispute (, WT/DS26/AB/R, WT/DS48/AB/R, Report of the Appellate Body, adopted 13 February 1998, DSR 1998, 135, included a particular decision-making approach to food safety that challenged the scientific evidence relied upon by the EU to evaluate the carcinogenic potential of one hormone. The Appellate Body held that even if the scientific evidence concerning the risk to women was correct, only 371 women currently living in the member states of the EU would die </w:t>
      </w:r>
      <w:proofErr w:type="gramStart"/>
      <w:r w:rsidRPr="004C7951">
        <w:rPr>
          <w:lang w:val="en-CA"/>
        </w:rPr>
        <w:t>as a result of</w:t>
      </w:r>
      <w:proofErr w:type="gramEnd"/>
      <w:r w:rsidRPr="004C7951">
        <w:rPr>
          <w:lang w:val="en-CA"/>
        </w:rPr>
        <w:t xml:space="preserve"> trade in hormone-related beef, while the EU’s total population in 1995 was 371 million. Orford correctly draws the Appellate Body’s implication that the deaths of this number of women would not justify enacting measures that would halt or hamper the trade in hormone-treated beef. </w:t>
      </w:r>
      <w:r w:rsidRPr="004C7951">
        <w:rPr>
          <w:i/>
          <w:lang w:val="en-CA"/>
        </w:rPr>
        <w:t xml:space="preserve">Ibid </w:t>
      </w:r>
      <w:r w:rsidRPr="004C7951">
        <w:rPr>
          <w:lang w:val="en-CA"/>
        </w:rPr>
        <w:t xml:space="preserve">191. </w:t>
      </w:r>
    </w:p>
  </w:footnote>
  <w:footnote w:id="67">
    <w:p w14:paraId="4010EFA6" w14:textId="77777777" w:rsidR="007369AD" w:rsidRPr="004C7951" w:rsidRDefault="007369AD">
      <w:pPr>
        <w:pStyle w:val="FootnoteText"/>
        <w:rPr>
          <w:lang w:val="en-CA"/>
        </w:rPr>
      </w:pPr>
      <w:r w:rsidRPr="004C7951">
        <w:rPr>
          <w:rStyle w:val="FootnoteReference"/>
        </w:rPr>
        <w:footnoteRef/>
      </w:r>
      <w:r w:rsidRPr="004C7951">
        <w:t xml:space="preserve"> It includes a commitment to develop “a methodology to aid consideration of the human rights situation in third countries in connection with the launch or conclusion of trade and/or investment agreements.” (</w:t>
      </w:r>
      <w:proofErr w:type="gramStart"/>
      <w:r w:rsidRPr="004C7951">
        <w:t>ref</w:t>
      </w:r>
      <w:proofErr w:type="gramEnd"/>
      <w:r w:rsidRPr="004C7951">
        <w:t xml:space="preserve"> to source). </w:t>
      </w:r>
      <w:r w:rsidR="005E3BCF" w:rsidRPr="004C7951">
        <w:t xml:space="preserve">There is now a burgeoning literature on HRIAs of trade agreements that seeks to identify the impacts of trade agreements on international trade and investment agreements, towards better law- and </w:t>
      </w:r>
      <w:proofErr w:type="gramStart"/>
      <w:r w:rsidR="005E3BCF" w:rsidRPr="004C7951">
        <w:t>policy-making</w:t>
      </w:r>
      <w:proofErr w:type="gramEnd"/>
      <w:r w:rsidR="005E3BCF" w:rsidRPr="004C7951">
        <w:t xml:space="preserve"> on trade. See for example, Walker, Harisson, de Schutter (refs)</w:t>
      </w:r>
    </w:p>
  </w:footnote>
  <w:footnote w:id="68">
    <w:p w14:paraId="4010EFA7" w14:textId="77777777" w:rsidR="007369AD" w:rsidRPr="004C7951" w:rsidRDefault="007369AD" w:rsidP="005E3BCF">
      <w:pPr>
        <w:autoSpaceDE w:val="0"/>
        <w:autoSpaceDN w:val="0"/>
        <w:adjustRightInd w:val="0"/>
        <w:spacing w:after="0" w:line="240" w:lineRule="auto"/>
        <w:rPr>
          <w:sz w:val="20"/>
          <w:szCs w:val="20"/>
          <w:lang w:val="en-CA"/>
        </w:rPr>
      </w:pPr>
      <w:r w:rsidRPr="004C7951">
        <w:rPr>
          <w:rStyle w:val="FootnoteReference"/>
          <w:sz w:val="20"/>
          <w:szCs w:val="20"/>
        </w:rPr>
        <w:footnoteRef/>
      </w:r>
      <w:r w:rsidRPr="004C7951">
        <w:rPr>
          <w:sz w:val="20"/>
          <w:szCs w:val="20"/>
        </w:rPr>
        <w:t xml:space="preserve"> ‘Guidelines’ were produced in July 2015. European Commission DG Trade, </w:t>
      </w:r>
      <w:r w:rsidRPr="004C7951">
        <w:rPr>
          <w:rFonts w:cs="Cambria"/>
          <w:color w:val="000000"/>
          <w:sz w:val="20"/>
          <w:szCs w:val="20"/>
        </w:rPr>
        <w:t>‘</w:t>
      </w:r>
      <w:r w:rsidRPr="004C7951">
        <w:rPr>
          <w:rFonts w:cs="Cambria"/>
          <w:bCs/>
          <w:i/>
          <w:color w:val="000000"/>
          <w:sz w:val="20"/>
          <w:szCs w:val="20"/>
        </w:rPr>
        <w:t>Guidelines on the analysis of human rights impacts in impact assessments for trade-related policy initiatives</w:t>
      </w:r>
      <w:r w:rsidRPr="004C7951">
        <w:rPr>
          <w:rFonts w:cs="Cambria"/>
          <w:bCs/>
          <w:color w:val="000000"/>
          <w:sz w:val="20"/>
          <w:szCs w:val="20"/>
        </w:rPr>
        <w:t xml:space="preserve">,’ (undated) Available at </w:t>
      </w:r>
      <w:hyperlink r:id="rId23" w:history="1">
        <w:r w:rsidRPr="004C7951">
          <w:rPr>
            <w:rStyle w:val="Hyperlink"/>
            <w:rFonts w:cs="Cambria"/>
            <w:bCs/>
            <w:sz w:val="20"/>
            <w:szCs w:val="20"/>
          </w:rPr>
          <w:t>http://trade.ec.europa.eu/doclib/press/index.cfm?id=1344</w:t>
        </w:r>
      </w:hyperlink>
      <w:r w:rsidRPr="004C7951">
        <w:rPr>
          <w:rFonts w:cs="Cambria"/>
          <w:bCs/>
          <w:color w:val="000000"/>
          <w:sz w:val="20"/>
          <w:szCs w:val="20"/>
        </w:rPr>
        <w:t xml:space="preserve">. At 7. </w:t>
      </w:r>
    </w:p>
  </w:footnote>
  <w:footnote w:id="69">
    <w:p w14:paraId="4010EFA8" w14:textId="77777777" w:rsidR="000E525F" w:rsidRPr="004C7951" w:rsidRDefault="000E525F" w:rsidP="000E525F">
      <w:pPr>
        <w:autoSpaceDE w:val="0"/>
        <w:autoSpaceDN w:val="0"/>
        <w:adjustRightInd w:val="0"/>
        <w:spacing w:after="0" w:line="240" w:lineRule="auto"/>
        <w:rPr>
          <w:rFonts w:cs="Verdana,Bold"/>
          <w:bCs/>
          <w:sz w:val="20"/>
          <w:szCs w:val="20"/>
        </w:rPr>
      </w:pPr>
      <w:r w:rsidRPr="004C7951">
        <w:rPr>
          <w:rStyle w:val="FootnoteReference"/>
          <w:sz w:val="20"/>
          <w:szCs w:val="20"/>
        </w:rPr>
        <w:footnoteRef/>
      </w:r>
      <w:r w:rsidRPr="004C7951">
        <w:rPr>
          <w:sz w:val="20"/>
          <w:szCs w:val="20"/>
        </w:rPr>
        <w:t xml:space="preserve"> </w:t>
      </w:r>
      <w:r w:rsidRPr="004C7951">
        <w:rPr>
          <w:sz w:val="20"/>
          <w:szCs w:val="20"/>
          <w:lang w:val="en-CA"/>
        </w:rPr>
        <w:t>See for example the European Commission’s DG Trade reports on ‘</w:t>
      </w:r>
      <w:r w:rsidRPr="004C7951">
        <w:rPr>
          <w:sz w:val="20"/>
          <w:szCs w:val="20"/>
        </w:rPr>
        <w:t xml:space="preserve">‘The Economic Impact of the SADC EPA Group - EU Economic Partnership Agreement’ June 2016, and ‘The Economic Impact of the West Africa – EU Economic Partnership Agreement’ March 2016, available at </w:t>
      </w:r>
      <w:hyperlink r:id="rId24" w:history="1">
        <w:r w:rsidRPr="004C7951">
          <w:rPr>
            <w:rStyle w:val="Hyperlink"/>
            <w:sz w:val="20"/>
            <w:szCs w:val="20"/>
          </w:rPr>
          <w:t>http://trade.ec.europa.eu/doclib/press/index.cfm?id=1344</w:t>
        </w:r>
      </w:hyperlink>
      <w:r w:rsidRPr="004C7951">
        <w:rPr>
          <w:sz w:val="20"/>
          <w:szCs w:val="20"/>
        </w:rPr>
        <w:t xml:space="preserve">. Neither report included a gender analysis of the economic impact of either EPA. </w:t>
      </w:r>
    </w:p>
  </w:footnote>
  <w:footnote w:id="70">
    <w:p w14:paraId="4010EFA9" w14:textId="77777777" w:rsidR="000E525F" w:rsidRPr="004C7951" w:rsidRDefault="000E525F" w:rsidP="000E525F">
      <w:pPr>
        <w:autoSpaceDE w:val="0"/>
        <w:autoSpaceDN w:val="0"/>
        <w:adjustRightInd w:val="0"/>
        <w:spacing w:after="0" w:line="240" w:lineRule="auto"/>
        <w:rPr>
          <w:sz w:val="20"/>
          <w:szCs w:val="20"/>
          <w:lang w:val="en-CA"/>
        </w:rPr>
      </w:pPr>
      <w:r w:rsidRPr="004C7951">
        <w:rPr>
          <w:rStyle w:val="FootnoteReference"/>
          <w:sz w:val="20"/>
          <w:szCs w:val="20"/>
        </w:rPr>
        <w:footnoteRef/>
      </w:r>
      <w:r w:rsidRPr="004C7951">
        <w:rPr>
          <w:sz w:val="20"/>
          <w:szCs w:val="20"/>
        </w:rPr>
        <w:t xml:space="preserve"> </w:t>
      </w:r>
      <w:r w:rsidRPr="004C7951">
        <w:rPr>
          <w:rFonts w:cs="Times New Roman"/>
          <w:sz w:val="20"/>
          <w:szCs w:val="20"/>
        </w:rPr>
        <w:t xml:space="preserve">In Kenya, for example, over 80% of women live in the rural areas where majority are engaged in the farming of food and cash crops, livestock keeping and other agro-based income generating activities. Women form about 70% of all employees in the agricultural sector and their wages are low and uncertain. See CEDAW, </w:t>
      </w:r>
      <w:r w:rsidRPr="004C7951">
        <w:rPr>
          <w:rFonts w:cs="Times New Roman"/>
          <w:bCs/>
          <w:sz w:val="20"/>
          <w:szCs w:val="20"/>
        </w:rPr>
        <w:t>Combined fifth and sixth periodic reports of States parties, Kenya, 16</w:t>
      </w:r>
      <w:r w:rsidRPr="004C7951">
        <w:rPr>
          <w:rFonts w:cs="Times New Roman"/>
          <w:bCs/>
          <w:sz w:val="20"/>
          <w:szCs w:val="20"/>
          <w:vertAlign w:val="superscript"/>
        </w:rPr>
        <w:t>th</w:t>
      </w:r>
      <w:r w:rsidRPr="004C7951">
        <w:rPr>
          <w:rFonts w:cs="Times New Roman"/>
          <w:bCs/>
          <w:sz w:val="20"/>
          <w:szCs w:val="20"/>
        </w:rPr>
        <w:t xml:space="preserve"> October 2006, CEDAW/C/KEN/6 at para 140, pg 38. </w:t>
      </w:r>
    </w:p>
  </w:footnote>
  <w:footnote w:id="71">
    <w:p w14:paraId="4010EFAA" w14:textId="77777777" w:rsidR="004C7951" w:rsidRPr="004C7951" w:rsidRDefault="004C7951">
      <w:pPr>
        <w:pStyle w:val="FootnoteText"/>
        <w:rPr>
          <w:lang w:val="en-CA"/>
        </w:rPr>
      </w:pPr>
      <w:r w:rsidRPr="004C7951">
        <w:rPr>
          <w:rStyle w:val="FootnoteReference"/>
        </w:rPr>
        <w:footnoteRef/>
      </w:r>
      <w:r w:rsidRPr="004C7951">
        <w:t xml:space="preserve"> </w:t>
      </w:r>
      <w:r w:rsidRPr="004C7951">
        <w:rPr>
          <w:lang w:val="en-CA"/>
        </w:rPr>
        <w:t>Article 1 (ref CPA)</w:t>
      </w:r>
    </w:p>
  </w:footnote>
  <w:footnote w:id="72">
    <w:p w14:paraId="4010EFAB" w14:textId="77777777" w:rsidR="004C7951" w:rsidRPr="004C7951" w:rsidRDefault="004C7951">
      <w:pPr>
        <w:pStyle w:val="FootnoteText"/>
        <w:rPr>
          <w:lang w:val="en-CA"/>
        </w:rPr>
      </w:pPr>
      <w:r w:rsidRPr="004C7951">
        <w:rPr>
          <w:rStyle w:val="FootnoteReference"/>
        </w:rPr>
        <w:footnoteRef/>
      </w:r>
      <w:r w:rsidRPr="004C7951">
        <w:t xml:space="preserve"> </w:t>
      </w:r>
      <w:r w:rsidRPr="004C7951">
        <w:rPr>
          <w:lang w:val="en-CA"/>
        </w:rPr>
        <w:t>Articles 8, 20, 31 and 31a. See also clauses in iEPAs</w:t>
      </w:r>
      <w:proofErr w:type="gramStart"/>
      <w:r w:rsidRPr="004C7951">
        <w:rPr>
          <w:lang w:val="en-CA"/>
        </w:rPr>
        <w:t>….refs</w:t>
      </w:r>
      <w:proofErr w:type="gramEnd"/>
      <w:r w:rsidRPr="004C7951">
        <w:rPr>
          <w:lang w:val="en-CA"/>
        </w:rPr>
        <w:t>….</w:t>
      </w:r>
    </w:p>
  </w:footnote>
  <w:footnote w:id="73">
    <w:p w14:paraId="4010EFAC" w14:textId="77777777" w:rsidR="004C7951" w:rsidRPr="004C7951" w:rsidRDefault="004C7951" w:rsidP="004C7951">
      <w:pPr>
        <w:autoSpaceDE w:val="0"/>
        <w:autoSpaceDN w:val="0"/>
        <w:adjustRightInd w:val="0"/>
        <w:spacing w:after="0" w:line="240" w:lineRule="auto"/>
        <w:rPr>
          <w:sz w:val="20"/>
          <w:szCs w:val="20"/>
        </w:rPr>
      </w:pPr>
      <w:r w:rsidRPr="004C7951">
        <w:rPr>
          <w:rStyle w:val="FootnoteReference"/>
          <w:sz w:val="20"/>
          <w:szCs w:val="20"/>
        </w:rPr>
        <w:footnoteRef/>
      </w:r>
      <w:r w:rsidRPr="004C7951">
        <w:rPr>
          <w:sz w:val="20"/>
          <w:szCs w:val="20"/>
        </w:rPr>
        <w:t xml:space="preserve"> Jacqui True, </w:t>
      </w:r>
      <w:r w:rsidRPr="004C7951">
        <w:rPr>
          <w:rFonts w:cs="TimesNewRomanPS-BoldMT"/>
          <w:bCs/>
          <w:sz w:val="20"/>
          <w:szCs w:val="20"/>
        </w:rPr>
        <w:t>‘</w:t>
      </w:r>
      <w:r>
        <w:rPr>
          <w:rFonts w:cs="TimesNewRomanPS-BoldMT"/>
          <w:bCs/>
          <w:sz w:val="20"/>
          <w:szCs w:val="20"/>
        </w:rPr>
        <w:t>T</w:t>
      </w:r>
      <w:r w:rsidRPr="004C7951">
        <w:rPr>
          <w:rFonts w:cs="TimesNewRomanPS-BoldMT"/>
          <w:bCs/>
          <w:sz w:val="20"/>
          <w:szCs w:val="20"/>
        </w:rPr>
        <w:t xml:space="preserve">rading-Off Gender Equality for Global Europe? The European Union and Free Trade </w:t>
      </w:r>
      <w:r>
        <w:rPr>
          <w:rFonts w:cs="TimesNewRomanPS-BoldMT"/>
          <w:bCs/>
          <w:sz w:val="20"/>
          <w:szCs w:val="20"/>
        </w:rPr>
        <w:t>A</w:t>
      </w:r>
      <w:r w:rsidRPr="004C7951">
        <w:rPr>
          <w:rFonts w:cs="TimesNewRomanPS-BoldMT"/>
          <w:bCs/>
          <w:sz w:val="20"/>
          <w:szCs w:val="20"/>
        </w:rPr>
        <w:t xml:space="preserve">greements.’ </w:t>
      </w:r>
      <w:r w:rsidRPr="004C7951">
        <w:rPr>
          <w:sz w:val="20"/>
          <w:szCs w:val="20"/>
        </w:rPr>
        <w:t xml:space="preserve">2009 14 </w:t>
      </w:r>
      <w:r w:rsidRPr="004C7951">
        <w:rPr>
          <w:rFonts w:cs="TimesNewRomanPS-ItalicMT"/>
          <w:iCs/>
          <w:sz w:val="20"/>
          <w:szCs w:val="20"/>
        </w:rPr>
        <w:t xml:space="preserve">European </w:t>
      </w:r>
      <w:proofErr w:type="gramStart"/>
      <w:r w:rsidRPr="004C7951">
        <w:rPr>
          <w:rFonts w:cs="TimesNewRomanPS-ItalicMT"/>
          <w:iCs/>
          <w:sz w:val="20"/>
          <w:szCs w:val="20"/>
        </w:rPr>
        <w:t>For</w:t>
      </w:r>
      <w:proofErr w:type="gramEnd"/>
      <w:r w:rsidRPr="004C7951">
        <w:rPr>
          <w:rFonts w:cs="TimesNewRomanPS-ItalicMT"/>
          <w:iCs/>
          <w:sz w:val="20"/>
          <w:szCs w:val="20"/>
        </w:rPr>
        <w:t xml:space="preserve"> Aff Rev</w:t>
      </w:r>
      <w:r w:rsidRPr="004C7951">
        <w:rPr>
          <w:rFonts w:cs="TimesNewRomanPS-BoldMT"/>
          <w:bCs/>
          <w:sz w:val="20"/>
          <w:szCs w:val="20"/>
        </w:rPr>
        <w:t xml:space="preserve"> 7</w:t>
      </w:r>
      <w:r w:rsidRPr="004C7951">
        <w:rPr>
          <w:rFonts w:cs="TimesNewRomanPSMT"/>
          <w:sz w:val="20"/>
          <w:szCs w:val="20"/>
        </w:rPr>
        <w:t>23 at 741-742.</w:t>
      </w:r>
    </w:p>
  </w:footnote>
  <w:footnote w:id="74">
    <w:p w14:paraId="4010EFAD" w14:textId="77777777" w:rsidR="004C7951" w:rsidRPr="004C7951" w:rsidRDefault="004C7951" w:rsidP="004C7951">
      <w:pPr>
        <w:pStyle w:val="FootnoteText"/>
        <w:rPr>
          <w:lang w:val="en-CA"/>
        </w:rPr>
      </w:pPr>
      <w:r w:rsidRPr="004C7951">
        <w:rPr>
          <w:rStyle w:val="FootnoteReference"/>
        </w:rPr>
        <w:footnoteRef/>
      </w:r>
      <w:r w:rsidRPr="004C7951">
        <w:rPr>
          <w:rStyle w:val="FootnoteReference"/>
        </w:rPr>
        <w:footnoteRef/>
      </w:r>
      <w:r w:rsidRPr="004C7951">
        <w:t xml:space="preserve"> </w:t>
      </w:r>
      <w:r w:rsidRPr="004C7951">
        <w:rPr>
          <w:lang w:val="en-CA"/>
        </w:rPr>
        <w:t xml:space="preserve">Drakopolou, </w:t>
      </w:r>
      <w:r w:rsidRPr="004C7951">
        <w:rPr>
          <w:i/>
          <w:lang w:val="en-CA"/>
        </w:rPr>
        <w:t>supra</w:t>
      </w:r>
      <w:r w:rsidRPr="004C7951">
        <w:rPr>
          <w:lang w:val="en-CA"/>
        </w:rPr>
        <w:t xml:space="preserve"> note </w:t>
      </w:r>
      <w:r>
        <w:rPr>
          <w:lang w:val="en-CA"/>
        </w:rPr>
        <w:t>12</w:t>
      </w:r>
      <w:r w:rsidRPr="004C7951">
        <w:rPr>
          <w:lang w:val="en-CA"/>
        </w:rPr>
        <w:t xml:space="preserve"> at 55. </w:t>
      </w:r>
    </w:p>
  </w:footnote>
  <w:footnote w:id="75">
    <w:p w14:paraId="4010EFAE" w14:textId="77777777" w:rsidR="0036262F" w:rsidRPr="004C7951" w:rsidRDefault="0036262F" w:rsidP="0036262F">
      <w:pPr>
        <w:pStyle w:val="FootnoteText"/>
        <w:rPr>
          <w:lang w:val="en-CA"/>
        </w:rPr>
      </w:pPr>
      <w:r w:rsidRPr="004C7951">
        <w:rPr>
          <w:rStyle w:val="FootnoteReference"/>
        </w:rPr>
        <w:footnoteRef/>
      </w:r>
      <w:r w:rsidRPr="004C7951">
        <w:t xml:space="preserve"> </w:t>
      </w:r>
      <w:r w:rsidRPr="004C7951">
        <w:rPr>
          <w:lang w:val="en-CA"/>
        </w:rPr>
        <w:t xml:space="preserve">Articles 19 – 23 address reservations.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D80"/>
    <w:multiLevelType w:val="hybridMultilevel"/>
    <w:tmpl w:val="6F78B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935D8"/>
    <w:multiLevelType w:val="hybridMultilevel"/>
    <w:tmpl w:val="9B325916"/>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0722312"/>
    <w:multiLevelType w:val="hybridMultilevel"/>
    <w:tmpl w:val="58A88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DC5EC5"/>
    <w:multiLevelType w:val="hybridMultilevel"/>
    <w:tmpl w:val="FC40E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A85586"/>
    <w:multiLevelType w:val="multilevel"/>
    <w:tmpl w:val="602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A0B74"/>
    <w:multiLevelType w:val="hybridMultilevel"/>
    <w:tmpl w:val="75E42326"/>
    <w:lvl w:ilvl="0" w:tplc="38C65F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F11D21"/>
    <w:multiLevelType w:val="hybridMultilevel"/>
    <w:tmpl w:val="F9C82F2C"/>
    <w:lvl w:ilvl="0" w:tplc="6A1E960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8FA0E69"/>
    <w:multiLevelType w:val="hybridMultilevel"/>
    <w:tmpl w:val="F224E4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93531D"/>
    <w:multiLevelType w:val="hybridMultilevel"/>
    <w:tmpl w:val="872E6BD2"/>
    <w:lvl w:ilvl="0" w:tplc="55FAD7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7C4CF6"/>
    <w:multiLevelType w:val="hybridMultilevel"/>
    <w:tmpl w:val="8B5262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D15345A"/>
    <w:multiLevelType w:val="hybridMultilevel"/>
    <w:tmpl w:val="1ED67930"/>
    <w:lvl w:ilvl="0" w:tplc="FBC2D6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25824DA"/>
    <w:multiLevelType w:val="hybridMultilevel"/>
    <w:tmpl w:val="5330CD04"/>
    <w:lvl w:ilvl="0" w:tplc="998C13D2">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11"/>
  </w:num>
  <w:num w:numId="5">
    <w:abstractNumId w:val="8"/>
  </w:num>
  <w:num w:numId="6">
    <w:abstractNumId w:val="10"/>
  </w:num>
  <w:num w:numId="7">
    <w:abstractNumId w:val="5"/>
  </w:num>
  <w:num w:numId="8">
    <w:abstractNumId w:val="2"/>
  </w:num>
  <w:num w:numId="9">
    <w:abstractNumId w:val="3"/>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A9"/>
    <w:rsid w:val="00013852"/>
    <w:rsid w:val="00013AA2"/>
    <w:rsid w:val="00016DB2"/>
    <w:rsid w:val="0002435D"/>
    <w:rsid w:val="00046436"/>
    <w:rsid w:val="000502F1"/>
    <w:rsid w:val="00052C75"/>
    <w:rsid w:val="00062B7A"/>
    <w:rsid w:val="00070EFB"/>
    <w:rsid w:val="00076207"/>
    <w:rsid w:val="00085050"/>
    <w:rsid w:val="000869D3"/>
    <w:rsid w:val="00092984"/>
    <w:rsid w:val="000A3453"/>
    <w:rsid w:val="000A7687"/>
    <w:rsid w:val="000B7ABA"/>
    <w:rsid w:val="000C3C15"/>
    <w:rsid w:val="000E525F"/>
    <w:rsid w:val="000E7780"/>
    <w:rsid w:val="000F176A"/>
    <w:rsid w:val="000F73C5"/>
    <w:rsid w:val="00100D92"/>
    <w:rsid w:val="00106E35"/>
    <w:rsid w:val="00123E7E"/>
    <w:rsid w:val="001445D6"/>
    <w:rsid w:val="00146DAD"/>
    <w:rsid w:val="00160B85"/>
    <w:rsid w:val="00180688"/>
    <w:rsid w:val="00181FF2"/>
    <w:rsid w:val="00182378"/>
    <w:rsid w:val="00186F41"/>
    <w:rsid w:val="001921BB"/>
    <w:rsid w:val="00192F0A"/>
    <w:rsid w:val="001A1D42"/>
    <w:rsid w:val="001C5980"/>
    <w:rsid w:val="001D62C3"/>
    <w:rsid w:val="001E195B"/>
    <w:rsid w:val="001F2558"/>
    <w:rsid w:val="001F4220"/>
    <w:rsid w:val="002174A3"/>
    <w:rsid w:val="00232BA8"/>
    <w:rsid w:val="002336ED"/>
    <w:rsid w:val="002418B0"/>
    <w:rsid w:val="00246E8E"/>
    <w:rsid w:val="00252ACA"/>
    <w:rsid w:val="002725A2"/>
    <w:rsid w:val="00284FC6"/>
    <w:rsid w:val="00286296"/>
    <w:rsid w:val="002A0245"/>
    <w:rsid w:val="002A05CD"/>
    <w:rsid w:val="002E4BBC"/>
    <w:rsid w:val="002E5FD6"/>
    <w:rsid w:val="002E6F2A"/>
    <w:rsid w:val="002F1269"/>
    <w:rsid w:val="002F35C1"/>
    <w:rsid w:val="003054F4"/>
    <w:rsid w:val="00310237"/>
    <w:rsid w:val="00310A29"/>
    <w:rsid w:val="00322649"/>
    <w:rsid w:val="00326286"/>
    <w:rsid w:val="003273A1"/>
    <w:rsid w:val="00342C56"/>
    <w:rsid w:val="00344113"/>
    <w:rsid w:val="00350188"/>
    <w:rsid w:val="00351EE2"/>
    <w:rsid w:val="0036262F"/>
    <w:rsid w:val="003659A8"/>
    <w:rsid w:val="0036714B"/>
    <w:rsid w:val="00371904"/>
    <w:rsid w:val="003768D4"/>
    <w:rsid w:val="00381E01"/>
    <w:rsid w:val="003900C8"/>
    <w:rsid w:val="003904BF"/>
    <w:rsid w:val="00392FB2"/>
    <w:rsid w:val="003978A5"/>
    <w:rsid w:val="003A0690"/>
    <w:rsid w:val="003A0CD9"/>
    <w:rsid w:val="003C2DEA"/>
    <w:rsid w:val="003C3116"/>
    <w:rsid w:val="003C3150"/>
    <w:rsid w:val="003D20E9"/>
    <w:rsid w:val="003E5BF3"/>
    <w:rsid w:val="003F3AF3"/>
    <w:rsid w:val="003F611F"/>
    <w:rsid w:val="00414735"/>
    <w:rsid w:val="004214E7"/>
    <w:rsid w:val="004258AC"/>
    <w:rsid w:val="004278C8"/>
    <w:rsid w:val="0043397E"/>
    <w:rsid w:val="004430E6"/>
    <w:rsid w:val="00474A0C"/>
    <w:rsid w:val="00475F1C"/>
    <w:rsid w:val="0048093C"/>
    <w:rsid w:val="00492B0A"/>
    <w:rsid w:val="00496768"/>
    <w:rsid w:val="004A5690"/>
    <w:rsid w:val="004C2C29"/>
    <w:rsid w:val="004C32D3"/>
    <w:rsid w:val="004C7951"/>
    <w:rsid w:val="004D532E"/>
    <w:rsid w:val="004E4680"/>
    <w:rsid w:val="004F1109"/>
    <w:rsid w:val="004F2251"/>
    <w:rsid w:val="00517125"/>
    <w:rsid w:val="00535A8F"/>
    <w:rsid w:val="005362F2"/>
    <w:rsid w:val="00537328"/>
    <w:rsid w:val="00540014"/>
    <w:rsid w:val="00552341"/>
    <w:rsid w:val="00553015"/>
    <w:rsid w:val="0057535D"/>
    <w:rsid w:val="005A2752"/>
    <w:rsid w:val="005A2B24"/>
    <w:rsid w:val="005B0D87"/>
    <w:rsid w:val="005C375B"/>
    <w:rsid w:val="005E3BCF"/>
    <w:rsid w:val="00601025"/>
    <w:rsid w:val="00603AE9"/>
    <w:rsid w:val="006433DB"/>
    <w:rsid w:val="00674A55"/>
    <w:rsid w:val="00682E02"/>
    <w:rsid w:val="00696445"/>
    <w:rsid w:val="006A78CB"/>
    <w:rsid w:val="006B10FC"/>
    <w:rsid w:val="006B5FDA"/>
    <w:rsid w:val="006B7E7E"/>
    <w:rsid w:val="006F71C4"/>
    <w:rsid w:val="00712467"/>
    <w:rsid w:val="00715457"/>
    <w:rsid w:val="00715737"/>
    <w:rsid w:val="0072140F"/>
    <w:rsid w:val="00722964"/>
    <w:rsid w:val="00724F12"/>
    <w:rsid w:val="0072638B"/>
    <w:rsid w:val="007369AD"/>
    <w:rsid w:val="00736E81"/>
    <w:rsid w:val="007411F4"/>
    <w:rsid w:val="00747047"/>
    <w:rsid w:val="00756CB1"/>
    <w:rsid w:val="00766229"/>
    <w:rsid w:val="00772A41"/>
    <w:rsid w:val="007813BC"/>
    <w:rsid w:val="00791F62"/>
    <w:rsid w:val="007B3CAB"/>
    <w:rsid w:val="007B503C"/>
    <w:rsid w:val="007B66E2"/>
    <w:rsid w:val="007C657C"/>
    <w:rsid w:val="007D70FD"/>
    <w:rsid w:val="007D74D6"/>
    <w:rsid w:val="007E2B86"/>
    <w:rsid w:val="007F16C8"/>
    <w:rsid w:val="007F3473"/>
    <w:rsid w:val="007F6219"/>
    <w:rsid w:val="00802B0C"/>
    <w:rsid w:val="0080373B"/>
    <w:rsid w:val="00815372"/>
    <w:rsid w:val="008177D3"/>
    <w:rsid w:val="008235AB"/>
    <w:rsid w:val="008523CC"/>
    <w:rsid w:val="00875A86"/>
    <w:rsid w:val="008926CA"/>
    <w:rsid w:val="00893828"/>
    <w:rsid w:val="008974C3"/>
    <w:rsid w:val="008C4665"/>
    <w:rsid w:val="008E4A47"/>
    <w:rsid w:val="008F3AB2"/>
    <w:rsid w:val="00912850"/>
    <w:rsid w:val="00915971"/>
    <w:rsid w:val="00917692"/>
    <w:rsid w:val="009367B8"/>
    <w:rsid w:val="009401FC"/>
    <w:rsid w:val="00943C8C"/>
    <w:rsid w:val="00964D95"/>
    <w:rsid w:val="00977204"/>
    <w:rsid w:val="0098639E"/>
    <w:rsid w:val="009870FB"/>
    <w:rsid w:val="009B3CEE"/>
    <w:rsid w:val="009B7E99"/>
    <w:rsid w:val="009C502D"/>
    <w:rsid w:val="009D140D"/>
    <w:rsid w:val="009F2480"/>
    <w:rsid w:val="00A03629"/>
    <w:rsid w:val="00A119E3"/>
    <w:rsid w:val="00A31048"/>
    <w:rsid w:val="00A50F59"/>
    <w:rsid w:val="00A65403"/>
    <w:rsid w:val="00A8306E"/>
    <w:rsid w:val="00A83A62"/>
    <w:rsid w:val="00A87F5F"/>
    <w:rsid w:val="00A900D7"/>
    <w:rsid w:val="00A90BD6"/>
    <w:rsid w:val="00A916F9"/>
    <w:rsid w:val="00A937C4"/>
    <w:rsid w:val="00AA1A11"/>
    <w:rsid w:val="00AA524D"/>
    <w:rsid w:val="00AB1FB9"/>
    <w:rsid w:val="00AB5E4D"/>
    <w:rsid w:val="00AB65D7"/>
    <w:rsid w:val="00AD65EF"/>
    <w:rsid w:val="00AE073C"/>
    <w:rsid w:val="00B05A87"/>
    <w:rsid w:val="00B17696"/>
    <w:rsid w:val="00B22FAB"/>
    <w:rsid w:val="00B23C6C"/>
    <w:rsid w:val="00B33FCA"/>
    <w:rsid w:val="00B42E7D"/>
    <w:rsid w:val="00B60E94"/>
    <w:rsid w:val="00B662B9"/>
    <w:rsid w:val="00B74AB5"/>
    <w:rsid w:val="00B809AB"/>
    <w:rsid w:val="00B83DC2"/>
    <w:rsid w:val="00B92822"/>
    <w:rsid w:val="00B96691"/>
    <w:rsid w:val="00BB0041"/>
    <w:rsid w:val="00BC6EE5"/>
    <w:rsid w:val="00BE67FD"/>
    <w:rsid w:val="00BF6675"/>
    <w:rsid w:val="00BF7810"/>
    <w:rsid w:val="00C043CA"/>
    <w:rsid w:val="00C11449"/>
    <w:rsid w:val="00C66559"/>
    <w:rsid w:val="00C724DB"/>
    <w:rsid w:val="00C850C8"/>
    <w:rsid w:val="00C95A52"/>
    <w:rsid w:val="00CA6B47"/>
    <w:rsid w:val="00CA6DFC"/>
    <w:rsid w:val="00CA7F84"/>
    <w:rsid w:val="00CB27D1"/>
    <w:rsid w:val="00CD19CC"/>
    <w:rsid w:val="00CD4DEA"/>
    <w:rsid w:val="00CF2ABF"/>
    <w:rsid w:val="00CF693D"/>
    <w:rsid w:val="00D00AFA"/>
    <w:rsid w:val="00D01337"/>
    <w:rsid w:val="00D23EF8"/>
    <w:rsid w:val="00D242FD"/>
    <w:rsid w:val="00D34716"/>
    <w:rsid w:val="00D463F5"/>
    <w:rsid w:val="00D64594"/>
    <w:rsid w:val="00D64652"/>
    <w:rsid w:val="00D746CC"/>
    <w:rsid w:val="00D75F8B"/>
    <w:rsid w:val="00D77B5B"/>
    <w:rsid w:val="00D85728"/>
    <w:rsid w:val="00DB5C60"/>
    <w:rsid w:val="00DC05E1"/>
    <w:rsid w:val="00DC3122"/>
    <w:rsid w:val="00DE068B"/>
    <w:rsid w:val="00DE1CBF"/>
    <w:rsid w:val="00DE7642"/>
    <w:rsid w:val="00DE7DF4"/>
    <w:rsid w:val="00E04504"/>
    <w:rsid w:val="00E06FDE"/>
    <w:rsid w:val="00E0757C"/>
    <w:rsid w:val="00E12285"/>
    <w:rsid w:val="00E148BE"/>
    <w:rsid w:val="00E163C6"/>
    <w:rsid w:val="00E22F06"/>
    <w:rsid w:val="00E26B6C"/>
    <w:rsid w:val="00E47E6F"/>
    <w:rsid w:val="00E53230"/>
    <w:rsid w:val="00E626CA"/>
    <w:rsid w:val="00E669FC"/>
    <w:rsid w:val="00E70E07"/>
    <w:rsid w:val="00E7228D"/>
    <w:rsid w:val="00EA431E"/>
    <w:rsid w:val="00EA5850"/>
    <w:rsid w:val="00EA78D6"/>
    <w:rsid w:val="00EB19EE"/>
    <w:rsid w:val="00ED3DCE"/>
    <w:rsid w:val="00EF31C0"/>
    <w:rsid w:val="00EF5134"/>
    <w:rsid w:val="00EF7E98"/>
    <w:rsid w:val="00F31BA9"/>
    <w:rsid w:val="00F33359"/>
    <w:rsid w:val="00F33FFD"/>
    <w:rsid w:val="00F35797"/>
    <w:rsid w:val="00F35ED1"/>
    <w:rsid w:val="00F4024C"/>
    <w:rsid w:val="00F57039"/>
    <w:rsid w:val="00F7113F"/>
    <w:rsid w:val="00F764E1"/>
    <w:rsid w:val="00F8550E"/>
    <w:rsid w:val="00F86086"/>
    <w:rsid w:val="00F92411"/>
    <w:rsid w:val="00FC185E"/>
    <w:rsid w:val="00FC4509"/>
    <w:rsid w:val="00FE4EF2"/>
    <w:rsid w:val="00FF070D"/>
    <w:rsid w:val="00FF40C3"/>
    <w:rsid w:val="00FF4C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F23"/>
  <w15:chartTrackingRefBased/>
  <w15:docId w15:val="{C87ECB3B-AF3B-4CD0-AFAA-60365761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10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BA9"/>
    <w:pPr>
      <w:ind w:left="720"/>
      <w:contextualSpacing/>
    </w:pPr>
  </w:style>
  <w:style w:type="paragraph" w:styleId="NormalWeb">
    <w:name w:val="Normal (Web)"/>
    <w:basedOn w:val="Normal"/>
    <w:uiPriority w:val="99"/>
    <w:semiHidden/>
    <w:unhideWhenUsed/>
    <w:rsid w:val="003A0CD9"/>
    <w:rPr>
      <w:rFonts w:ascii="Times New Roman" w:hAnsi="Times New Roman" w:cs="Times New Roman"/>
      <w:sz w:val="24"/>
      <w:szCs w:val="24"/>
    </w:rPr>
  </w:style>
  <w:style w:type="character" w:styleId="Strong">
    <w:name w:val="Strong"/>
    <w:basedOn w:val="DefaultParagraphFont"/>
    <w:uiPriority w:val="22"/>
    <w:qFormat/>
    <w:rsid w:val="003A0CD9"/>
    <w:rPr>
      <w:b/>
      <w:bCs/>
    </w:rPr>
  </w:style>
  <w:style w:type="character" w:customStyle="1" w:styleId="Heading2Char">
    <w:name w:val="Heading 2 Char"/>
    <w:basedOn w:val="DefaultParagraphFont"/>
    <w:link w:val="Heading2"/>
    <w:uiPriority w:val="9"/>
    <w:rsid w:val="003A0CD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3A0CD9"/>
    <w:pPr>
      <w:spacing w:after="0" w:line="240" w:lineRule="auto"/>
    </w:pPr>
    <w:rPr>
      <w:sz w:val="20"/>
      <w:szCs w:val="20"/>
    </w:rPr>
  </w:style>
  <w:style w:type="character" w:customStyle="1" w:styleId="FootnoteTextChar">
    <w:name w:val="Footnote Text Char"/>
    <w:basedOn w:val="DefaultParagraphFont"/>
    <w:link w:val="FootnoteText"/>
    <w:uiPriority w:val="99"/>
    <w:rsid w:val="003A0CD9"/>
    <w:rPr>
      <w:sz w:val="20"/>
      <w:szCs w:val="20"/>
    </w:rPr>
  </w:style>
  <w:style w:type="character" w:styleId="FootnoteReference">
    <w:name w:val="footnote reference"/>
    <w:basedOn w:val="DefaultParagraphFont"/>
    <w:uiPriority w:val="99"/>
    <w:semiHidden/>
    <w:unhideWhenUsed/>
    <w:rsid w:val="003A0CD9"/>
    <w:rPr>
      <w:vertAlign w:val="superscript"/>
    </w:rPr>
  </w:style>
  <w:style w:type="character" w:styleId="Hyperlink">
    <w:name w:val="Hyperlink"/>
    <w:basedOn w:val="DefaultParagraphFont"/>
    <w:uiPriority w:val="99"/>
    <w:unhideWhenUsed/>
    <w:rsid w:val="003A0CD9"/>
    <w:rPr>
      <w:color w:val="0563C1" w:themeColor="hyperlink"/>
      <w:u w:val="single"/>
    </w:rPr>
  </w:style>
  <w:style w:type="paragraph" w:styleId="Header">
    <w:name w:val="header"/>
    <w:basedOn w:val="Normal"/>
    <w:link w:val="HeaderChar"/>
    <w:uiPriority w:val="99"/>
    <w:unhideWhenUsed/>
    <w:rsid w:val="00E14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BE"/>
  </w:style>
  <w:style w:type="paragraph" w:styleId="Footer">
    <w:name w:val="footer"/>
    <w:basedOn w:val="Normal"/>
    <w:link w:val="FooterChar"/>
    <w:uiPriority w:val="99"/>
    <w:unhideWhenUsed/>
    <w:rsid w:val="00E14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BE"/>
  </w:style>
  <w:style w:type="character" w:customStyle="1" w:styleId="lead-symbol">
    <w:name w:val="lead-symbol"/>
    <w:basedOn w:val="DefaultParagraphFont"/>
    <w:rsid w:val="00912850"/>
  </w:style>
  <w:style w:type="character" w:customStyle="1" w:styleId="more-symbols">
    <w:name w:val="more-symbols"/>
    <w:basedOn w:val="DefaultParagraphFont"/>
    <w:rsid w:val="00912850"/>
  </w:style>
  <w:style w:type="character" w:customStyle="1" w:styleId="pagenumber">
    <w:name w:val="pagenumber"/>
    <w:basedOn w:val="DefaultParagraphFont"/>
    <w:rsid w:val="009367B8"/>
  </w:style>
  <w:style w:type="character" w:styleId="HTMLCite">
    <w:name w:val="HTML Cite"/>
    <w:basedOn w:val="DefaultParagraphFont"/>
    <w:uiPriority w:val="99"/>
    <w:semiHidden/>
    <w:unhideWhenUsed/>
    <w:rsid w:val="00F35ED1"/>
    <w:rPr>
      <w:i/>
      <w:iCs/>
    </w:rPr>
  </w:style>
  <w:style w:type="character" w:customStyle="1" w:styleId="exldetailsdisplayval">
    <w:name w:val="exldetailsdisplayval"/>
    <w:basedOn w:val="DefaultParagraphFont"/>
    <w:rsid w:val="004C2C29"/>
  </w:style>
  <w:style w:type="character" w:customStyle="1" w:styleId="Heading1Char">
    <w:name w:val="Heading 1 Char"/>
    <w:basedOn w:val="DefaultParagraphFont"/>
    <w:link w:val="Heading1"/>
    <w:uiPriority w:val="9"/>
    <w:rsid w:val="00CD4DEA"/>
    <w:rPr>
      <w:rFonts w:asciiTheme="majorHAnsi" w:eastAsiaTheme="majorEastAsia" w:hAnsiTheme="majorHAnsi" w:cstheme="majorBidi"/>
      <w:color w:val="2E74B5" w:themeColor="accent1" w:themeShade="BF"/>
      <w:sz w:val="32"/>
      <w:szCs w:val="32"/>
    </w:rPr>
  </w:style>
  <w:style w:type="character" w:customStyle="1" w:styleId="hlfld-abstract">
    <w:name w:val="hlfld-abstract"/>
    <w:basedOn w:val="DefaultParagraphFont"/>
    <w:rsid w:val="00342C56"/>
  </w:style>
  <w:style w:type="paragraph" w:customStyle="1" w:styleId="Default">
    <w:name w:val="Default"/>
    <w:rsid w:val="00B96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0102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2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86"/>
    <w:rPr>
      <w:rFonts w:ascii="Segoe UI" w:hAnsi="Segoe UI" w:cs="Segoe UI"/>
      <w:sz w:val="18"/>
      <w:szCs w:val="18"/>
    </w:rPr>
  </w:style>
  <w:style w:type="character" w:customStyle="1" w:styleId="personname">
    <w:name w:val="person_name"/>
    <w:basedOn w:val="DefaultParagraphFont"/>
    <w:rsid w:val="00E1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500">
      <w:bodyDiv w:val="1"/>
      <w:marLeft w:val="0"/>
      <w:marRight w:val="0"/>
      <w:marTop w:val="0"/>
      <w:marBottom w:val="0"/>
      <w:divBdr>
        <w:top w:val="none" w:sz="0" w:space="0" w:color="auto"/>
        <w:left w:val="none" w:sz="0" w:space="0" w:color="auto"/>
        <w:bottom w:val="none" w:sz="0" w:space="0" w:color="auto"/>
        <w:right w:val="none" w:sz="0" w:space="0" w:color="auto"/>
      </w:divBdr>
    </w:div>
    <w:div w:id="354117334">
      <w:bodyDiv w:val="1"/>
      <w:marLeft w:val="0"/>
      <w:marRight w:val="0"/>
      <w:marTop w:val="0"/>
      <w:marBottom w:val="0"/>
      <w:divBdr>
        <w:top w:val="none" w:sz="0" w:space="0" w:color="auto"/>
        <w:left w:val="none" w:sz="0" w:space="0" w:color="auto"/>
        <w:bottom w:val="none" w:sz="0" w:space="0" w:color="auto"/>
        <w:right w:val="none" w:sz="0" w:space="0" w:color="auto"/>
      </w:divBdr>
    </w:div>
    <w:div w:id="387655381">
      <w:bodyDiv w:val="1"/>
      <w:marLeft w:val="0"/>
      <w:marRight w:val="0"/>
      <w:marTop w:val="0"/>
      <w:marBottom w:val="0"/>
      <w:divBdr>
        <w:top w:val="none" w:sz="0" w:space="0" w:color="auto"/>
        <w:left w:val="none" w:sz="0" w:space="0" w:color="auto"/>
        <w:bottom w:val="none" w:sz="0" w:space="0" w:color="auto"/>
        <w:right w:val="none" w:sz="0" w:space="0" w:color="auto"/>
      </w:divBdr>
    </w:div>
    <w:div w:id="456458249">
      <w:bodyDiv w:val="1"/>
      <w:marLeft w:val="0"/>
      <w:marRight w:val="0"/>
      <w:marTop w:val="0"/>
      <w:marBottom w:val="0"/>
      <w:divBdr>
        <w:top w:val="none" w:sz="0" w:space="0" w:color="auto"/>
        <w:left w:val="none" w:sz="0" w:space="0" w:color="auto"/>
        <w:bottom w:val="none" w:sz="0" w:space="0" w:color="auto"/>
        <w:right w:val="none" w:sz="0" w:space="0" w:color="auto"/>
      </w:divBdr>
      <w:divsChild>
        <w:div w:id="97606703">
          <w:marLeft w:val="0"/>
          <w:marRight w:val="0"/>
          <w:marTop w:val="0"/>
          <w:marBottom w:val="0"/>
          <w:divBdr>
            <w:top w:val="none" w:sz="0" w:space="0" w:color="auto"/>
            <w:left w:val="none" w:sz="0" w:space="0" w:color="auto"/>
            <w:bottom w:val="none" w:sz="0" w:space="0" w:color="auto"/>
            <w:right w:val="none" w:sz="0" w:space="0" w:color="auto"/>
          </w:divBdr>
        </w:div>
      </w:divsChild>
    </w:div>
    <w:div w:id="532036270">
      <w:bodyDiv w:val="1"/>
      <w:marLeft w:val="0"/>
      <w:marRight w:val="0"/>
      <w:marTop w:val="0"/>
      <w:marBottom w:val="0"/>
      <w:divBdr>
        <w:top w:val="none" w:sz="0" w:space="0" w:color="auto"/>
        <w:left w:val="none" w:sz="0" w:space="0" w:color="auto"/>
        <w:bottom w:val="none" w:sz="0" w:space="0" w:color="auto"/>
        <w:right w:val="none" w:sz="0" w:space="0" w:color="auto"/>
      </w:divBdr>
    </w:div>
    <w:div w:id="784616627">
      <w:bodyDiv w:val="1"/>
      <w:marLeft w:val="0"/>
      <w:marRight w:val="0"/>
      <w:marTop w:val="0"/>
      <w:marBottom w:val="0"/>
      <w:divBdr>
        <w:top w:val="none" w:sz="0" w:space="0" w:color="auto"/>
        <w:left w:val="none" w:sz="0" w:space="0" w:color="auto"/>
        <w:bottom w:val="none" w:sz="0" w:space="0" w:color="auto"/>
        <w:right w:val="none" w:sz="0" w:space="0" w:color="auto"/>
      </w:divBdr>
    </w:div>
    <w:div w:id="1443378706">
      <w:bodyDiv w:val="1"/>
      <w:marLeft w:val="0"/>
      <w:marRight w:val="0"/>
      <w:marTop w:val="0"/>
      <w:marBottom w:val="0"/>
      <w:divBdr>
        <w:top w:val="none" w:sz="0" w:space="0" w:color="auto"/>
        <w:left w:val="none" w:sz="0" w:space="0" w:color="auto"/>
        <w:bottom w:val="none" w:sz="0" w:space="0" w:color="auto"/>
        <w:right w:val="none" w:sz="0" w:space="0" w:color="auto"/>
      </w:divBdr>
    </w:div>
    <w:div w:id="19798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ottawa-primo.hosted.exlibrisgroup.com/primo_library/libweb/action/search.do?vl%28freeText0%29=+Masselot%2c+Annick%2c+editor.&amp;vl%28284248662UI0%29=creator&amp;vl%28284248663UI1%29=all_items&amp;fn=search&amp;tab=default_tab&amp;mode=Basic&amp;vid=UOTTAWA&amp;scp.scps=scope%3a%28UOTTAWA_DSPACE%29%2cscope%3a%28UOTTAWA_III%29%2cscope%3a%28UOTTAWA_SFX%29%2cprimo_central_multiple_fe&amp;ct=lateralLinking" TargetMode="External"/><Relationship Id="rId13" Type="http://schemas.openxmlformats.org/officeDocument/2006/relationships/hyperlink" Target="http://www.acp.int/content/declaration-8th-summit-acp-heads-state-and-government-acp-group-states" TargetMode="External"/><Relationship Id="rId18" Type="http://schemas.openxmlformats.org/officeDocument/2006/relationships/hyperlink" Target="http://journals1.scholarsportal.info.proxy.bib.uottawa.ca/search?q=Claire%20Duncanson&amp;search_in=AUTHOR&amp;sub=" TargetMode="External"/><Relationship Id="rId3" Type="http://schemas.openxmlformats.org/officeDocument/2006/relationships/hyperlink" Target="http://www.euractiv.com/section/development-policy/news/eu-pressures-seven-african-countries-to-complete-trade-agreements/" TargetMode="External"/><Relationship Id="rId21" Type="http://schemas.openxmlformats.org/officeDocument/2006/relationships/hyperlink" Target="http://www.ecdpm.org/Web_ECDPM/Web/Content/Content.nsf/0/0AFF1EE6DDE15146C12579CE004774B2?OpenDocument" TargetMode="External"/><Relationship Id="rId7" Type="http://schemas.openxmlformats.org/officeDocument/2006/relationships/hyperlink" Target="http://uottawa-primo.hosted.exlibrisgroup.com/primo_library/libweb/action/search.do?vl%28freeText0%29=+Chaban%2c+Natalia%2c+editor.+&amp;vl%28284248662UI0%29=creator&amp;vl%28284248663UI1%29=all_items&amp;fn=search&amp;tab=default_tab&amp;mode=Basic&amp;vid=UOTTAWA&amp;scp.scps=scope%3a%28UOTTAWA_DSPACE%29%2cscope%3a%28UOTTAWA_III%29%2cscope%3a%28UOTTAWA_SFX%29%2cprimo_central_multiple_fe&amp;ct=lateralLinking" TargetMode="External"/><Relationship Id="rId12" Type="http://schemas.openxmlformats.org/officeDocument/2006/relationships/hyperlink" Target="http://www.s2bnetwork.org/eu-blackmails-african-states/" TargetMode="External"/><Relationship Id="rId17" Type="http://schemas.openxmlformats.org/officeDocument/2006/relationships/hyperlink" Target="http://journals1.scholarsportal.info.proxy.bib.uottawa.ca/search?q=Sahla%20Aroussi&amp;search_in=AUTHOR&amp;sub=" TargetMode="External"/><Relationship Id="rId2" Type="http://schemas.openxmlformats.org/officeDocument/2006/relationships/hyperlink" Target="http://www.bidpa.bw" TargetMode="External"/><Relationship Id="rId16" Type="http://schemas.openxmlformats.org/officeDocument/2006/relationships/hyperlink" Target="http://www.robert-schuman.eu/en/doc/questions-d-europe/qe-204-en.pdf" TargetMode="External"/><Relationship Id="rId20" Type="http://schemas.openxmlformats.org/officeDocument/2006/relationships/hyperlink" Target="http://www.cris.unu.edu/sites/cris.unu.edu/files/O-2003-3.pdf" TargetMode="External"/><Relationship Id="rId1" Type="http://schemas.openxmlformats.org/officeDocument/2006/relationships/hyperlink" Target="http://www.ictsd.org/bridges-news/trade-negotiations-insights/news/interim-epas-in-africa-what%E2%80%99s-in-them-and-what%E2%80%99s-next" TargetMode="External"/><Relationship Id="rId6" Type="http://schemas.openxmlformats.org/officeDocument/2006/relationships/hyperlink" Target="http://uottawa-primo.hosted.exlibrisgroup.com/primo_library/libweb/action/search.do?vl%28freeText0%29=Bjo%cc%88rkdahl%2c+Annika%2c+editor.+&amp;vl%28284248662UI0%29=creator&amp;vl%28284248663UI1%29=all_items&amp;fn=search&amp;tab=default_tab&amp;mode=Basic&amp;vid=UOTTAWA&amp;scp.scps=scope%3a%28UOTTAWA_DSPACE%29%2cscope%3a%28UOTTAWA_III%29%2cscope%3a%28UOTTAWA_SFX%29%2cprimo_central_multiple_fe&amp;ct=lateralLinking" TargetMode="External"/><Relationship Id="rId11" Type="http://schemas.openxmlformats.org/officeDocument/2006/relationships/hyperlink" Target="http://www.euractiv.com/section/development-policy/news/brussels-to-end-preferential-trade-access-for-uncooperative-african-countries/" TargetMode="External"/><Relationship Id="rId24" Type="http://schemas.openxmlformats.org/officeDocument/2006/relationships/hyperlink" Target="http://trade.ec.europa.eu/doclib/press/index.cfm?id=1344" TargetMode="External"/><Relationship Id="rId5" Type="http://schemas.openxmlformats.org/officeDocument/2006/relationships/hyperlink" Target="http://link.springer.com/search?facet-creator=%22Ole+Elgstr%C3%B6m%22" TargetMode="External"/><Relationship Id="rId15" Type="http://schemas.openxmlformats.org/officeDocument/2006/relationships/hyperlink" Target="http://eur-lex.europa.eu/legal-content/EN/TXT/?uri=uriserv%3Axy0023" TargetMode="External"/><Relationship Id="rId23" Type="http://schemas.openxmlformats.org/officeDocument/2006/relationships/hyperlink" Target="http://trade.ec.europa.eu/doclib/press/index.cfm?id=1344" TargetMode="External"/><Relationship Id="rId10" Type="http://schemas.openxmlformats.org/officeDocument/2006/relationships/hyperlink" Target="http://www.euractiv.com/authors/cecile-barbiere/" TargetMode="External"/><Relationship Id="rId19" Type="http://schemas.openxmlformats.org/officeDocument/2006/relationships/hyperlink" Target="http://journals1.scholarsportal.info.proxy.bib.uottawa.ca/search?q=Rachel%20Woodward&amp;search_in=AUTHOR&amp;sub=" TargetMode="External"/><Relationship Id="rId4" Type="http://schemas.openxmlformats.org/officeDocument/2006/relationships/hyperlink" Target="http://link.springer.com/search?facet-creator=%22Annika+Bj%C3%B6rkdahl%22" TargetMode="External"/><Relationship Id="rId9" Type="http://schemas.openxmlformats.org/officeDocument/2006/relationships/hyperlink" Target="http://concordeurope.org/" TargetMode="External"/><Relationship Id="rId14" Type="http://schemas.openxmlformats.org/officeDocument/2006/relationships/hyperlink" Target="http://ec.europa.eu/europeaid/news-and-events/results-evaluation-cotonou-partnership-agreement-announced_en" TargetMode="External"/><Relationship Id="rId22" Type="http://schemas.openxmlformats.org/officeDocument/2006/relationships/hyperlink" Target="http://www.europarl.europa.eu/activities/committees/studies.do?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B82C-B6C3-4708-B8EC-656A6967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Airey</dc:creator>
  <cp:keywords/>
  <dc:description/>
  <cp:lastModifiedBy>Siobhan Airey</cp:lastModifiedBy>
  <cp:revision>4</cp:revision>
  <cp:lastPrinted>2016-11-29T20:03:00Z</cp:lastPrinted>
  <dcterms:created xsi:type="dcterms:W3CDTF">2016-11-23T17:42:00Z</dcterms:created>
  <dcterms:modified xsi:type="dcterms:W3CDTF">2022-01-13T10:34:00Z</dcterms:modified>
</cp:coreProperties>
</file>