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F1A26">
      <w:pPr>
        <w:pStyle w:val="Heading1"/>
        <w:rPr>
          <w:rFonts w:ascii="Georgia" w:hAnsi="Georgia"/>
          <w:b w:val="0"/>
          <w:bCs w:val="0"/>
          <w:sz w:val="24"/>
          <w:u w:val="single"/>
          <w:lang w:val="en-IE"/>
        </w:rPr>
      </w:pPr>
      <w:r>
        <w:rPr>
          <w:rFonts w:ascii="Georgia" w:hAnsi="Georgia"/>
          <w:b w:val="0"/>
          <w:bCs w:val="0"/>
          <w:sz w:val="24"/>
          <w:u w:val="single"/>
          <w:lang w:val="en-IE"/>
        </w:rPr>
        <w:t>‘A Fenian Pastime’?: early Irish board games and their identification with chess</w:t>
      </w:r>
    </w:p>
    <w:p w:rsidR="00000000" w:rsidRDefault="009F1A26">
      <w:pPr>
        <w:rPr>
          <w:lang w:val="en-IE"/>
        </w:rPr>
      </w:pPr>
    </w:p>
    <w:p w:rsidR="00000000" w:rsidRDefault="009F1A26">
      <w:pPr>
        <w:rPr>
          <w:lang w:val="en-IE"/>
        </w:rPr>
      </w:pPr>
      <w:r>
        <w:rPr>
          <w:lang w:val="en-IE"/>
        </w:rPr>
        <w:t xml:space="preserve">Twentieth century scholars, critically re-examining Ireland’s origin myths, explained how ‘synthetic pseudo-history’ such as the </w:t>
      </w:r>
      <w:r>
        <w:rPr>
          <w:i/>
          <w:iCs/>
        </w:rPr>
        <w:t>Lebor Gabála Érenn</w:t>
      </w:r>
      <w:r>
        <w:t xml:space="preserve"> </w:t>
      </w:r>
      <w:r>
        <w:rPr>
          <w:lang w:val="en-IE"/>
        </w:rPr>
        <w:t>arose</w:t>
      </w:r>
      <w:r>
        <w:t>.</w:t>
      </w:r>
      <w:r>
        <w:rPr>
          <w:rStyle w:val="EndnoteReference"/>
        </w:rPr>
        <w:endnoteReference w:id="1"/>
      </w:r>
      <w:r>
        <w:t xml:space="preserve"> </w:t>
      </w:r>
      <w:r>
        <w:rPr>
          <w:lang w:val="en-IE"/>
        </w:rPr>
        <w:t>Sports, like natio</w:t>
      </w:r>
      <w:r>
        <w:rPr>
          <w:lang w:val="en-IE"/>
        </w:rPr>
        <w:t>ns, have need of origin myths, chess being no exception; moreover, sporting preferences have sometimes become bound up with a nation’s sense of its unique identity.</w:t>
      </w:r>
      <w:r>
        <w:rPr>
          <w:rStyle w:val="EndnoteReference"/>
          <w:lang w:val="en-IE"/>
        </w:rPr>
        <w:endnoteReference w:id="2"/>
      </w:r>
      <w:r>
        <w:rPr>
          <w:lang w:val="en-IE"/>
        </w:rPr>
        <w:t xml:space="preserve"> In the same ancient manuscripts where Celtic revivalists found legends of the earliest peo</w:t>
      </w:r>
      <w:r>
        <w:rPr>
          <w:lang w:val="en-IE"/>
        </w:rPr>
        <w:t>ple in Ireland, they often also found references to board-games. What may be called the myth of Celtic Chess then emerged. The weak version stated that the pre-Norman Irish played chess; the strong form, more rarely seen, actually claimed a native origin f</w:t>
      </w:r>
      <w:r>
        <w:rPr>
          <w:lang w:val="en-IE"/>
        </w:rPr>
        <w:t>or the game. The myth was especially publicised during the period of re-awakening Gaelic identity from the 1880s to the First World War and persists in some quarters to this day. This article examines the role that chess, and board games of skill</w:t>
      </w:r>
      <w:r>
        <w:rPr>
          <w:i/>
          <w:iCs/>
          <w:lang w:val="en-IE"/>
        </w:rPr>
        <w:t xml:space="preserve"> </w:t>
      </w:r>
      <w:r>
        <w:rPr>
          <w:lang w:val="en-IE"/>
        </w:rPr>
        <w:t>that were</w:t>
      </w:r>
      <w:r>
        <w:rPr>
          <w:lang w:val="en-IE"/>
        </w:rPr>
        <w:t xml:space="preserve"> mistaken for chess, played in Irish cultural nationalism, particularly in the nineteenth century.</w:t>
      </w:r>
    </w:p>
    <w:p w:rsidR="00000000" w:rsidRDefault="009F1A26">
      <w:pPr>
        <w:rPr>
          <w:lang w:val="en-IE"/>
        </w:rPr>
      </w:pPr>
      <w:r>
        <w:rPr>
          <w:lang w:val="en-IE"/>
        </w:rPr>
        <w:t>The opening section situates the case study of chess in a broad context of discussions of cultural nationalism to which some historians have made important c</w:t>
      </w:r>
      <w:r>
        <w:rPr>
          <w:lang w:val="en-IE"/>
        </w:rPr>
        <w:t>ontributions recently. The second section examines linguistic problems associated with the translation of game-names. The third demonstrates how a succession of writers from the seventeenth to the mid-nineteenth centuries found in the materials available t</w:t>
      </w:r>
      <w:r>
        <w:rPr>
          <w:lang w:val="en-IE"/>
        </w:rPr>
        <w:t xml:space="preserve">o them the elements of what became the myth. The fourth section deals with the 1880s, the decade when the Gaelic Athletic Association was established; this was in general the time when the reinvigoration of Gaelic nationalism became evident. </w:t>
      </w:r>
      <w:r>
        <w:t>Micheál Ó Muir</w:t>
      </w:r>
      <w:r>
        <w:t xml:space="preserve">cheartaigh, in his preface to the reprint of </w:t>
      </w:r>
      <w:r>
        <w:rPr>
          <w:i/>
          <w:iCs/>
        </w:rPr>
        <w:t>The Celtic Times</w:t>
      </w:r>
      <w:r>
        <w:t xml:space="preserve"> (a short-lived newspaper edited by GAA founder Michael Cusack), suggested that the ‘first trickle for the massive changes that followed originated with the formation of The Society for the Prese</w:t>
      </w:r>
      <w:r>
        <w:t>rvation of the Irish Language in 1876’; Cusack was involved in that society.</w:t>
      </w:r>
      <w:r>
        <w:rPr>
          <w:rStyle w:val="EndnoteReference"/>
        </w:rPr>
        <w:endnoteReference w:id="3"/>
      </w:r>
      <w:r>
        <w:t xml:space="preserve"> One consequence was the revival of interest in Gaelic games and the search for information about them in old texts, assisting the promotion of chess in Ireland during the 1880s. </w:t>
      </w:r>
      <w:r>
        <w:rPr>
          <w:lang w:val="en-IE"/>
        </w:rPr>
        <w:t xml:space="preserve">While Irish writers, including Standish O’Grady and William Butler Yeats, were happy to equate the ancient Irish games with chess, more cautious scholars wrestled with the meaning of passages relating to </w:t>
      </w:r>
      <w:r>
        <w:rPr>
          <w:i/>
          <w:iCs/>
          <w:lang w:val="en-IE"/>
        </w:rPr>
        <w:t xml:space="preserve">fidchell, </w:t>
      </w:r>
      <w:r>
        <w:rPr>
          <w:lang w:val="en-IE"/>
        </w:rPr>
        <w:t>etc.</w:t>
      </w:r>
    </w:p>
    <w:p w:rsidR="00000000" w:rsidRDefault="009F1A26">
      <w:r>
        <w:lastRenderedPageBreak/>
        <w:t>The fifth section of the paper concer</w:t>
      </w:r>
      <w:r>
        <w:t>ns the twentieth century process of correcting and demythologising. Just when the myth reached its fullest flowering in Ireland, the Asian origins of chess and its medieval transmission to Europe were being thoroughly researched for the first time by sever</w:t>
      </w:r>
      <w:r>
        <w:t xml:space="preserve">al scholars abroad, culminating in </w:t>
      </w:r>
      <w:r>
        <w:rPr>
          <w:i/>
          <w:iCs/>
        </w:rPr>
        <w:t>The History of Chess</w:t>
      </w:r>
      <w:r>
        <w:t xml:space="preserve"> by Harold Murray, eldest son of the lexicographer Sir James Murray. The short concluding section reviews the main points from a cultural history viewpoint.</w:t>
      </w:r>
    </w:p>
    <w:p w:rsidR="00000000" w:rsidRDefault="009F1A26">
      <w:pPr>
        <w:pStyle w:val="Heading3"/>
      </w:pPr>
      <w:r>
        <w:t>I</w:t>
      </w:r>
    </w:p>
    <w:p w:rsidR="00000000" w:rsidRDefault="009F1A26">
      <w:r>
        <w:t>In the preface to the second edition of hi</w:t>
      </w:r>
      <w:r>
        <w:t xml:space="preserve">s ground-breaking </w:t>
      </w:r>
      <w:r>
        <w:rPr>
          <w:i/>
          <w:iCs/>
          <w:lang w:val="en-IE"/>
        </w:rPr>
        <w:t>Mere Irish and Fíor-Ghael</w:t>
      </w:r>
      <w:r>
        <w:rPr>
          <w:lang w:val="en-IE"/>
        </w:rPr>
        <w:t xml:space="preserve">, Dutch scholar </w:t>
      </w:r>
      <w:r>
        <w:t>Leerssen sounded a warning relevant to the present case.</w:t>
      </w:r>
    </w:p>
    <w:p w:rsidR="00000000" w:rsidRDefault="009F1A26">
      <w:pPr>
        <w:pStyle w:val="Quote"/>
      </w:pPr>
      <w:r>
        <w:t xml:space="preserve">‘It is not enough for the historian to say: “Contrary to what generations of people have believed heretofore, X, Y or Z was never like this </w:t>
      </w:r>
      <w:r>
        <w:t>but like that.”… Surely, once such a point has been made, the question immediately following it must be: how was it possible for generations of reasonably sane and reasonably well-informed people to hold such a belief concerning X, Y or Z? And was not that</w:t>
      </w:r>
      <w:r>
        <w:t xml:space="preserve"> belief, whatever its truth-value, an operative force in historical development?’</w:t>
      </w:r>
      <w:r>
        <w:rPr>
          <w:rStyle w:val="EndnoteReference"/>
        </w:rPr>
        <w:endnoteReference w:id="4"/>
      </w:r>
    </w:p>
    <w:p w:rsidR="00000000" w:rsidRDefault="009F1A26">
      <w:pPr>
        <w:rPr>
          <w:lang w:val="en-IE"/>
        </w:rPr>
      </w:pPr>
      <w:r>
        <w:rPr>
          <w:lang w:val="en-IE"/>
        </w:rPr>
        <w:t>This section therefore attempts to outline a wider context for the myth of Celtic chess. Leerssen’s book examines concepts of Irish identity, especially as they were express</w:t>
      </w:r>
      <w:r>
        <w:rPr>
          <w:lang w:val="en-IE"/>
        </w:rPr>
        <w:t xml:space="preserve">ed through literature up to 1800, highlighting the ‘patriot’ period of the 1780s when Protestants and Catholics in Ireland were seeking common ground. Then his </w:t>
      </w:r>
      <w:r>
        <w:rPr>
          <w:i/>
          <w:iCs/>
          <w:lang w:val="en-IE"/>
        </w:rPr>
        <w:t>Remembrance and Imagination</w:t>
      </w:r>
      <w:r>
        <w:rPr>
          <w:lang w:val="en-IE"/>
        </w:rPr>
        <w:t xml:space="preserve"> took the analysis forward through the nineteenth century and up to t</w:t>
      </w:r>
      <w:r>
        <w:rPr>
          <w:lang w:val="en-IE"/>
        </w:rPr>
        <w:t>he early work of James Joyce.</w:t>
      </w:r>
      <w:r>
        <w:rPr>
          <w:rStyle w:val="EndnoteReference"/>
          <w:lang w:val="en-IE"/>
        </w:rPr>
        <w:endnoteReference w:id="5"/>
      </w:r>
      <w:r>
        <w:rPr>
          <w:lang w:val="en-IE"/>
        </w:rPr>
        <w:t xml:space="preserve"> Chess was not mentioned in Leerssen’s books, but some of the myth’s originators or propagators were.</w:t>
      </w:r>
    </w:p>
    <w:p w:rsidR="00000000" w:rsidRDefault="009F1A26">
      <w:pPr>
        <w:rPr>
          <w:lang w:val="en-IE"/>
        </w:rPr>
      </w:pPr>
      <w:r>
        <w:t xml:space="preserve">Charles Vallancey, a British artillery officer who lived most of his life in Ireland and published much on Irish antiquity, </w:t>
      </w:r>
      <w:r>
        <w:t xml:space="preserve">was long disregarded until 2004, when he was fore-grounded in books, which coincidentally appeared together, by Joseph Lennon and Clare O’Halloran. </w:t>
      </w:r>
      <w:r>
        <w:rPr>
          <w:lang w:val="en-IE"/>
        </w:rPr>
        <w:t xml:space="preserve">Her </w:t>
      </w:r>
      <w:r>
        <w:rPr>
          <w:i/>
          <w:iCs/>
          <w:lang w:val="en-IE"/>
        </w:rPr>
        <w:t>Golden Ages and Barbarous Nations</w:t>
      </w:r>
      <w:r>
        <w:rPr>
          <w:lang w:val="en-IE"/>
        </w:rPr>
        <w:t xml:space="preserve"> examined Vallancey as one of a group of eighteenth century antiquarian</w:t>
      </w:r>
      <w:r>
        <w:rPr>
          <w:lang w:val="en-IE"/>
        </w:rPr>
        <w:t xml:space="preserve">s interested in Irish origins and attempting to produce a version of early Ireland that all parties could </w:t>
      </w:r>
      <w:r>
        <w:rPr>
          <w:lang w:val="en-IE"/>
        </w:rPr>
        <w:lastRenderedPageBreak/>
        <w:t>agree on, an enterprise doomed to fail when the political temperature rose to boiling point in the 1790s.</w:t>
      </w:r>
      <w:r>
        <w:rPr>
          <w:rStyle w:val="EndnoteReference"/>
          <w:lang w:val="en-IE"/>
        </w:rPr>
        <w:endnoteReference w:id="6"/>
      </w:r>
      <w:r>
        <w:rPr>
          <w:lang w:val="en-IE"/>
        </w:rPr>
        <w:t xml:space="preserve"> O’Halloran also briefly touched on developm</w:t>
      </w:r>
      <w:r>
        <w:rPr>
          <w:lang w:val="en-IE"/>
        </w:rPr>
        <w:t>ents in the nineteenth century.</w:t>
      </w:r>
    </w:p>
    <w:p w:rsidR="00000000" w:rsidRDefault="009F1A26">
      <w:r>
        <w:t xml:space="preserve">Lennon’s study of </w:t>
      </w:r>
      <w:r>
        <w:rPr>
          <w:i/>
          <w:iCs/>
          <w:lang w:val="en-IE"/>
        </w:rPr>
        <w:t>Irish Orientalism</w:t>
      </w:r>
      <w:r>
        <w:rPr>
          <w:lang w:val="en-IE"/>
        </w:rPr>
        <w:t xml:space="preserve"> addressed some topics that arose in the aforementioned books, including the round towers that fascinated Vallancey and, later, George Petrie.</w:t>
      </w:r>
      <w:r>
        <w:rPr>
          <w:rStyle w:val="EndnoteReference"/>
          <w:lang w:val="en-IE"/>
        </w:rPr>
        <w:endnoteReference w:id="7"/>
      </w:r>
      <w:r>
        <w:rPr>
          <w:lang w:val="en-IE"/>
        </w:rPr>
        <w:t xml:space="preserve"> </w:t>
      </w:r>
      <w:r>
        <w:t xml:space="preserve">Writing with different aims from O’Halloran, </w:t>
      </w:r>
      <w:r>
        <w:t>Lennon reached some similar conclusions. Asking why Ireland’s origin legends persisted after most European countries had abandoned them (he says by the sixteenth, if not the thirteenth century), he wrote of ‘Irish culture’s collective need… for a certain a</w:t>
      </w:r>
      <w:r>
        <w:t>nd noble past in light of its uncertain future’. For Lennon, ‘they survived because they still had a cultural relevance… affirming an identity through a representation of the past.’</w:t>
      </w:r>
      <w:r>
        <w:rPr>
          <w:rStyle w:val="EndnoteReference"/>
        </w:rPr>
        <w:endnoteReference w:id="8"/>
      </w:r>
    </w:p>
    <w:p w:rsidR="00000000" w:rsidRDefault="009F1A26">
      <w:r>
        <w:rPr>
          <w:lang w:val="en-IE"/>
        </w:rPr>
        <w:t>In her epilogue, when discussing why origin myths had more persistence in</w:t>
      </w:r>
      <w:r>
        <w:rPr>
          <w:lang w:val="en-IE"/>
        </w:rPr>
        <w:t xml:space="preserve"> Ireland than in Scotland, O’Halloran similarly gives a clue to how Leerssen’s question could be answered in relation to the myth of Celtic chess: ‘The Irish experience shows that origin myths and the perspectives of romantic antiquarianism can survive in </w:t>
      </w:r>
      <w:r>
        <w:rPr>
          <w:lang w:val="en-IE"/>
        </w:rPr>
        <w:t>the face of sustained and authoritative challenges, so long as there is a felt need for them.’</w:t>
      </w:r>
      <w:r>
        <w:rPr>
          <w:rStyle w:val="EndnoteReference"/>
          <w:lang w:val="en-IE"/>
        </w:rPr>
        <w:endnoteReference w:id="9"/>
      </w:r>
      <w:r>
        <w:rPr>
          <w:lang w:val="en-IE"/>
        </w:rPr>
        <w:t xml:space="preserve"> </w:t>
      </w:r>
      <w:r>
        <w:t>So why was there a need? From seventeenth century writer Geoffrey Keating onwards,</w:t>
      </w:r>
      <w:r>
        <w:rPr>
          <w:rStyle w:val="EndnoteReference"/>
        </w:rPr>
        <w:endnoteReference w:id="10"/>
      </w:r>
      <w:r>
        <w:t xml:space="preserve"> the ‘civilization versus barbarism’ issue was central to the ways that Irela</w:t>
      </w:r>
      <w:r>
        <w:t xml:space="preserve">nd was imagined. In his </w:t>
      </w:r>
      <w:r>
        <w:rPr>
          <w:i/>
        </w:rPr>
        <w:t>Foras Feasa ar Éirinn</w:t>
      </w:r>
      <w:r>
        <w:t>, Keating rejected the counter-myth of Gerald of Wales, arguing that Ireland was civilised before England: what O’Halloran calls the concept of Ireland as the ‘elder sister’. Arguing which of the two countries f</w:t>
      </w:r>
      <w:r>
        <w:t>irst practised a game of skill such as chess could then be relevant. Since chess has frequently been seen as indicative of a high level of civilization, if it were proved that the ancient Irish played the game (or something very like it) before the Anglo-N</w:t>
      </w:r>
      <w:r>
        <w:t xml:space="preserve">orman invasion, then this could bear some political weight. So even if </w:t>
      </w:r>
      <w:r>
        <w:rPr>
          <w:i/>
          <w:iCs/>
        </w:rPr>
        <w:t>fidchell, brandub</w:t>
      </w:r>
      <w:r>
        <w:t xml:space="preserve"> and their Welsh equivalents were not chess, and cannot lay claim to the cultural attributes associated with that game, they could still to some extent be adduced as ev</w:t>
      </w:r>
      <w:r>
        <w:t xml:space="preserve">idence of early Irish cultural attainment. For proving a ‘golden age’ as against allegations of a ‘barbarous nation’, it is not actually requisite for </w:t>
      </w:r>
      <w:r>
        <w:rPr>
          <w:i/>
        </w:rPr>
        <w:t>fidchell</w:t>
      </w:r>
      <w:r>
        <w:t xml:space="preserve"> to be chess, only for it to be a game of skill played by Irishmen at a time when the English wer</w:t>
      </w:r>
      <w:r>
        <w:t>e allegedly barbarians.</w:t>
      </w:r>
    </w:p>
    <w:p w:rsidR="00000000" w:rsidRDefault="009F1A26">
      <w:pPr>
        <w:rPr>
          <w:lang w:val="en-IE"/>
        </w:rPr>
      </w:pPr>
      <w:r>
        <w:rPr>
          <w:lang w:val="en-IE"/>
        </w:rPr>
        <w:lastRenderedPageBreak/>
        <w:t>It is true that some ancient stories describe chessboards and chessmen being used as weapons. Many feature arguments over games leading to fights or killings,</w:t>
      </w:r>
      <w:r>
        <w:rPr>
          <w:rStyle w:val="EndnoteReference"/>
          <w:lang w:val="en-IE"/>
        </w:rPr>
        <w:endnoteReference w:id="11"/>
      </w:r>
      <w:r>
        <w:rPr>
          <w:lang w:val="en-IE"/>
        </w:rPr>
        <w:t xml:space="preserve"> while some cruel conquerors like Tamerlaine were also reputed to be keen</w:t>
      </w:r>
      <w:r>
        <w:rPr>
          <w:lang w:val="en-IE"/>
        </w:rPr>
        <w:t xml:space="preserve"> chess-players. To modern eyes, civilization and barbarism may go hand in hand, at the one time, in one culture and even in the same individual. In the eighteenth and nineteenth centuries, this was probably viewed differently. Cuchulain, player of games an</w:t>
      </w:r>
      <w:r>
        <w:rPr>
          <w:lang w:val="en-IE"/>
        </w:rPr>
        <w:t>d warrior with an extraordinarily high body-count of victims, nevertheless always fought fairly. The Gaelic hero was portrayed as having many-sided virtues: fighter, lover, chess champion.</w:t>
      </w:r>
    </w:p>
    <w:p w:rsidR="00000000" w:rsidRDefault="009F1A26">
      <w:pPr>
        <w:pStyle w:val="Heading3"/>
        <w:rPr>
          <w:highlight w:val="yellow"/>
        </w:rPr>
      </w:pPr>
      <w:r>
        <w:t>II</w:t>
      </w:r>
    </w:p>
    <w:p w:rsidR="00000000" w:rsidRDefault="009F1A26">
      <w:r>
        <w:t>Before examining how references to ‘chess’ were developed and as</w:t>
      </w:r>
      <w:r>
        <w:t xml:space="preserve">similated into a belief system about Gaelic games which endured for a long time, a short linguistic digression is essential. The old Irish word </w:t>
      </w:r>
      <w:r>
        <w:rPr>
          <w:i/>
          <w:iCs/>
        </w:rPr>
        <w:t>fidchell</w:t>
      </w:r>
      <w:r>
        <w:t xml:space="preserve"> (or variants upon it) are normally translated as ‘chess’. Similarly in Welsh, </w:t>
      </w:r>
      <w:r>
        <w:rPr>
          <w:i/>
        </w:rPr>
        <w:t>gwyddbwyll</w:t>
      </w:r>
      <w:r>
        <w:t xml:space="preserve"> is both a game</w:t>
      </w:r>
      <w:r>
        <w:t xml:space="preserve">-name in ancient texts and the modern word for chess, while Breton has </w:t>
      </w:r>
      <w:r>
        <w:rPr>
          <w:i/>
          <w:iCs/>
        </w:rPr>
        <w:t>gwezbouell</w:t>
      </w:r>
      <w:r>
        <w:t>; philologists have established that the three Celtic words are strictly parallel forms, combining the notions of wood and thought. This implies that the three games were prob</w:t>
      </w:r>
      <w:r>
        <w:t xml:space="preserve">ably the same, and that (notwithstanding descriptions of jewelled sets) they were usually played using wooden pieces or on a wooden board, but there is only fragmentary evidence about the nature of the original Celtic pastimes. </w:t>
      </w:r>
      <w:r>
        <w:rPr>
          <w:bCs/>
          <w:lang w:val="en-IE"/>
        </w:rPr>
        <w:t>Somehow the name of one game</w:t>
      </w:r>
      <w:r>
        <w:rPr>
          <w:bCs/>
          <w:lang w:val="en-IE"/>
        </w:rPr>
        <w:t xml:space="preserve"> became transferred to another. T</w:t>
      </w:r>
      <w:r>
        <w:t>his weak form of the myth is not just a local phenomenon; Joseph Strutt wrote that the Saxons in ninth century England liked chess.</w:t>
      </w:r>
      <w:r>
        <w:rPr>
          <w:rStyle w:val="EndnoteReference"/>
        </w:rPr>
        <w:endnoteReference w:id="12"/>
      </w:r>
      <w:r>
        <w:t xml:space="preserve"> </w:t>
      </w:r>
      <w:r>
        <w:rPr>
          <w:lang w:val="en-IE"/>
        </w:rPr>
        <w:t xml:space="preserve">Nineteenth century Dutch scholar </w:t>
      </w:r>
      <w:r>
        <w:t>Antonius van der Linde, coining the term</w:t>
      </w:r>
      <w:r>
        <w:rPr>
          <w:bCs/>
          <w:lang w:val="en-IE"/>
        </w:rPr>
        <w:t xml:space="preserve"> ‘Pseudoschach’ (</w:t>
      </w:r>
      <w:r>
        <w:rPr>
          <w:bCs/>
          <w:lang w:val="en-IE"/>
        </w:rPr>
        <w:t xml:space="preserve">pseudo-chess), cautioned: </w:t>
      </w:r>
      <w:r>
        <w:t>‘It has been the fate of almost all unknown board games — whether of the Egyptians, Indians, Chinese, Persians, Arabs, Jews, Greeks, Romans, Celts, Scandinavians, yes even the Redskins — to be identified with chess.’</w:t>
      </w:r>
      <w:r>
        <w:rPr>
          <w:rStyle w:val="EndnoteReference"/>
        </w:rPr>
        <w:endnoteReference w:id="13"/>
      </w:r>
    </w:p>
    <w:p w:rsidR="00000000" w:rsidRDefault="009F1A26">
      <w:r>
        <w:t>In the Celti</w:t>
      </w:r>
      <w:r>
        <w:t>c languages, however, there is a difference. ‘Chess’ and ‘checkmate’ come from Persian</w:t>
      </w:r>
      <w:r>
        <w:rPr>
          <w:i/>
        </w:rPr>
        <w:t xml:space="preserve"> shah mat</w:t>
      </w:r>
      <w:r>
        <w:t xml:space="preserve">, meaning ‘the king is dead’, and </w:t>
      </w:r>
      <w:r>
        <w:rPr>
          <w:i/>
        </w:rPr>
        <w:t>shah</w:t>
      </w:r>
      <w:r>
        <w:t xml:space="preserve"> is echoed in many European languages: German </w:t>
      </w:r>
      <w:r>
        <w:rPr>
          <w:i/>
        </w:rPr>
        <w:t>schach, skak</w:t>
      </w:r>
      <w:r>
        <w:t xml:space="preserve"> (and similar in most Nordic languages)</w:t>
      </w:r>
      <w:r>
        <w:rPr>
          <w:i/>
        </w:rPr>
        <w:t>, scacchi</w:t>
      </w:r>
      <w:r>
        <w:t xml:space="preserve"> (Italian)</w:t>
      </w:r>
      <w:r>
        <w:rPr>
          <w:i/>
        </w:rPr>
        <w:t xml:space="preserve">, </w:t>
      </w:r>
      <w:r>
        <w:t>Frenc</w:t>
      </w:r>
      <w:r>
        <w:t xml:space="preserve">h </w:t>
      </w:r>
      <w:r>
        <w:rPr>
          <w:i/>
        </w:rPr>
        <w:t>échecs,</w:t>
      </w:r>
      <w:r>
        <w:t xml:space="preserve"> Russian</w:t>
      </w:r>
      <w:r>
        <w:rPr>
          <w:i/>
        </w:rPr>
        <w:t xml:space="preserve"> shakmaty</w:t>
      </w:r>
      <w:r>
        <w:t xml:space="preserve"> [шахматы]; while Portuguese </w:t>
      </w:r>
      <w:r>
        <w:rPr>
          <w:i/>
        </w:rPr>
        <w:lastRenderedPageBreak/>
        <w:t>xadrez</w:t>
      </w:r>
      <w:r>
        <w:t xml:space="preserve"> and Spanish </w:t>
      </w:r>
      <w:r>
        <w:rPr>
          <w:i/>
        </w:rPr>
        <w:t>ajedrez</w:t>
      </w:r>
      <w:r>
        <w:t xml:space="preserve"> reached Iberia via North Africa. Even Hungarian, not an Indo-European language, has </w:t>
      </w:r>
      <w:r>
        <w:rPr>
          <w:i/>
        </w:rPr>
        <w:t>sakk</w:t>
      </w:r>
      <w:r>
        <w:t>; the Magyar people borrowed it from the Turks centuries ago. The key point is that, by borrowing the name along</w:t>
      </w:r>
      <w:r>
        <w:t xml:space="preserve"> with the game itself, these peoples avoided confusion between the new game and any pre-existing board games of skill in their cultures, but the Irish, Welsh, and Bretons did not. This paper does not advance any theory about why this was the case, but othe</w:t>
      </w:r>
      <w:r>
        <w:t>rwise the myth of Celtic Chess could not have arisen. To summarise, the following distinct processes must have occurred:</w:t>
      </w:r>
    </w:p>
    <w:p w:rsidR="00000000" w:rsidRDefault="009F1A26">
      <w:r>
        <w:t>i) The name of an old game, no longer played, was remembered because it survived in old manuscripts and oral tradition.</w:t>
      </w:r>
    </w:p>
    <w:p w:rsidR="00000000" w:rsidRDefault="009F1A26">
      <w:r>
        <w:t xml:space="preserve">ii) When a new </w:t>
      </w:r>
      <w:r>
        <w:t>game came to Ireland, the old Irish name was applied to it, unlike what happened in continental Europe.</w:t>
      </w:r>
    </w:p>
    <w:p w:rsidR="00000000" w:rsidRDefault="009F1A26">
      <w:r>
        <w:t>iii) Scribes and scholars later assumed the references were to what they knew as chess in their own time.</w:t>
      </w:r>
    </w:p>
    <w:p w:rsidR="00000000" w:rsidRDefault="009F1A26">
      <w:r>
        <w:t xml:space="preserve">iv) The modern Irish equivalence </w:t>
      </w:r>
      <w:r>
        <w:rPr>
          <w:i/>
        </w:rPr>
        <w:t>fidchell = ch</w:t>
      </w:r>
      <w:r>
        <w:rPr>
          <w:i/>
        </w:rPr>
        <w:t>ess</w:t>
      </w:r>
      <w:r>
        <w:t xml:space="preserve"> made it difficult to understand (without special knowledge) that old texts were not about chess — especially when propagandists found it convenient to blur the distinction.</w:t>
      </w:r>
    </w:p>
    <w:p w:rsidR="00000000" w:rsidRDefault="009F1A26">
      <w:pPr>
        <w:pStyle w:val="Heading3"/>
      </w:pPr>
      <w:r>
        <w:t>III</w:t>
      </w:r>
    </w:p>
    <w:p w:rsidR="00000000" w:rsidRDefault="009F1A26">
      <w:r>
        <w:t>From the 1690s to the nineteenth century, a succession of linguists and ant</w:t>
      </w:r>
      <w:r>
        <w:t xml:space="preserve">iquaries with a broad interest in cultural linkages noted how board-games, of which chess was the most widespread, featured in accounts of many societies, including pre-Norman Ireland and Wales. Dr Thomas Hyde, </w:t>
      </w:r>
      <w:r>
        <w:rPr>
          <w:lang w:val="en-IE"/>
        </w:rPr>
        <w:t>royal interpreter of oriental languages and B</w:t>
      </w:r>
      <w:r>
        <w:rPr>
          <w:lang w:val="en-IE"/>
        </w:rPr>
        <w:t xml:space="preserve">odley’s librarian in the late seventeenth century, was </w:t>
      </w:r>
      <w:r>
        <w:t>the first historian of board-games</w:t>
      </w:r>
      <w:r>
        <w:rPr>
          <w:lang w:val="en-IE"/>
        </w:rPr>
        <w:t xml:space="preserve">. His </w:t>
      </w:r>
      <w:r>
        <w:rPr>
          <w:i/>
          <w:iCs/>
          <w:lang w:val="en-IE"/>
        </w:rPr>
        <w:t xml:space="preserve">De Ludis Orientalibus </w:t>
      </w:r>
      <w:r>
        <w:rPr>
          <w:lang w:val="en-IE"/>
        </w:rPr>
        <w:t>(1694) deals chiefly with chess and nard (similar to backgammon).</w:t>
      </w:r>
      <w:r>
        <w:rPr>
          <w:rStyle w:val="EndnoteReference"/>
        </w:rPr>
        <w:endnoteReference w:id="14"/>
      </w:r>
      <w:r>
        <w:rPr>
          <w:lang w:val="en-IE"/>
        </w:rPr>
        <w:t xml:space="preserve"> In Latin, with extensive quotations in Hebrew and other oriental languag</w:t>
      </w:r>
      <w:r>
        <w:rPr>
          <w:lang w:val="en-IE"/>
        </w:rPr>
        <w:t>es,</w:t>
      </w:r>
      <w:r>
        <w:t xml:space="preserve"> it mentioned legends of chess amongst the Welsh, Scots, and Irish,</w:t>
      </w:r>
      <w:r>
        <w:rPr>
          <w:rStyle w:val="EndnoteReference"/>
        </w:rPr>
        <w:endnoteReference w:id="15"/>
      </w:r>
      <w:r>
        <w:t xml:space="preserve"> including a bequest of chess sets in the Testament of Cahir Mor, who (Hyde said) died in 177 AD. Hyde was told this by ‘my dear friend father Narcissus Marsh’, who found it in the Code</w:t>
      </w:r>
      <w:r>
        <w:t>x Lecan:</w:t>
      </w:r>
    </w:p>
    <w:p w:rsidR="00000000" w:rsidRDefault="009F1A26">
      <w:pPr>
        <w:pStyle w:val="Quote"/>
        <w:spacing w:after="360"/>
      </w:pPr>
      <w:r>
        <w:lastRenderedPageBreak/>
        <w:t xml:space="preserve">‘Cahir or Cathir the Great… bequeathed to his son Falcius and certain other nobles, among many other things, five game boards called </w:t>
      </w:r>
      <w:r>
        <w:rPr>
          <w:i/>
          <w:iCs/>
        </w:rPr>
        <w:t xml:space="preserve">Ficcell [Fichell] </w:t>
      </w:r>
      <w:r>
        <w:t xml:space="preserve">and five sets of chess pieces called </w:t>
      </w:r>
      <w:r>
        <w:rPr>
          <w:i/>
          <w:iCs/>
        </w:rPr>
        <w:t>Branndab [Brannaw].</w:t>
      </w:r>
      <w:r>
        <w:t xml:space="preserve"> And he left his son Crinthannus ten ver</w:t>
      </w:r>
      <w:r>
        <w:t>y ornate playing tables and two chess boards with various different pieces.’</w:t>
      </w:r>
      <w:r>
        <w:rPr>
          <w:rStyle w:val="EndnoteReference"/>
        </w:rPr>
        <w:endnoteReference w:id="16"/>
      </w:r>
    </w:p>
    <w:p w:rsidR="00000000" w:rsidRDefault="009F1A26">
      <w:r>
        <w:t xml:space="preserve">Hyde’s account resurfaced in Robert Lambe’s </w:t>
      </w:r>
      <w:r>
        <w:rPr>
          <w:rStyle w:val="BookTitle"/>
          <w:sz w:val="24"/>
        </w:rPr>
        <w:t>The history of chess</w:t>
      </w:r>
      <w:r>
        <w:rPr>
          <w:rStyle w:val="BookTitle"/>
          <w:i w:val="0"/>
          <w:sz w:val="24"/>
        </w:rPr>
        <w:t xml:space="preserve">, </w:t>
      </w:r>
      <w:r>
        <w:rPr>
          <w:lang w:val="en-IE"/>
        </w:rPr>
        <w:t>Abbé MacGeoghegan’s</w:t>
      </w:r>
      <w:r>
        <w:t xml:space="preserve"> </w:t>
      </w:r>
      <w:r>
        <w:rPr>
          <w:i/>
          <w:iCs/>
          <w:lang w:val="en-IE"/>
        </w:rPr>
        <w:t>History of Ireland, Ancient and Modern</w:t>
      </w:r>
      <w:r>
        <w:t>,</w:t>
      </w:r>
      <w:r>
        <w:rPr>
          <w:rStyle w:val="EndnoteReference"/>
        </w:rPr>
        <w:endnoteReference w:id="17"/>
      </w:r>
      <w:r>
        <w:rPr>
          <w:rStyle w:val="BookTitle"/>
          <w:i w:val="0"/>
          <w:iCs/>
          <w:sz w:val="24"/>
        </w:rPr>
        <w:t xml:space="preserve"> and afterwards in Richard Twiss’s </w:t>
      </w:r>
      <w:r>
        <w:rPr>
          <w:rStyle w:val="BookTitle"/>
          <w:sz w:val="24"/>
        </w:rPr>
        <w:t>Chess</w:t>
      </w:r>
      <w:r>
        <w:rPr>
          <w:rStyle w:val="BookTitle"/>
          <w:i w:val="0"/>
          <w:iCs/>
          <w:sz w:val="24"/>
        </w:rPr>
        <w:t>.</w:t>
      </w:r>
      <w:r>
        <w:rPr>
          <w:rStyle w:val="EndnoteReference"/>
          <w:iCs/>
        </w:rPr>
        <w:endnoteReference w:id="18"/>
      </w:r>
      <w:r>
        <w:rPr>
          <w:rStyle w:val="BookTitle"/>
          <w:i w:val="0"/>
          <w:iCs/>
          <w:sz w:val="24"/>
        </w:rPr>
        <w:t xml:space="preserve"> Twiss, wh</w:t>
      </w:r>
      <w:r>
        <w:rPr>
          <w:rStyle w:val="BookTitle"/>
          <w:i w:val="0"/>
          <w:iCs/>
          <w:sz w:val="24"/>
        </w:rPr>
        <w:t>o had visited Ireland,</w:t>
      </w:r>
      <w:r>
        <w:rPr>
          <w:rStyle w:val="EndnoteReference"/>
          <w:iCs/>
        </w:rPr>
        <w:endnoteReference w:id="19"/>
      </w:r>
      <w:r>
        <w:rPr>
          <w:rStyle w:val="BookTitle"/>
          <w:i w:val="0"/>
          <w:iCs/>
          <w:sz w:val="24"/>
        </w:rPr>
        <w:t xml:space="preserve"> made enquiries here about Hyde’s references to Irish chess. His second volume included letters received from Theophilus O’Flanagan, of Trinity College,</w:t>
      </w:r>
      <w:r>
        <w:rPr>
          <w:rStyle w:val="EndnoteReference"/>
          <w:iCs/>
        </w:rPr>
        <w:endnoteReference w:id="20"/>
      </w:r>
      <w:r>
        <w:rPr>
          <w:rStyle w:val="BookTitle"/>
          <w:i w:val="0"/>
          <w:iCs/>
          <w:sz w:val="24"/>
        </w:rPr>
        <w:t xml:space="preserve"> and academician Joseph Cooper Walker, author of </w:t>
      </w:r>
      <w:r>
        <w:rPr>
          <w:rStyle w:val="BookTitle"/>
          <w:sz w:val="24"/>
        </w:rPr>
        <w:t>Historical Memoirs of the Irish</w:t>
      </w:r>
      <w:r>
        <w:rPr>
          <w:rStyle w:val="BookTitle"/>
          <w:sz w:val="24"/>
        </w:rPr>
        <w:t xml:space="preserve"> Bards</w:t>
      </w:r>
      <w:r>
        <w:rPr>
          <w:rStyle w:val="BookTitle"/>
          <w:i w:val="0"/>
          <w:iCs/>
          <w:sz w:val="24"/>
        </w:rPr>
        <w:t xml:space="preserve"> (1786).</w:t>
      </w:r>
      <w:r>
        <w:rPr>
          <w:rStyle w:val="EndnoteReference"/>
          <w:iCs/>
        </w:rPr>
        <w:endnoteReference w:id="21"/>
      </w:r>
      <w:r>
        <w:rPr>
          <w:rStyle w:val="BookTitle"/>
          <w:i w:val="0"/>
          <w:iCs/>
          <w:sz w:val="24"/>
        </w:rPr>
        <w:t xml:space="preserve"> O’Flanagan told Twiss that Hyde’s passage was correct ‘if the words </w:t>
      </w:r>
      <w:r>
        <w:rPr>
          <w:rStyle w:val="BookTitle"/>
          <w:sz w:val="24"/>
        </w:rPr>
        <w:t>Fitchell</w:t>
      </w:r>
      <w:r>
        <w:rPr>
          <w:rStyle w:val="BookTitle"/>
          <w:i w:val="0"/>
          <w:iCs/>
          <w:sz w:val="24"/>
        </w:rPr>
        <w:t xml:space="preserve"> and </w:t>
      </w:r>
      <w:r>
        <w:rPr>
          <w:rStyle w:val="BookTitle"/>
          <w:sz w:val="24"/>
        </w:rPr>
        <w:t>Foirn</w:t>
      </w:r>
      <w:r>
        <w:rPr>
          <w:rStyle w:val="BookTitle"/>
          <w:i w:val="0"/>
          <w:iCs/>
          <w:sz w:val="24"/>
        </w:rPr>
        <w:t xml:space="preserve"> or </w:t>
      </w:r>
      <w:r>
        <w:rPr>
          <w:rStyle w:val="BookTitle"/>
          <w:sz w:val="24"/>
        </w:rPr>
        <w:t>Muintir</w:t>
      </w:r>
      <w:r>
        <w:rPr>
          <w:rStyle w:val="BookTitle"/>
          <w:i w:val="0"/>
          <w:iCs/>
          <w:sz w:val="24"/>
        </w:rPr>
        <w:t xml:space="preserve"> mean </w:t>
      </w:r>
      <w:r>
        <w:rPr>
          <w:rStyle w:val="BookTitle"/>
          <w:sz w:val="24"/>
        </w:rPr>
        <w:t>Chess-boards</w:t>
      </w:r>
      <w:r>
        <w:rPr>
          <w:rStyle w:val="BookTitle"/>
          <w:i w:val="0"/>
          <w:iCs/>
          <w:sz w:val="24"/>
        </w:rPr>
        <w:t xml:space="preserve"> and </w:t>
      </w:r>
      <w:r>
        <w:rPr>
          <w:rStyle w:val="BookTitle"/>
          <w:sz w:val="24"/>
        </w:rPr>
        <w:t>Chess’</w:t>
      </w:r>
      <w:r>
        <w:rPr>
          <w:rStyle w:val="BookTitle"/>
          <w:i w:val="0"/>
          <w:iCs/>
          <w:sz w:val="24"/>
        </w:rPr>
        <w:t>; but he warned that it had been disputed whether the Testament referred to chess, draughts, or backgammon, the la</w:t>
      </w:r>
      <w:r>
        <w:rPr>
          <w:rStyle w:val="BookTitle"/>
          <w:i w:val="0"/>
          <w:iCs/>
          <w:sz w:val="24"/>
        </w:rPr>
        <w:t xml:space="preserve">tter being games more commonly played in Ireland at present. Nobody, until much later, seems to have suggested that it might be none of these. </w:t>
      </w:r>
      <w:r>
        <w:t>O’Flanagan’s letter to Twiss clearly placed the issue of chess in a current argument about culture versus barbari</w:t>
      </w:r>
      <w:r>
        <w:t>sm:</w:t>
      </w:r>
    </w:p>
    <w:p w:rsidR="00000000" w:rsidRDefault="009F1A26">
      <w:pPr>
        <w:pStyle w:val="Quote"/>
        <w:rPr>
          <w:highlight w:val="yellow"/>
        </w:rPr>
      </w:pPr>
      <w:r>
        <w:t>‘Moreover, some people who never let slip an opportunity of gratifying a silly prejudice against every argument or fact that may reflect any degree or credit on the ancient Irish, insist that it was too noble a game for their barbarous state, and too c</w:t>
      </w:r>
      <w:r>
        <w:t>omplex for their weak comprehensions; and that also it would be admitting their having either in their origin or separate state, a communication with the East; which they affirm to be a barbarous fiction.’</w:t>
      </w:r>
      <w:r>
        <w:rPr>
          <w:rStyle w:val="EndnoteReference"/>
        </w:rPr>
        <w:endnoteReference w:id="22"/>
      </w:r>
    </w:p>
    <w:p w:rsidR="00000000" w:rsidRDefault="009F1A26">
      <w:r>
        <w:t>This was possibly in response to a paper read bef</w:t>
      </w:r>
      <w:r>
        <w:t>ore the Society of Antiquaries on 10 May 1787, where Daines Barrington examined various passages in Greek literature supposedly relating to chess. He correctly pointed out that none of these allude to ‘putting the Enemy’s King in such a situation that he c</w:t>
      </w:r>
      <w:r>
        <w:t>annot be extricated, which is the great object of each player’ and so cannot be describing what we know as chess.</w:t>
      </w:r>
      <w:r>
        <w:rPr>
          <w:rStyle w:val="EndnoteReference"/>
        </w:rPr>
        <w:endnoteReference w:id="23"/>
      </w:r>
      <w:r>
        <w:t xml:space="preserve"> Later, referring to Hyde’s anecdote about a large estate being the stake in an </w:t>
      </w:r>
      <w:r>
        <w:lastRenderedPageBreak/>
        <w:t>Irish chess match,</w:t>
      </w:r>
      <w:r>
        <w:rPr>
          <w:rStyle w:val="EndnoteReference"/>
        </w:rPr>
        <w:endnoteReference w:id="24"/>
      </w:r>
      <w:r>
        <w:t xml:space="preserve"> Barrington wrote in terms which were both </w:t>
      </w:r>
      <w:r>
        <w:t>ignorant about Celtic languages and revealing of his colonial prejudices:</w:t>
      </w:r>
    </w:p>
    <w:p w:rsidR="00000000" w:rsidRDefault="009F1A26">
      <w:pPr>
        <w:pStyle w:val="Quote"/>
        <w:rPr>
          <w:highlight w:val="yellow"/>
        </w:rPr>
      </w:pPr>
      <w:r>
        <w:t>‘I must own however that I have some doubts with regard to these facts, as neither of these countries were scarcely civilized till the latter end of the reign of Henry the Eighth. As</w:t>
      </w:r>
      <w:r>
        <w:t xml:space="preserve"> for Wales, I doubt much whether they have a term for the game in their own language, which probably is true likewise in regard to the Irish.’</w:t>
      </w:r>
      <w:r>
        <w:rPr>
          <w:rStyle w:val="EndnoteReference"/>
        </w:rPr>
        <w:endnoteReference w:id="25"/>
      </w:r>
    </w:p>
    <w:p w:rsidR="00000000" w:rsidRDefault="009F1A26">
      <w:r>
        <w:rPr>
          <w:lang w:val="en-IE"/>
        </w:rPr>
        <w:t xml:space="preserve">Eighteenth century visitors to Asia found games akin to western chess and wrote articles comparing them. </w:t>
      </w:r>
      <w:r>
        <w:t>An Iris</w:t>
      </w:r>
      <w:r>
        <w:t>h Academy essay by Eyles Irwin was one of the earliest accounts of Chinese chess (</w:t>
      </w:r>
      <w:r>
        <w:rPr>
          <w:i/>
          <w:iCs/>
        </w:rPr>
        <w:t>xianqi</w:t>
      </w:r>
      <w:r>
        <w:t>) to appear in Europe.</w:t>
      </w:r>
      <w:r>
        <w:rPr>
          <w:rStyle w:val="EndnoteReference"/>
        </w:rPr>
        <w:endnoteReference w:id="26"/>
      </w:r>
      <w:r>
        <w:t xml:space="preserve"> Sir William Jones (who worked first in Persia and then in India) also investigated oriental chess, about which Vallancey may have learned from h</w:t>
      </w:r>
      <w:r>
        <w:t>im.</w:t>
      </w:r>
      <w:r>
        <w:rPr>
          <w:rStyle w:val="EndnoteReference"/>
        </w:rPr>
        <w:endnoteReference w:id="27"/>
      </w:r>
      <w:r>
        <w:t xml:space="preserve"> O’Halloran has shown that Vallancey’s knowledge of Irish was extremely imperfect, so he relied on translations and interpretations provided for him by native speakers,</w:t>
      </w:r>
      <w:r>
        <w:rPr>
          <w:rStyle w:val="EndnoteReference"/>
        </w:rPr>
        <w:endnoteReference w:id="28"/>
      </w:r>
      <w:r>
        <w:t xml:space="preserve"> especially Charles O’Conor and Maurice O’Gorman, when compiling his </w:t>
      </w:r>
      <w:r>
        <w:rPr>
          <w:i/>
          <w:iCs/>
        </w:rPr>
        <w:t>Essay on the A</w:t>
      </w:r>
      <w:r>
        <w:rPr>
          <w:i/>
          <w:iCs/>
        </w:rPr>
        <w:t>ntiquity of the Irish Language</w:t>
      </w:r>
      <w:r>
        <w:t xml:space="preserve"> (1772), his </w:t>
      </w:r>
      <w:r>
        <w:rPr>
          <w:i/>
          <w:iCs/>
        </w:rPr>
        <w:t>Grammar of the Iberno-Celtic</w:t>
      </w:r>
      <w:r>
        <w:t xml:space="preserve"> (1773), and his occasional periodical </w:t>
      </w:r>
      <w:r>
        <w:rPr>
          <w:i/>
          <w:iCs/>
        </w:rPr>
        <w:t>Collectanea de Rebus Hibernicis.</w:t>
      </w:r>
      <w:r>
        <w:rPr>
          <w:rStyle w:val="EndnoteReference"/>
        </w:rPr>
        <w:endnoteReference w:id="29"/>
      </w:r>
      <w:r>
        <w:t xml:space="preserve"> References to chess and chess-boards appear in various places in Vallancey’s work but his readings and translati</w:t>
      </w:r>
      <w:r>
        <w:t>ons cannot be relied upon.</w:t>
      </w:r>
      <w:r>
        <w:rPr>
          <w:rStyle w:val="EndnoteReference"/>
        </w:rPr>
        <w:endnoteReference w:id="30"/>
      </w:r>
      <w:r>
        <w:t xml:space="preserve"> Much of what Walker wrote to Twiss was based on Vallancey:</w:t>
      </w:r>
    </w:p>
    <w:p w:rsidR="00000000" w:rsidRDefault="009F1A26">
      <w:pPr>
        <w:pStyle w:val="Quote"/>
      </w:pPr>
      <w:r>
        <w:t xml:space="preserve">‘Chess… was a favourite game amongst the early Irish, and the amusement of the chiefs in their camps. It is called </w:t>
      </w:r>
      <w:r>
        <w:rPr>
          <w:i/>
          <w:iCs/>
        </w:rPr>
        <w:t>Fill</w:t>
      </w:r>
      <w:r>
        <w:t xml:space="preserve">, and sometimes </w:t>
      </w:r>
      <w:r>
        <w:rPr>
          <w:i/>
          <w:iCs/>
        </w:rPr>
        <w:t>Fitchill</w:t>
      </w:r>
      <w:r>
        <w:t xml:space="preserve">, to distinguish it from </w:t>
      </w:r>
      <w:r>
        <w:rPr>
          <w:i/>
          <w:iCs/>
        </w:rPr>
        <w:t>F</w:t>
      </w:r>
      <w:r>
        <w:rPr>
          <w:i/>
          <w:iCs/>
        </w:rPr>
        <w:t>all</w:t>
      </w:r>
      <w:r>
        <w:t xml:space="preserve">, another game on the Tables, which are called </w:t>
      </w:r>
      <w:r>
        <w:rPr>
          <w:i/>
          <w:iCs/>
        </w:rPr>
        <w:t>Taibble-Fill</w:t>
      </w:r>
      <w:r>
        <w:t xml:space="preserve">. The origin of </w:t>
      </w:r>
      <w:r>
        <w:rPr>
          <w:i/>
          <w:iCs/>
        </w:rPr>
        <w:t>Fill</w:t>
      </w:r>
      <w:r>
        <w:t xml:space="preserve"> in Ireland, eludes the grasp of History…’</w:t>
      </w:r>
      <w:r>
        <w:rPr>
          <w:rStyle w:val="EndnoteReference"/>
        </w:rPr>
        <w:endnoteReference w:id="31"/>
      </w:r>
    </w:p>
    <w:p w:rsidR="00000000" w:rsidRDefault="009F1A26">
      <w:r>
        <w:t>Walker also mentioned references found by Vallancey and his colleagues in the Brehon laws and other texts, and commented with appa</w:t>
      </w:r>
      <w:r>
        <w:t xml:space="preserve">rent scepticism about Vallancey’s equating </w:t>
      </w:r>
      <w:r>
        <w:rPr>
          <w:i/>
          <w:iCs/>
        </w:rPr>
        <w:t>Fill</w:t>
      </w:r>
      <w:r>
        <w:t xml:space="preserve"> with </w:t>
      </w:r>
      <w:r>
        <w:rPr>
          <w:i/>
          <w:iCs/>
        </w:rPr>
        <w:t>Phil</w:t>
      </w:r>
      <w:r>
        <w:t xml:space="preserve">, which ‘(says he) is the Arabic name of Chess, from </w:t>
      </w:r>
      <w:r>
        <w:rPr>
          <w:i/>
          <w:iCs/>
        </w:rPr>
        <w:t>Phîl</w:t>
      </w:r>
      <w:r>
        <w:t>, the Elephant, one of the principal figures.’ This is partly true; the elephant is the name for the chess piece which became the bishop in mo</w:t>
      </w:r>
      <w:r>
        <w:t xml:space="preserve">dern chess. It has various names in different European languages; in Spanish it is still ‘alfil’ from the Arabic. However, the Arabic for chess is not </w:t>
      </w:r>
      <w:r>
        <w:rPr>
          <w:i/>
          <w:iCs/>
        </w:rPr>
        <w:t xml:space="preserve">Fill </w:t>
      </w:r>
      <w:r>
        <w:t xml:space="preserve">or </w:t>
      </w:r>
      <w:r>
        <w:rPr>
          <w:i/>
          <w:iCs/>
        </w:rPr>
        <w:t>Phil</w:t>
      </w:r>
      <w:r>
        <w:t xml:space="preserve"> but </w:t>
      </w:r>
      <w:r>
        <w:rPr>
          <w:i/>
          <w:iCs/>
        </w:rPr>
        <w:t>shatranj</w:t>
      </w:r>
      <w:r>
        <w:t xml:space="preserve"> or </w:t>
      </w:r>
      <w:r>
        <w:rPr>
          <w:i/>
          <w:iCs/>
        </w:rPr>
        <w:t>shitranj</w:t>
      </w:r>
      <w:r>
        <w:t xml:space="preserve">. It is unclear </w:t>
      </w:r>
      <w:r>
        <w:lastRenderedPageBreak/>
        <w:t xml:space="preserve">whether Vallancey himself had any interest in chess </w:t>
      </w:r>
      <w:r>
        <w:t>as such. The only part of his publications that are actually of any value as evidence for the history of early chess in Ireland was provided by Walker, enlarging on what he told Twiss, concerning chess clubs in Dublin in the eighteenth century, and not abo</w:t>
      </w:r>
      <w:r>
        <w:t>ut ancient Irish ‘chess’.</w:t>
      </w:r>
      <w:r>
        <w:rPr>
          <w:rStyle w:val="EndnoteReference"/>
        </w:rPr>
        <w:endnoteReference w:id="32"/>
      </w:r>
    </w:p>
    <w:p w:rsidR="00000000" w:rsidRDefault="009F1A26">
      <w:pPr>
        <w:rPr>
          <w:lang w:val="en-IE"/>
        </w:rPr>
      </w:pPr>
      <w:r>
        <w:rPr>
          <w:lang w:val="en-IE"/>
        </w:rPr>
        <w:t>O’Halloran argues that Vallancey’s orientalist concerns require him to be considered in an imperial rather than a narrow Irish context. On the narrow view, it can seem as if Vallancey was taking a paradoxical, almost traitorous p</w:t>
      </w:r>
      <w:r>
        <w:rPr>
          <w:lang w:val="en-IE"/>
        </w:rPr>
        <w:t xml:space="preserve">osition (in view of his British army career). When his contacts with Jones and their mutual interest in linguistic links between European and oriental languages are taken into account, Vallancey’s </w:t>
      </w:r>
      <w:r>
        <w:rPr>
          <w:i/>
          <w:iCs/>
          <w:lang w:val="en-IE"/>
        </w:rPr>
        <w:t>prima facie</w:t>
      </w:r>
      <w:r>
        <w:rPr>
          <w:lang w:val="en-IE"/>
        </w:rPr>
        <w:t xml:space="preserve"> absurd linking of ‘Erin and ‘Iran’, ‘Scoti’ and</w:t>
      </w:r>
      <w:r>
        <w:rPr>
          <w:lang w:val="en-IE"/>
        </w:rPr>
        <w:t xml:space="preserve"> Scythians, becomes more comprehensible. She shows how Vallancey’s transformation (as she puts it) of the Irish myth of a Milesian conquest from Spain into a belief in an oriental origin of the Irish did have some rational basis after all. </w:t>
      </w:r>
      <w:r>
        <w:t>Given Vallancey’</w:t>
      </w:r>
      <w:r>
        <w:t>s obsessive belief in an oriental origin of the Irish and their language, evidence of early oriental chess would have seemed to him not a contradiction of Celtic chess-playing but rather a strengthening of the connection he supposed to exist.</w:t>
      </w:r>
      <w:r>
        <w:rPr>
          <w:rStyle w:val="EndnoteReference"/>
        </w:rPr>
        <w:endnoteReference w:id="33"/>
      </w:r>
    </w:p>
    <w:p w:rsidR="00000000" w:rsidRDefault="009F1A26">
      <w:pPr>
        <w:rPr>
          <w:lang w:val="en-IE"/>
        </w:rPr>
      </w:pPr>
      <w:r>
        <w:t>Scholars aga</w:t>
      </w:r>
      <w:r>
        <w:t xml:space="preserve">in became interested in the origins of chess in the early 1830s, by which time </w:t>
      </w:r>
      <w:r>
        <w:rPr>
          <w:lang w:val="en-IE"/>
        </w:rPr>
        <w:t>the character of Irish nationalism had changed from eighteenth century Patriotism to one that, as Leerssen has explained:</w:t>
      </w:r>
    </w:p>
    <w:p w:rsidR="00000000" w:rsidRDefault="009F1A26">
      <w:pPr>
        <w:pStyle w:val="Quote"/>
        <w:rPr>
          <w:lang w:val="en-IE"/>
        </w:rPr>
      </w:pPr>
      <w:r>
        <w:rPr>
          <w:lang w:val="en-IE"/>
        </w:rPr>
        <w:t>‘…relies crucially on an awareness that Ireland is dist</w:t>
      </w:r>
      <w:r>
        <w:rPr>
          <w:lang w:val="en-IE"/>
        </w:rPr>
        <w:t>inct and distinctive, culturally individual and discrete, and therefore deserving of political autonomy. What is more, this cultural individuality is linked specifically, and with increasing emphasis and exclusiveness, to the nation’s Gaelic roots. In othe</w:t>
      </w:r>
      <w:r>
        <w:rPr>
          <w:lang w:val="en-IE"/>
        </w:rPr>
        <w:t>r words, a Gaelic-oriented cultural and historical self-image takes shape which is quite literally central to the Irish drive for self-determination.’</w:t>
      </w:r>
      <w:r>
        <w:rPr>
          <w:rStyle w:val="EndnoteReference"/>
          <w:lang w:val="en-IE"/>
        </w:rPr>
        <w:endnoteReference w:id="34"/>
      </w:r>
    </w:p>
    <w:p w:rsidR="00000000" w:rsidRDefault="009F1A26">
      <w:pPr>
        <w:rPr>
          <w:lang w:val="en-IE"/>
        </w:rPr>
      </w:pPr>
      <w:r>
        <w:rPr>
          <w:lang w:val="en-IE"/>
        </w:rPr>
        <w:t xml:space="preserve">References to chess occur in the writings of John O’Donovan (1806-1861) </w:t>
      </w:r>
      <w:r>
        <w:rPr>
          <w:iCs/>
        </w:rPr>
        <w:t xml:space="preserve">and Eugene O’Curry (1794-1862), </w:t>
      </w:r>
      <w:r>
        <w:rPr>
          <w:lang w:val="en-IE"/>
        </w:rPr>
        <w:t>the leading Irish language scholars of their day</w:t>
      </w:r>
      <w:r>
        <w:rPr>
          <w:iCs/>
        </w:rPr>
        <w:t>.</w:t>
      </w:r>
      <w:r>
        <w:rPr>
          <w:rStyle w:val="EndnoteReference"/>
          <w:iCs/>
        </w:rPr>
        <w:endnoteReference w:id="35"/>
      </w:r>
      <w:r>
        <w:rPr>
          <w:iCs/>
        </w:rPr>
        <w:t xml:space="preserve"> </w:t>
      </w:r>
      <w:r>
        <w:rPr>
          <w:lang w:val="en-IE"/>
        </w:rPr>
        <w:t>In particular, O’Donovan was responsible for many important translations of early Irish manuscripts. Later Irish writers up to the First World War at least appear to have relied on their interpretations ab</w:t>
      </w:r>
      <w:r>
        <w:rPr>
          <w:lang w:val="en-IE"/>
        </w:rPr>
        <w:t xml:space="preserve">out </w:t>
      </w:r>
      <w:r>
        <w:rPr>
          <w:i/>
          <w:iCs/>
          <w:lang w:val="en-IE"/>
        </w:rPr>
        <w:t>fidchell</w:t>
      </w:r>
      <w:r>
        <w:rPr>
          <w:lang w:val="en-IE"/>
        </w:rPr>
        <w:t xml:space="preserve"> and other game-references in the Brehon </w:t>
      </w:r>
      <w:r>
        <w:rPr>
          <w:lang w:val="en-IE"/>
        </w:rPr>
        <w:lastRenderedPageBreak/>
        <w:t xml:space="preserve">laws, the </w:t>
      </w:r>
      <w:r>
        <w:rPr>
          <w:i/>
          <w:iCs/>
          <w:lang w:val="en-IE"/>
        </w:rPr>
        <w:t>Book of Rights</w:t>
      </w:r>
      <w:r>
        <w:rPr>
          <w:lang w:val="en-IE"/>
        </w:rPr>
        <w:t xml:space="preserve"> and other early Irish works. In 1831 an important archaeological find, the discovery of seventy-eight game pieces on the Hebridean island of Lewis in 1831, provided new evidence </w:t>
      </w:r>
      <w:r>
        <w:rPr>
          <w:lang w:val="en-IE"/>
        </w:rPr>
        <w:t>and stimulated wider interest in the history of the game.</w:t>
      </w:r>
      <w:r>
        <w:rPr>
          <w:rStyle w:val="EndnoteReference"/>
          <w:lang w:val="en-IE"/>
        </w:rPr>
        <w:endnoteReference w:id="36"/>
      </w:r>
      <w:r>
        <w:rPr>
          <w:lang w:val="en-IE"/>
        </w:rPr>
        <w:t xml:space="preserve"> At that time O’Donovan had begun working for the Topographical Department of the Ordnance Survey, which stimulated great interest in Irish antiquities, a process in which the Dublin-born polymath P</w:t>
      </w:r>
      <w:r>
        <w:rPr>
          <w:lang w:val="en-IE"/>
        </w:rPr>
        <w:t>etrie became the central figure.</w:t>
      </w:r>
      <w:r>
        <w:rPr>
          <w:rStyle w:val="EndnoteReference"/>
          <w:lang w:val="en-IE"/>
        </w:rPr>
        <w:endnoteReference w:id="37"/>
      </w:r>
      <w:r>
        <w:rPr>
          <w:lang w:val="en-IE"/>
        </w:rPr>
        <w:t xml:space="preserve"> With Petrie, Leerssen has elsewhere written, ‘archaeology was winnowed from legend, and the notion that Ireland had ancient and admirable roots in Gaelic antiquity became a point of pride, of self-identification even, even</w:t>
      </w:r>
      <w:r>
        <w:rPr>
          <w:lang w:val="en-IE"/>
        </w:rPr>
        <w:t xml:space="preserve"> for English-speaking urban, Protestant Irishmen and women.’</w:t>
      </w:r>
      <w:r>
        <w:rPr>
          <w:rStyle w:val="EndnoteReference"/>
          <w:lang w:val="en-IE"/>
        </w:rPr>
        <w:endnoteReference w:id="38"/>
      </w:r>
    </w:p>
    <w:p w:rsidR="00000000" w:rsidRDefault="009F1A26">
      <w:pPr>
        <w:rPr>
          <w:lang w:val="en-IE"/>
        </w:rPr>
      </w:pPr>
      <w:r>
        <w:rPr>
          <w:lang w:val="en-IE"/>
        </w:rPr>
        <w:t>O’Donovan and O’Curry were Petrie’s chief assistants for several years, and the three met regularly during the mid-1830s.</w:t>
      </w:r>
      <w:r>
        <w:rPr>
          <w:rStyle w:val="EndnoteReference"/>
          <w:lang w:val="en-IE"/>
        </w:rPr>
        <w:endnoteReference w:id="39"/>
      </w:r>
      <w:r>
        <w:rPr>
          <w:lang w:val="en-IE"/>
        </w:rPr>
        <w:t xml:space="preserve"> </w:t>
      </w:r>
      <w:r>
        <w:t xml:space="preserve">They </w:t>
      </w:r>
      <w:r>
        <w:rPr>
          <w:lang w:val="en-IE"/>
        </w:rPr>
        <w:t xml:space="preserve">shared a desire to preserve and recover what they could of Gaelic </w:t>
      </w:r>
      <w:r>
        <w:rPr>
          <w:lang w:val="en-IE"/>
        </w:rPr>
        <w:t>antiquities. Personal connections between O’Donovan and Petrie appear to have been close, even before the Survey, and they had a high respect for each other’s ability.</w:t>
      </w:r>
      <w:r>
        <w:rPr>
          <w:rStyle w:val="EndnoteReference"/>
          <w:lang w:val="en-IE"/>
        </w:rPr>
        <w:endnoteReference w:id="40"/>
      </w:r>
      <w:r>
        <w:rPr>
          <w:lang w:val="en-IE"/>
        </w:rPr>
        <w:t xml:space="preserve"> In 1832, when Petrie was co-editor of the </w:t>
      </w:r>
      <w:r>
        <w:rPr>
          <w:i/>
          <w:iCs/>
          <w:lang w:val="en-IE"/>
        </w:rPr>
        <w:t>Dublin Penny Journal</w:t>
      </w:r>
      <w:r>
        <w:rPr>
          <w:lang w:val="en-IE"/>
        </w:rPr>
        <w:t>, he published O’Donovan’</w:t>
      </w:r>
      <w:r>
        <w:rPr>
          <w:lang w:val="en-IE"/>
        </w:rPr>
        <w:t>s article about the Battle of Clontarf, in which there is a quarrel over a game. This became one of the seminal texts of the myth of Celtic chess:</w:t>
      </w:r>
    </w:p>
    <w:p w:rsidR="00000000" w:rsidRDefault="009F1A26">
      <w:pPr>
        <w:pStyle w:val="Quote"/>
        <w:rPr>
          <w:lang w:val="en-IE"/>
        </w:rPr>
      </w:pPr>
      <w:r>
        <w:t>‘Maelmordha, who usurped the crown of Leinster in 999, by the assistance of the Danes, being at an entertainm</w:t>
      </w:r>
      <w:r>
        <w:t>ent at Kincora, saw Morogh, Brian’s eldest son at a game of Chess and advised his antagonist to a movement which lost Morogh the game…’</w:t>
      </w:r>
      <w:r>
        <w:rPr>
          <w:rStyle w:val="EndnoteReference"/>
          <w:lang w:val="en-IE"/>
        </w:rPr>
        <w:endnoteReference w:id="41"/>
      </w:r>
    </w:p>
    <w:p w:rsidR="00000000" w:rsidRDefault="009F1A26">
      <w:pPr>
        <w:rPr>
          <w:lang w:val="en-IE"/>
        </w:rPr>
      </w:pPr>
      <w:r>
        <w:rPr>
          <w:lang w:val="en-IE"/>
        </w:rPr>
        <w:t>This story was often quoted later, sometimes verbatim, in chess columns, but in the context of the Celtic chess myth as</w:t>
      </w:r>
      <w:r>
        <w:rPr>
          <w:lang w:val="en-IE"/>
        </w:rPr>
        <w:t xml:space="preserve"> a whole, it is more problematic than the rest. If the </w:t>
      </w:r>
      <w:r>
        <w:rPr>
          <w:i/>
          <w:iCs/>
          <w:lang w:val="en-IE"/>
        </w:rPr>
        <w:t xml:space="preserve">fidchell </w:t>
      </w:r>
      <w:r>
        <w:rPr>
          <w:lang w:val="en-IE"/>
        </w:rPr>
        <w:t xml:space="preserve">anecdotes originate from pre-Viking times, they definitely cannot have been about either chess or games of the </w:t>
      </w:r>
      <w:r>
        <w:rPr>
          <w:i/>
          <w:iCs/>
          <w:lang w:val="en-IE"/>
        </w:rPr>
        <w:t>tafl</w:t>
      </w:r>
      <w:r>
        <w:rPr>
          <w:lang w:val="en-IE"/>
        </w:rPr>
        <w:t xml:space="preserve"> family, but the late tenth century is on the cusp of the introduction of che</w:t>
      </w:r>
      <w:r>
        <w:rPr>
          <w:lang w:val="en-IE"/>
        </w:rPr>
        <w:t>ss to Europe (other than Byzantium), which cannot be assigned a precise date.</w:t>
      </w:r>
      <w:r>
        <w:rPr>
          <w:rStyle w:val="EndnoteReference"/>
          <w:lang w:val="en-IE"/>
        </w:rPr>
        <w:endnoteReference w:id="42"/>
      </w:r>
      <w:r>
        <w:rPr>
          <w:lang w:val="en-IE"/>
        </w:rPr>
        <w:t xml:space="preserve"> It is probable that the game played at Kincora in 1014 was the Viking </w:t>
      </w:r>
      <w:r>
        <w:rPr>
          <w:i/>
          <w:iCs/>
          <w:lang w:val="en-IE"/>
        </w:rPr>
        <w:t>hnefatafl</w:t>
      </w:r>
      <w:r>
        <w:rPr>
          <w:lang w:val="en-IE"/>
        </w:rPr>
        <w:t>.</w:t>
      </w:r>
    </w:p>
    <w:p w:rsidR="00000000" w:rsidRDefault="009F1A26">
      <w:r>
        <w:rPr>
          <w:lang w:val="en-IE"/>
        </w:rPr>
        <w:t xml:space="preserve">In 1847, O’Donovan wrote about chess directly, in the Introduction to his edition of the </w:t>
      </w:r>
      <w:r>
        <w:rPr>
          <w:i/>
          <w:iCs/>
          <w:lang w:val="en-IE"/>
        </w:rPr>
        <w:t>Book of</w:t>
      </w:r>
      <w:r>
        <w:rPr>
          <w:i/>
          <w:iCs/>
          <w:lang w:val="en-IE"/>
        </w:rPr>
        <w:t xml:space="preserve"> Rights</w:t>
      </w:r>
      <w:r>
        <w:rPr>
          <w:iCs/>
          <w:lang w:val="en-IE"/>
        </w:rPr>
        <w:t>,</w:t>
      </w:r>
      <w:r>
        <w:rPr>
          <w:rStyle w:val="EndnoteReference"/>
          <w:iCs/>
          <w:lang w:val="en-IE"/>
        </w:rPr>
        <w:endnoteReference w:id="43"/>
      </w:r>
      <w:r>
        <w:rPr>
          <w:i/>
          <w:iCs/>
          <w:lang w:val="en-IE"/>
        </w:rPr>
        <w:t xml:space="preserve"> </w:t>
      </w:r>
      <w:r>
        <w:rPr>
          <w:lang w:val="en-IE"/>
        </w:rPr>
        <w:t xml:space="preserve">a passage later </w:t>
      </w:r>
      <w:r>
        <w:t>ridiculed by one English scholar.</w:t>
      </w:r>
      <w:r>
        <w:rPr>
          <w:rStyle w:val="EndnoteReference"/>
        </w:rPr>
        <w:endnoteReference w:id="44"/>
      </w:r>
      <w:r>
        <w:t xml:space="preserve"> </w:t>
      </w:r>
      <w:r>
        <w:rPr>
          <w:lang w:val="en-IE"/>
        </w:rPr>
        <w:t xml:space="preserve">He </w:t>
      </w:r>
      <w:r>
        <w:rPr>
          <w:lang w:val="en-IE"/>
        </w:rPr>
        <w:lastRenderedPageBreak/>
        <w:t>included sketches of a chess piece, just over 7cm tall and made of bone, which had been given to Petrie, about thirty years previously, by a Dr Tuke, after it, along with some others (presumab</w:t>
      </w:r>
      <w:r>
        <w:rPr>
          <w:lang w:val="en-IE"/>
        </w:rPr>
        <w:t>ly now lost), were found in a bog in County Meath. It bore a close similarity in style and material to one of the Lewis pieces, but O’Donovan was careless in calling it the king: it matched one of the Lewis queens.</w:t>
      </w:r>
      <w:r>
        <w:rPr>
          <w:rStyle w:val="EndnoteReference"/>
          <w:lang w:val="en-IE"/>
        </w:rPr>
        <w:endnoteReference w:id="45"/>
      </w:r>
      <w:r>
        <w:rPr>
          <w:lang w:val="en-IE"/>
        </w:rPr>
        <w:t xml:space="preserve"> Contrary to Madden, who called the desig</w:t>
      </w:r>
      <w:r>
        <w:rPr>
          <w:lang w:val="en-IE"/>
        </w:rPr>
        <w:t xml:space="preserve">n twelfth century Icelandic, O’Donovan believed they might be Irish, while Murray thought they could be much later, and possibly Scottish. Although these finds provide no evidence for pre-Norman chess in Ireland, </w:t>
      </w:r>
      <w:r>
        <w:t>O’Donovan appears to have lost his sense of</w:t>
      </w:r>
      <w:r>
        <w:t xml:space="preserve"> proportion,</w:t>
      </w:r>
      <w:r>
        <w:rPr>
          <w:lang w:val="en-IE"/>
        </w:rPr>
        <w:t xml:space="preserve"> </w:t>
      </w:r>
      <w:r>
        <w:t xml:space="preserve">making many chess allusions in both his introduction and notes to the text of the </w:t>
      </w:r>
      <w:r>
        <w:rPr>
          <w:i/>
          <w:iCs/>
        </w:rPr>
        <w:t>Book of Rights</w:t>
      </w:r>
      <w:r>
        <w:t>,</w:t>
      </w:r>
      <w:r>
        <w:rPr>
          <w:iCs/>
        </w:rPr>
        <w:t xml:space="preserve"> as well as </w:t>
      </w:r>
      <w:r>
        <w:t xml:space="preserve">criticising earlier editors who failed to recognise lines mentioning </w:t>
      </w:r>
      <w:r>
        <w:rPr>
          <w:i/>
          <w:iCs/>
        </w:rPr>
        <w:t>fitcheall</w:t>
      </w:r>
      <w:r>
        <w:t xml:space="preserve"> or </w:t>
      </w:r>
      <w:r>
        <w:rPr>
          <w:i/>
          <w:iCs/>
        </w:rPr>
        <w:t xml:space="preserve">fidchell </w:t>
      </w:r>
      <w:r>
        <w:t>as references to a board game.</w:t>
      </w:r>
      <w:r>
        <w:rPr>
          <w:rStyle w:val="EndnoteReference"/>
        </w:rPr>
        <w:endnoteReference w:id="46"/>
      </w:r>
      <w:r>
        <w:t xml:space="preserve"> With both t</w:t>
      </w:r>
      <w:r>
        <w:t>his, and the Maelmordha story, O’Donovan clearly stands as the principal source for the Celtic chess myth as it was propagated in the 1880s and after.</w:t>
      </w:r>
    </w:p>
    <w:p w:rsidR="00000000" w:rsidRDefault="009F1A26">
      <w:pPr>
        <w:rPr>
          <w:lang w:val="en-IE"/>
        </w:rPr>
      </w:pPr>
      <w:r>
        <w:t>O’Curry made several references to board games in his lectures, which were collected and published much l</w:t>
      </w:r>
      <w:r>
        <w:t xml:space="preserve">ater under the title </w:t>
      </w:r>
      <w:r>
        <w:rPr>
          <w:i/>
          <w:iCs/>
        </w:rPr>
        <w:t>On the manners and customs of the ancient Irish.</w:t>
      </w:r>
      <w:r>
        <w:rPr>
          <w:rStyle w:val="EndnoteReference"/>
        </w:rPr>
        <w:endnoteReference w:id="47"/>
      </w:r>
      <w:r>
        <w:t xml:space="preserve"> Most instances, taken from sources such as the </w:t>
      </w:r>
      <w:r>
        <w:rPr>
          <w:i/>
        </w:rPr>
        <w:t>Táin Bo Cualgne,</w:t>
      </w:r>
      <w:r>
        <w:rPr>
          <w:rStyle w:val="EndnoteReference"/>
        </w:rPr>
        <w:endnoteReference w:id="48"/>
      </w:r>
      <w:r>
        <w:t xml:space="preserve"> actually occur in his discourses on music, highlighting a close association between the two in ancient Ireland: musical </w:t>
      </w:r>
      <w:r>
        <w:t xml:space="preserve">instruments and game-sets were kept together and played together. O’Curry usually translated </w:t>
      </w:r>
      <w:r>
        <w:rPr>
          <w:i/>
        </w:rPr>
        <w:t>brandabh/</w:t>
      </w:r>
      <w:r>
        <w:rPr>
          <w:iCs/>
        </w:rPr>
        <w:t xml:space="preserve"> </w:t>
      </w:r>
      <w:r>
        <w:rPr>
          <w:i/>
        </w:rPr>
        <w:t xml:space="preserve">brandub </w:t>
      </w:r>
      <w:r>
        <w:rPr>
          <w:iCs/>
        </w:rPr>
        <w:t>as ‘</w:t>
      </w:r>
      <w:r>
        <w:t xml:space="preserve">draughts’, and </w:t>
      </w:r>
      <w:r>
        <w:rPr>
          <w:i/>
        </w:rPr>
        <w:t>fidchell</w:t>
      </w:r>
      <w:r>
        <w:t xml:space="preserve"> as ‘chess’. His lectures, clearly a source for Lady Gregory, include the story of King Conchobar dividing into his da</w:t>
      </w:r>
      <w:r>
        <w:t xml:space="preserve">y into three (the middle part being for these games). Another passage in O’Curry says the king should play </w:t>
      </w:r>
      <w:r>
        <w:rPr>
          <w:i/>
          <w:iCs/>
        </w:rPr>
        <w:t>fidchell</w:t>
      </w:r>
      <w:r>
        <w:t xml:space="preserve"> on Tuesdays.</w:t>
      </w:r>
      <w:r>
        <w:rPr>
          <w:rStyle w:val="EndnoteReference"/>
        </w:rPr>
        <w:endnoteReference w:id="49"/>
      </w:r>
      <w:r>
        <w:t xml:space="preserve"> </w:t>
      </w:r>
      <w:r>
        <w:rPr>
          <w:lang w:val="en-IE"/>
        </w:rPr>
        <w:t>The picture that emerges from all these texts is of a society of high culture in which privileged people had the leisure to en</w:t>
      </w:r>
      <w:r>
        <w:rPr>
          <w:lang w:val="en-IE"/>
        </w:rPr>
        <w:t>joy sports.</w:t>
      </w:r>
    </w:p>
    <w:p w:rsidR="00000000" w:rsidRDefault="009F1A26">
      <w:r>
        <w:rPr>
          <w:lang w:val="en-IE"/>
        </w:rPr>
        <w:t>O’Donovan, despite his enthusiasm for recovering Gaelic culture, was a serious and careful scholar, even inclined to some scepticism about origin myths. In a letter to Petrie, he wrote: ‘My Milesian friends are still ferocious against me, and w</w:t>
      </w:r>
      <w:r>
        <w:rPr>
          <w:lang w:val="en-IE"/>
        </w:rPr>
        <w:t>ill be so long as I live. I cannot understand their feelings, but it would appear they are opposed to me among other reasons because I do not believe the entire Milesian story.’</w:t>
      </w:r>
      <w:r>
        <w:rPr>
          <w:rStyle w:val="EndnoteReference"/>
          <w:lang w:val="en-IE"/>
        </w:rPr>
        <w:endnoteReference w:id="50"/>
      </w:r>
      <w:r>
        <w:rPr>
          <w:lang w:val="en-IE"/>
        </w:rPr>
        <w:t xml:space="preserve"> The puzzle, therefore, is how, when he was dealing with </w:t>
      </w:r>
      <w:r>
        <w:rPr>
          <w:i/>
          <w:iCs/>
          <w:lang w:val="en-IE"/>
        </w:rPr>
        <w:t>fidchell</w:t>
      </w:r>
      <w:r>
        <w:rPr>
          <w:lang w:val="en-IE"/>
        </w:rPr>
        <w:t>, O’Donovan c</w:t>
      </w:r>
      <w:r>
        <w:rPr>
          <w:lang w:val="en-IE"/>
        </w:rPr>
        <w:t>ould fall into the kind of speculation that he deplored in more fanciful writers like Vallancey</w:t>
      </w:r>
      <w:r>
        <w:rPr>
          <w:i/>
          <w:iCs/>
          <w:lang w:val="en-IE"/>
        </w:rPr>
        <w:t>.</w:t>
      </w:r>
      <w:r>
        <w:rPr>
          <w:lang w:val="en-IE"/>
        </w:rPr>
        <w:t xml:space="preserve"> A personal liking for the modern chess might account for this.</w:t>
      </w:r>
      <w:r>
        <w:rPr>
          <w:rStyle w:val="EndnoteReference"/>
          <w:lang w:val="en-IE"/>
        </w:rPr>
        <w:endnoteReference w:id="51"/>
      </w:r>
      <w:r>
        <w:rPr>
          <w:lang w:val="en-IE"/>
        </w:rPr>
        <w:t xml:space="preserve"> Although </w:t>
      </w:r>
      <w:r>
        <w:rPr>
          <w:lang w:val="en-IE"/>
        </w:rPr>
        <w:lastRenderedPageBreak/>
        <w:t>O’Curry and O’Donovan perhaps discussed the question of early Irish ‘chess’, it is not</w:t>
      </w:r>
      <w:r>
        <w:rPr>
          <w:lang w:val="en-IE"/>
        </w:rPr>
        <w:t xml:space="preserve"> being suggested that they deliberately fashioned an </w:t>
      </w:r>
      <w:r>
        <w:rPr>
          <w:i/>
          <w:iCs/>
          <w:lang w:val="en-IE"/>
        </w:rPr>
        <w:t>Ossian</w:t>
      </w:r>
      <w:r>
        <w:rPr>
          <w:lang w:val="en-IE"/>
        </w:rPr>
        <w:t>-style fiction.</w:t>
      </w:r>
      <w:r>
        <w:rPr>
          <w:rStyle w:val="EndnoteReference"/>
          <w:lang w:val="en-IE"/>
        </w:rPr>
        <w:endnoteReference w:id="52"/>
      </w:r>
      <w:r>
        <w:rPr>
          <w:lang w:val="en-IE"/>
        </w:rPr>
        <w:t xml:space="preserve"> However, there is a mystery about who, in 1853, sent a jesting letter to </w:t>
      </w:r>
      <w:r>
        <w:rPr>
          <w:i/>
          <w:iCs/>
        </w:rPr>
        <w:t>The Chess Players’ Chronicle</w:t>
      </w:r>
      <w:r>
        <w:t xml:space="preserve"> pointing out the ‘chess’ reference from the Testament of Cahir Mor in an 1844 </w:t>
      </w:r>
      <w:r>
        <w:t xml:space="preserve">edition of </w:t>
      </w:r>
      <w:r>
        <w:rPr>
          <w:lang w:val="en-IE"/>
        </w:rPr>
        <w:t xml:space="preserve">MacGeoghegan. </w:t>
      </w:r>
      <w:r>
        <w:t>The magazine’s editor may not have detected the significance of the signature on the letter: ‘Bryan Boroimhe PP’.</w:t>
      </w:r>
      <w:r>
        <w:rPr>
          <w:rStyle w:val="EndnoteReference"/>
        </w:rPr>
        <w:endnoteReference w:id="53"/>
      </w:r>
    </w:p>
    <w:p w:rsidR="00000000" w:rsidRDefault="009F1A26">
      <w:r>
        <w:t>The leading Celtic scholar of the next generation, Whitley Stokes (1830-1909), can be seen as the last in the line o</w:t>
      </w:r>
      <w:r>
        <w:t>f these pioneering Gaelic scholars although his career extended into the twentieth century. He was the eldest child of Petrie’s friend and biographer, the physician William Stokes (1804-78), and grandson of the United Irishman Whitley Stokes (1763-1845) wh</w:t>
      </w:r>
      <w:r>
        <w:t>o has been described as ‘an ardent enthusiast for the Irish language’.</w:t>
      </w:r>
      <w:r>
        <w:rPr>
          <w:rStyle w:val="EndnoteReference"/>
        </w:rPr>
        <w:endnoteReference w:id="54"/>
      </w:r>
      <w:r>
        <w:t xml:space="preserve"> He knew leading scholars like O’Donovan and Petrie from an early age so it is hardly surprising that he developed a lifelong interest and expertise in this field. Stokes pursued Gaelic</w:t>
      </w:r>
      <w:r>
        <w:t xml:space="preserve"> scholarship even when working in India in the colonial administration from 1862-82, before retiring to England and continuing the work, especially in collaboration with Kuno Meyer.</w:t>
      </w:r>
    </w:p>
    <w:p w:rsidR="00000000" w:rsidRDefault="009F1A26">
      <w:pPr>
        <w:rPr>
          <w:highlight w:val="yellow"/>
        </w:rPr>
      </w:pPr>
      <w:r>
        <w:t>In the introduction to the first in his massive output of editions of earl</w:t>
      </w:r>
      <w:r>
        <w:t xml:space="preserve">y Irish texts, </w:t>
      </w:r>
      <w:r>
        <w:rPr>
          <w:rStyle w:val="BookTitle"/>
          <w:i w:val="0"/>
          <w:iCs/>
          <w:sz w:val="24"/>
        </w:rPr>
        <w:t xml:space="preserve">the ninth-century </w:t>
      </w:r>
      <w:r>
        <w:rPr>
          <w:i/>
          <w:iCs/>
        </w:rPr>
        <w:t>Cormac’s Glossary</w:t>
      </w:r>
      <w:r>
        <w:t xml:space="preserve">, </w:t>
      </w:r>
      <w:r>
        <w:rPr>
          <w:lang w:val="en-IE"/>
        </w:rPr>
        <w:t xml:space="preserve">Stokes included a section, ‘Words Illustrating Irish Civilization’, which </w:t>
      </w:r>
      <w:r>
        <w:t>appears to concur with O’Donovan’s view. It</w:t>
      </w:r>
      <w:r>
        <w:rPr>
          <w:lang w:val="en-IE"/>
        </w:rPr>
        <w:t xml:space="preserve"> included the following passage: ‘A word which would speak highly for the civilization </w:t>
      </w:r>
      <w:r>
        <w:rPr>
          <w:lang w:val="en-IE"/>
        </w:rPr>
        <w:t xml:space="preserve">of the Irish, if its usual interpretation were certainly correct, is </w:t>
      </w:r>
      <w:r>
        <w:rPr>
          <w:i/>
          <w:iCs/>
          <w:lang w:val="en-IE"/>
        </w:rPr>
        <w:t>fidchell</w:t>
      </w:r>
      <w:r>
        <w:rPr>
          <w:lang w:val="en-IE"/>
        </w:rPr>
        <w:t>… commonly rendered “chess”.</w:t>
      </w:r>
      <w:r>
        <w:rPr>
          <w:rStyle w:val="EndnoteReference"/>
          <w:lang w:val="en-IE"/>
        </w:rPr>
        <w:endnoteReference w:id="55"/>
      </w:r>
      <w:r>
        <w:t xml:space="preserve"> Later, his position on the matter seemed to mature; his collaboration with Ernst Windisch on </w:t>
      </w:r>
      <w:r>
        <w:rPr>
          <w:i/>
          <w:iCs/>
        </w:rPr>
        <w:t xml:space="preserve">Irische Texte </w:t>
      </w:r>
      <w:r>
        <w:t xml:space="preserve">is more cautious about the identification </w:t>
      </w:r>
      <w:r>
        <w:t xml:space="preserve">of </w:t>
      </w:r>
      <w:r>
        <w:rPr>
          <w:i/>
          <w:iCs/>
        </w:rPr>
        <w:t>fidchell</w:t>
      </w:r>
      <w:r>
        <w:t xml:space="preserve"> with chess.</w:t>
      </w:r>
    </w:p>
    <w:p w:rsidR="00000000" w:rsidRDefault="009F1A26">
      <w:pPr>
        <w:pStyle w:val="Heading3"/>
      </w:pPr>
      <w:r>
        <w:t>IV</w:t>
      </w:r>
    </w:p>
    <w:p w:rsidR="00000000" w:rsidRDefault="009F1A26">
      <w:pPr>
        <w:rPr>
          <w:lang w:val="en-IE"/>
        </w:rPr>
      </w:pPr>
      <w:r>
        <w:t>While the time of O’Donovan, Petrie, and O’Curry saw the fashioning of the myth, in the next generation writers put it to work. Many countries experienced an upsurge of interest in chess during the decades 1884-1914 but in Irelan</w:t>
      </w:r>
      <w:r>
        <w:t xml:space="preserve">d another factor also operated: a popular belief, fostered by propaganda, that it was a Gaelic game. Several examples can be found in newspaper chess columns and other printed sources of the period, such as one about the revival of Irish games in the </w:t>
      </w:r>
      <w:r>
        <w:rPr>
          <w:i/>
          <w:iCs/>
        </w:rPr>
        <w:t>Irish</w:t>
      </w:r>
      <w:r>
        <w:rPr>
          <w:i/>
          <w:iCs/>
        </w:rPr>
        <w:t xml:space="preserve"> </w:t>
      </w:r>
      <w:r>
        <w:rPr>
          <w:i/>
          <w:iCs/>
        </w:rPr>
        <w:lastRenderedPageBreak/>
        <w:t xml:space="preserve">Fireside </w:t>
      </w:r>
      <w:r>
        <w:t xml:space="preserve">(a supplement to the </w:t>
      </w:r>
      <w:r>
        <w:rPr>
          <w:i/>
          <w:iCs/>
        </w:rPr>
        <w:t>Weekly Freeman</w:t>
      </w:r>
      <w:r>
        <w:t>), which mentioned that chess ‘was passionately loved by the ancient Irish’.</w:t>
      </w:r>
      <w:r>
        <w:rPr>
          <w:rStyle w:val="EndnoteReference"/>
        </w:rPr>
        <w:endnoteReference w:id="56"/>
      </w:r>
    </w:p>
    <w:p w:rsidR="00000000" w:rsidRDefault="009F1A26">
      <w:pPr>
        <w:pStyle w:val="BodyText"/>
        <w:ind w:firstLine="720"/>
      </w:pPr>
      <w:r>
        <w:t>The Gaelic Athletic Association had been founded on 1 November 1884 at a meeting in Hayes’s Hotel, Thurles.</w:t>
      </w:r>
      <w:r>
        <w:rPr>
          <w:rStyle w:val="EndnoteReference"/>
        </w:rPr>
        <w:endnoteReference w:id="57"/>
      </w:r>
      <w:r>
        <w:t xml:space="preserve"> It was both a sporting o</w:t>
      </w:r>
      <w:r>
        <w:t>rganisation, one of many started in the United Kingdom during this decade, but also increasingly a vehicle for Irish cultural nationalism. Even if the GAA has sometimes exaggerated its political significance, it definitely played an important role in build</w:t>
      </w:r>
      <w:r>
        <w:t>ing up a nationalist mass movement during the period to independence, and afterwards. There were two elements in its appeal: positive on the one hand, in favour of identifiably Irish ‘sport’ (however refashioned from old models) and negative on the other h</w:t>
      </w:r>
      <w:r>
        <w:t xml:space="preserve">and, the opposition to ‘garrison games’ and British sports. Chess escaped being stigmatised as the latter and sometimes benefited from being promoted as the former. Cusack launched </w:t>
      </w:r>
      <w:r>
        <w:rPr>
          <w:i/>
          <w:iCs/>
        </w:rPr>
        <w:t>The Celtic Times</w:t>
      </w:r>
      <w:r>
        <w:t xml:space="preserve"> at the start of 1887, as ‘</w:t>
      </w:r>
      <w:r>
        <w:rPr>
          <w:bCs/>
        </w:rPr>
        <w:t>A Weekly Newspaper For the Prese</w:t>
      </w:r>
      <w:r>
        <w:rPr>
          <w:bCs/>
        </w:rPr>
        <w:t xml:space="preserve">rvation and Cultivation of the Language, Literature, Music and Pastimes of the Celtic Race’. </w:t>
      </w:r>
      <w:r>
        <w:t>On 16 July, when the first chess column appeared, it carried a leading article, headed ‘A Fenian Pastime’, which clearly articulated why the Gaelic Irish should pl</w:t>
      </w:r>
      <w:r>
        <w:t>ay chess. He wrote:</w:t>
      </w:r>
    </w:p>
    <w:p w:rsidR="00000000" w:rsidRDefault="009F1A26">
      <w:pPr>
        <w:pStyle w:val="Quote"/>
        <w:rPr>
          <w:lang w:val="en-IE"/>
        </w:rPr>
      </w:pPr>
      <w:r>
        <w:t xml:space="preserve">‘This week we give our readers a few introductory paragraphs about </w:t>
      </w:r>
      <w:r>
        <w:rPr>
          <w:smallCaps/>
        </w:rPr>
        <w:t>Chess.</w:t>
      </w:r>
      <w:r>
        <w:t xml:space="preserve"> We earnestly recommend our readers to fall into line with us here, as they have done on the hurling field… We cannot hurl very well when night sets in, but we can</w:t>
      </w:r>
      <w:r>
        <w:t xml:space="preserve"> then cultivate our minds, and we know no game of skill better calculated to do this than the peaceable warlike game of chess … It ought to be played because it was Irish and National, and especially because it was the principal instrument of intellectual </w:t>
      </w:r>
      <w:r>
        <w:t xml:space="preserve">culture among the most glorious people that ever lived in Ireland — </w:t>
      </w:r>
      <w:r>
        <w:rPr>
          <w:smallCaps/>
        </w:rPr>
        <w:t>The Fenians of Ancient Erin</w:t>
      </w:r>
      <w:r>
        <w:t>.’</w:t>
      </w:r>
      <w:r>
        <w:rPr>
          <w:rStyle w:val="EndnoteReference"/>
        </w:rPr>
        <w:endnoteReference w:id="58"/>
      </w:r>
    </w:p>
    <w:p w:rsidR="00000000" w:rsidRDefault="009F1A26">
      <w:pPr>
        <w:pStyle w:val="BodyText"/>
        <w:ind w:firstLine="720"/>
      </w:pPr>
      <w:r>
        <w:t>Cusack’s business partner, A. Morrison Miller, was the chess columnist. His first article stated that ‘the game has ever been associated with the doings of o</w:t>
      </w:r>
      <w:r>
        <w:t>ur mighty ancestors’, and included the claim that ‘it was invented in Ireland in 1430 B.C. by Tuatha de Danniax’ and suggested that the thirty-two pieces which comprise the set ‘were made to represent the thirty-two counties’. While admitting that the game</w:t>
      </w:r>
      <w:r>
        <w:t xml:space="preserve"> </w:t>
      </w:r>
      <w:r>
        <w:lastRenderedPageBreak/>
        <w:t xml:space="preserve">has undergone many changes since, ‘we still have the stately monarch in the King, his powerful consort in the Queen, the round towers in the Rooks’. The echo of Petrie is clear in that passage but there is no evidence that </w:t>
      </w:r>
      <w:r>
        <w:rPr>
          <w:i/>
          <w:iCs/>
        </w:rPr>
        <w:t>fidchell</w:t>
      </w:r>
      <w:r>
        <w:t xml:space="preserve"> had any pieces called k</w:t>
      </w:r>
      <w:r>
        <w:t xml:space="preserve">ings, queens, or knights — and if it really dated from pre-Christian times there could of course not have been anything called a bishop. The basis for the reference to the Tuatha de Danann was </w:t>
      </w:r>
      <w:r>
        <w:rPr>
          <w:i/>
          <w:iCs/>
        </w:rPr>
        <w:t>The Second Battle of Moytura</w:t>
      </w:r>
      <w:r>
        <w:t xml:space="preserve">, a story set in the mythical past </w:t>
      </w:r>
      <w:r>
        <w:t xml:space="preserve">which mentions </w:t>
      </w:r>
      <w:r>
        <w:rPr>
          <w:i/>
          <w:iCs/>
        </w:rPr>
        <w:t>fidchell</w:t>
      </w:r>
      <w:r>
        <w:t xml:space="preserve"> being played at Tara.</w:t>
      </w:r>
      <w:r>
        <w:rPr>
          <w:rStyle w:val="EndnoteReference"/>
        </w:rPr>
        <w:endnoteReference w:id="59"/>
      </w:r>
      <w:r>
        <w:t xml:space="preserve"> Miller’s next paragraph compared those ancient festivals, held during the month of Lughnasa, to modern competitions.</w:t>
      </w:r>
      <w:r>
        <w:rPr>
          <w:rStyle w:val="EndnoteReference"/>
        </w:rPr>
        <w:endnoteReference w:id="60"/>
      </w:r>
    </w:p>
    <w:p w:rsidR="00000000" w:rsidRDefault="009F1A26">
      <w:pPr>
        <w:pStyle w:val="BodyText"/>
        <w:ind w:firstLine="720"/>
      </w:pPr>
      <w:r>
        <w:t>Popularisers of chess had their own agenda and historical accuracy was low in their priorit</w:t>
      </w:r>
      <w:r>
        <w:t xml:space="preserve">ies. This is clear from Miller’s pre-dating the arrival of Strongbow by several centuries, a detail carried over, along with the nostalgic description of the old Irish ‘chess tournaments’, from a shorter article by Thomas Rowland in his </w:t>
      </w:r>
      <w:r>
        <w:rPr>
          <w:i/>
          <w:iCs/>
        </w:rPr>
        <w:t>Dublin Evening Mail</w:t>
      </w:r>
      <w:r>
        <w:t xml:space="preserve"> column.</w:t>
      </w:r>
      <w:r>
        <w:rPr>
          <w:rStyle w:val="EndnoteReference"/>
        </w:rPr>
        <w:endnoteReference w:id="61"/>
      </w:r>
      <w:r>
        <w:t xml:space="preserve"> Miller’s version was much longer, however, and made the strong claim that chess was ‘invented in Ireland’ whereas the </w:t>
      </w:r>
      <w:r>
        <w:rPr>
          <w:i/>
          <w:iCs/>
        </w:rPr>
        <w:t>Mail</w:t>
      </w:r>
      <w:r>
        <w:t xml:space="preserve"> only mentioned it being ‘established’ here. Welsh nationalist Kinnersley Lewis wrote in to agree that ‘it argues much for t</w:t>
      </w:r>
      <w:r>
        <w:t>he intellectual superiority of the ancient Irish that chess was so fully a national game’.</w:t>
      </w:r>
      <w:r>
        <w:rPr>
          <w:rStyle w:val="EndnoteReference"/>
        </w:rPr>
        <w:endnoteReference w:id="62"/>
      </w:r>
    </w:p>
    <w:p w:rsidR="00000000" w:rsidRDefault="009F1A26">
      <w:pPr>
        <w:pStyle w:val="BodyText"/>
        <w:ind w:firstLine="720"/>
      </w:pPr>
      <w:r>
        <w:t>Miller called for a county chess structure to be established, leading to inter-county matches: the formula that worked in hurling and football.</w:t>
      </w:r>
      <w:r>
        <w:rPr>
          <w:rStyle w:val="EndnoteReference"/>
        </w:rPr>
        <w:endnoteReference w:id="63"/>
      </w:r>
      <w:r>
        <w:t xml:space="preserve"> However, chess is n</w:t>
      </w:r>
      <w:r>
        <w:t>ot easily popularised: it lacked sufficiently wide appeal to exploit the pre-existing network of local affiliations based on parish and county which became the basis of the GAA’s organisational success. The period during which the GAA promoted chess was br</w:t>
      </w:r>
      <w:r>
        <w:t xml:space="preserve">ief, because of the commercial failure of the </w:t>
      </w:r>
      <w:r>
        <w:rPr>
          <w:i/>
          <w:iCs/>
        </w:rPr>
        <w:t>Celtic Times</w:t>
      </w:r>
      <w:r>
        <w:t>; it never attempted to formally adopt it as one of the games it organised.</w:t>
      </w:r>
    </w:p>
    <w:p w:rsidR="00000000" w:rsidRDefault="009F1A26">
      <w:r>
        <w:t>The chess journalists probably operated on the old principle of ‘why let the facts spoil a good story?’ A popular anecdote</w:t>
      </w:r>
      <w:r>
        <w:t xml:space="preserve"> was </w:t>
      </w:r>
      <w:r>
        <w:rPr>
          <w:bCs/>
        </w:rPr>
        <w:t xml:space="preserve">‘The </w:t>
      </w:r>
      <w:r>
        <w:t xml:space="preserve">Wooing of Etain’, one of the best-known tales in which </w:t>
      </w:r>
      <w:r>
        <w:rPr>
          <w:i/>
          <w:iCs/>
        </w:rPr>
        <w:t xml:space="preserve">fidchell </w:t>
      </w:r>
      <w:r>
        <w:t>plays a prominent role, although in the 1880s only an incomplete version was known.</w:t>
      </w:r>
      <w:r>
        <w:rPr>
          <w:rStyle w:val="EndnoteReference"/>
        </w:rPr>
        <w:endnoteReference w:id="64"/>
      </w:r>
      <w:r>
        <w:t xml:space="preserve"> </w:t>
      </w:r>
      <w:r>
        <w:rPr>
          <w:lang w:val="en-IE"/>
        </w:rPr>
        <w:t>A Fellow of the Royal Society of the Antiquaries asked its journal ‘what are the earliest authent</w:t>
      </w:r>
      <w:r>
        <w:rPr>
          <w:lang w:val="en-IE"/>
        </w:rPr>
        <w:t>ic historical allusions to the game of chess in Ireland?’</w:t>
      </w:r>
      <w:r>
        <w:rPr>
          <w:rStyle w:val="EndnoteReference"/>
        </w:rPr>
        <w:endnoteReference w:id="65"/>
      </w:r>
      <w:r>
        <w:rPr>
          <w:lang w:val="en-IE"/>
        </w:rPr>
        <w:t xml:space="preserve"> That is a question for a mediaeval historian. In reply, Mrs Rowland </w:t>
      </w:r>
      <w:r>
        <w:t>repeated the usual fanciful stories about the invention of chess in 1430 BC</w:t>
      </w:r>
      <w:r>
        <w:rPr>
          <w:lang w:val="en-IE"/>
        </w:rPr>
        <w:t>,</w:t>
      </w:r>
      <w:r>
        <w:rPr>
          <w:rStyle w:val="EndnoteReference"/>
        </w:rPr>
        <w:endnoteReference w:id="66"/>
      </w:r>
      <w:r>
        <w:rPr>
          <w:lang w:val="en-IE"/>
        </w:rPr>
        <w:t xml:space="preserve"> </w:t>
      </w:r>
      <w:r>
        <w:t>citing ‘a history of Ireland recently written by Ja</w:t>
      </w:r>
      <w:r>
        <w:t>ne Emily Herbert’.</w:t>
      </w:r>
      <w:r>
        <w:rPr>
          <w:rStyle w:val="EndnoteReference"/>
        </w:rPr>
        <w:endnoteReference w:id="67"/>
      </w:r>
      <w:r>
        <w:t xml:space="preserve"> W. S. Branch of </w:t>
      </w:r>
      <w:r>
        <w:lastRenderedPageBreak/>
        <w:t>Cheltenham soon contradicted Mrs Rowland,</w:t>
      </w:r>
      <w:r>
        <w:rPr>
          <w:rStyle w:val="EndnoteReference"/>
        </w:rPr>
        <w:endnoteReference w:id="68"/>
      </w:r>
      <w:r>
        <w:t xml:space="preserve"> but this did not deter her from continuing to promote the myth.</w:t>
      </w:r>
      <w:r>
        <w:rPr>
          <w:rStyle w:val="EndnoteReference"/>
        </w:rPr>
        <w:endnoteReference w:id="69"/>
      </w:r>
    </w:p>
    <w:p w:rsidR="00000000" w:rsidRDefault="009F1A26">
      <w:pPr>
        <w:rPr>
          <w:iCs/>
          <w:lang w:val="en-IE"/>
        </w:rPr>
      </w:pPr>
      <w:r>
        <w:t>The writer with the greatest popular impact in retelling the old Irish tales was the protestant unionist Standis</w:t>
      </w:r>
      <w:r>
        <w:t>h O’Grady (1846-1928), especially because of his influence on Yeats and others of the next generation.</w:t>
      </w:r>
      <w:r>
        <w:rPr>
          <w:rStyle w:val="EndnoteReference"/>
        </w:rPr>
        <w:endnoteReference w:id="70"/>
      </w:r>
      <w:r>
        <w:t xml:space="preserve"> His romanticisation of ancient Ireland provided good material for the chess myth-makers. In passages such as the following</w:t>
      </w:r>
      <w:r>
        <w:rPr>
          <w:lang w:val="en-IE"/>
        </w:rPr>
        <w:t xml:space="preserve">, </w:t>
      </w:r>
      <w:r>
        <w:rPr>
          <w:iCs/>
          <w:lang w:val="en-IE"/>
        </w:rPr>
        <w:t>Celtic revivalists could cle</w:t>
      </w:r>
      <w:r>
        <w:rPr>
          <w:iCs/>
          <w:lang w:val="en-IE"/>
        </w:rPr>
        <w:t>arly identify an ancient Irish game, of the same antiquity as hurling, and so worthy to be promoted:</w:t>
      </w:r>
    </w:p>
    <w:p w:rsidR="00000000" w:rsidRDefault="009F1A26">
      <w:pPr>
        <w:pStyle w:val="Quote"/>
      </w:pPr>
      <w:r>
        <w:t xml:space="preserve">‘There then they tarried until day was come with its full light, whereupon the </w:t>
      </w:r>
      <w:r>
        <w:rPr>
          <w:i/>
        </w:rPr>
        <w:t>túatha dé danann</w:t>
      </w:r>
      <w:r>
        <w:t xml:space="preserve"> in general proceeded to look on at the hurling: for every s</w:t>
      </w:r>
      <w:r>
        <w:t>ix [men?] was given them a chess-board; a backgammon-board for every five; for every ten men a timpan, for every hundred a harp…’</w:t>
      </w:r>
      <w:r>
        <w:rPr>
          <w:rStyle w:val="EndnoteReference"/>
          <w:iCs/>
        </w:rPr>
        <w:endnoteReference w:id="71"/>
      </w:r>
    </w:p>
    <w:p w:rsidR="00000000" w:rsidRDefault="009F1A26">
      <w:r>
        <w:t>Stokes and Windisch, curiously, praised O’Grady’s translations while finding fault with his editing, but O’Grady used ‘chess’</w:t>
      </w:r>
      <w:r>
        <w:t xml:space="preserve"> indiscriminately to translate game-references. He appears to have believed that </w:t>
      </w:r>
      <w:r>
        <w:rPr>
          <w:i/>
          <w:iCs/>
        </w:rPr>
        <w:t>brandub</w:t>
      </w:r>
      <w:r>
        <w:t xml:space="preserve"> meant a chess-board; actually it was the name of a game different from </w:t>
      </w:r>
      <w:r>
        <w:rPr>
          <w:i/>
          <w:iCs/>
        </w:rPr>
        <w:t>fidchell</w:t>
      </w:r>
      <w:r>
        <w:t>.</w:t>
      </w:r>
      <w:r>
        <w:rPr>
          <w:rStyle w:val="EndnoteReference"/>
        </w:rPr>
        <w:endnoteReference w:id="72"/>
      </w:r>
      <w:r>
        <w:t xml:space="preserve"> Lady Gregory was more successful when more than one game is mentioned in the same pas</w:t>
      </w:r>
      <w:r>
        <w:t>sage (as frequently happens). Listing the many accomplishments of Cuchulain, in her version of ‘The Courting of Emer’, she had: ‘The gift of feats, the gift of chess-playing, the gift of draught-playing, the gift of counting, the gift of divining’.</w:t>
      </w:r>
      <w:r>
        <w:rPr>
          <w:rStyle w:val="EndnoteReference"/>
        </w:rPr>
        <w:endnoteReference w:id="73"/>
      </w:r>
      <w:r>
        <w:t xml:space="preserve"> Though</w:t>
      </w:r>
      <w:r>
        <w:t xml:space="preserve"> ‘draughts’ is anachronistic, it is less misleading than ‘backgammon’, </w:t>
      </w:r>
      <w:r>
        <w:rPr>
          <w:lang w:val="en-IE"/>
        </w:rPr>
        <w:t xml:space="preserve">which belongs to the race-game family in which dice are essential. There is no mention of dice in connection with any of the early Irish and Welsh board-games, which all appear to have </w:t>
      </w:r>
      <w:r>
        <w:rPr>
          <w:lang w:val="en-IE"/>
        </w:rPr>
        <w:t>been pure games of skill.</w:t>
      </w:r>
    </w:p>
    <w:p w:rsidR="00000000" w:rsidRDefault="009F1A26">
      <w:pPr>
        <w:rPr>
          <w:lang w:val="en-IE"/>
        </w:rPr>
      </w:pPr>
      <w:r>
        <w:rPr>
          <w:lang w:val="en-IE"/>
        </w:rPr>
        <w:t xml:space="preserve">It has to be recognised that O’Grady, Lady Gregory, Yeats, and other writers of that movement </w:t>
      </w:r>
      <w:r>
        <w:t>were more concerned with constructing and publicising a positive image of the Irish past than with historical accuracy. History was bein</w:t>
      </w:r>
      <w:r>
        <w:t xml:space="preserve">g used to bolster the particular ideological viewpoint of the Celtic Revival and the new National Theatre. Yeats showed no sign of scepticism about whether </w:t>
      </w:r>
      <w:r>
        <w:rPr>
          <w:i/>
          <w:iCs/>
        </w:rPr>
        <w:t xml:space="preserve">fidchell </w:t>
      </w:r>
      <w:r>
        <w:t>was chess, perhaps because it would not have suited his artistic purpose, or else through l</w:t>
      </w:r>
      <w:r>
        <w:t xml:space="preserve">ack of curiosity. In particular, he developed details from old Irish tales into his play </w:t>
      </w:r>
      <w:r>
        <w:rPr>
          <w:i/>
          <w:iCs/>
        </w:rPr>
        <w:t>Deirdre</w:t>
      </w:r>
      <w:r>
        <w:t>, dating originally from 1907.</w:t>
      </w:r>
      <w:r>
        <w:rPr>
          <w:rStyle w:val="EndnoteReference"/>
        </w:rPr>
        <w:endnoteReference w:id="74"/>
      </w:r>
      <w:r>
        <w:t xml:space="preserve"> His correspondence reveals no concern about whether </w:t>
      </w:r>
      <w:r>
        <w:lastRenderedPageBreak/>
        <w:t>Deirdre and Naoise might not be playing the chess that he enjoyed; at the en</w:t>
      </w:r>
      <w:r>
        <w:t>d of 1908 he wrote: ‘I have an idea for enlarging &amp; strengthening the chess playing scene in Deirdre’.</w:t>
      </w:r>
      <w:r>
        <w:rPr>
          <w:rStyle w:val="EndnoteReference"/>
        </w:rPr>
        <w:endnoteReference w:id="75"/>
      </w:r>
      <w:r>
        <w:t xml:space="preserve"> As Gordon Wickstrom has argued, the chess metaphor is central to Yeats’s artistic purpose in the play, and he freely reworked the Irish legends he used </w:t>
      </w:r>
      <w:r>
        <w:t>as his source until they were almost unrecognisable.</w:t>
      </w:r>
      <w:r>
        <w:rPr>
          <w:rStyle w:val="EndnoteReference"/>
        </w:rPr>
        <w:endnoteReference w:id="76"/>
      </w:r>
      <w:r>
        <w:t xml:space="preserve"> </w:t>
      </w:r>
      <w:r>
        <w:rPr>
          <w:lang w:val="en-IE"/>
        </w:rPr>
        <w:t>By now, the myth was fully formed with both popular and learned writers taking for granted the equivalence of the games.</w:t>
      </w:r>
      <w:r>
        <w:rPr>
          <w:rStyle w:val="EndnoteReference"/>
          <w:lang w:val="en-IE"/>
        </w:rPr>
        <w:endnoteReference w:id="77"/>
      </w:r>
    </w:p>
    <w:p w:rsidR="00000000" w:rsidRDefault="009F1A26">
      <w:pPr>
        <w:pStyle w:val="Heading3"/>
      </w:pPr>
      <w:r>
        <w:t>V</w:t>
      </w:r>
    </w:p>
    <w:p w:rsidR="00000000" w:rsidRDefault="009F1A26">
      <w:r>
        <w:t>The twentieth century demythologisation proceeded in slow stages. The true ori</w:t>
      </w:r>
      <w:r>
        <w:t xml:space="preserve">gins of chess were being established while the transcription, translation, and editing of Irish manuscripts was now more scientific than in the pioneering days of O’Donovan and O’Curry. </w:t>
      </w:r>
      <w:r>
        <w:rPr>
          <w:lang w:val="en-IE"/>
        </w:rPr>
        <w:t>The first to clearly explain the Asiatic origins of chess in English w</w:t>
      </w:r>
      <w:r>
        <w:rPr>
          <w:lang w:val="en-IE"/>
        </w:rPr>
        <w:t>as A. A. MacDonnell, in an 1898 paper for the Royal Asiatic Society.</w:t>
      </w:r>
      <w:r>
        <w:rPr>
          <w:rStyle w:val="EndnoteReference"/>
          <w:lang w:val="en-IE"/>
        </w:rPr>
        <w:endnoteReference w:id="78"/>
      </w:r>
      <w:r>
        <w:rPr>
          <w:lang w:val="en-IE"/>
        </w:rPr>
        <w:t xml:space="preserve"> His article, which includes the important statement that ‘the oldest Arabic and Persian authorities agree in ascribing an Indian origin to chess’, was influential on Harold Murray but do</w:t>
      </w:r>
      <w:r>
        <w:rPr>
          <w:lang w:val="en-IE"/>
        </w:rPr>
        <w:t>es not appear to have had any effect on the myth, perhaps because it said nothing about Ireland.</w:t>
      </w:r>
      <w:r>
        <w:t xml:space="preserve"> Murray’s mammoth </w:t>
      </w:r>
      <w:r>
        <w:rPr>
          <w:i/>
          <w:iCs/>
          <w:lang w:val="en-IE"/>
        </w:rPr>
        <w:t>History of Chess</w:t>
      </w:r>
      <w:r>
        <w:t xml:space="preserve"> deals with the game from its origins in sixth century India up to 1851, and in later years he wrote more on games.</w:t>
      </w:r>
      <w:r>
        <w:rPr>
          <w:lang w:val="en-IE"/>
        </w:rPr>
        <w:t xml:space="preserve"> His papers</w:t>
      </w:r>
      <w:r>
        <w:rPr>
          <w:lang w:val="en-IE"/>
        </w:rPr>
        <w:t>, in the Bodleian Library, document debates conducted over many years with other experts who had theories about the history of chess and draughts.</w:t>
      </w:r>
      <w:r>
        <w:rPr>
          <w:rStyle w:val="EndnoteReference"/>
          <w:lang w:val="en-IE"/>
        </w:rPr>
        <w:endnoteReference w:id="79"/>
      </w:r>
      <w:r>
        <w:rPr>
          <w:lang w:val="en-IE"/>
        </w:rPr>
        <w:t xml:space="preserve"> They include some letters he received on the subject of Celtic board-games. Oxford holds very few copies of </w:t>
      </w:r>
      <w:r>
        <w:rPr>
          <w:lang w:val="en-IE"/>
        </w:rPr>
        <w:t>Murray’s replies, but both sides of his important correspondence with American lawyer John G. White are preserved in the Cleveland Public Library in Ohio.</w:t>
      </w:r>
      <w:r>
        <w:rPr>
          <w:rStyle w:val="EndnoteReference"/>
          <w:lang w:val="en-IE"/>
        </w:rPr>
        <w:endnoteReference w:id="80"/>
      </w:r>
      <w:r>
        <w:rPr>
          <w:lang w:val="en-IE"/>
        </w:rPr>
        <w:t xml:space="preserve"> </w:t>
      </w:r>
      <w:r>
        <w:t xml:space="preserve">White assisted Murray in the titanic labour of collecting, copying and translating the oriental and </w:t>
      </w:r>
      <w:r>
        <w:t>medieval manuscripts essential to establishing the origins, evolution, and transmission of chess along the lines MacDonnell had indicated.</w:t>
      </w:r>
    </w:p>
    <w:p w:rsidR="00000000" w:rsidRDefault="009F1A26">
      <w:r>
        <w:t xml:space="preserve">Murray did not set out specifically to demonstrate that there was no possibility </w:t>
      </w:r>
      <w:r>
        <w:rPr>
          <w:i/>
          <w:iCs/>
        </w:rPr>
        <w:t>fidchell</w:t>
      </w:r>
      <w:r>
        <w:t xml:space="preserve"> and chess could be related;</w:t>
      </w:r>
      <w:r>
        <w:t xml:space="preserve"> it was a side-effect of his research. White first raised the question of Irish references to ‘chess’ in a letter dated 19 May 1904 after reading </w:t>
      </w:r>
      <w:r>
        <w:rPr>
          <w:i/>
          <w:iCs/>
        </w:rPr>
        <w:t>Silva Gadelica</w:t>
      </w:r>
      <w:r>
        <w:t xml:space="preserve"> and Lady Gregory’s </w:t>
      </w:r>
      <w:r>
        <w:rPr>
          <w:i/>
          <w:iCs/>
        </w:rPr>
        <w:t>Cuchulainn</w:t>
      </w:r>
      <w:r>
        <w:t xml:space="preserve">, remarking that ‘the legends </w:t>
      </w:r>
      <w:r>
        <w:lastRenderedPageBreak/>
        <w:t>connected with this game are curious</w:t>
      </w:r>
      <w:r>
        <w:t>ly like those connected with chess’. Later letters from White refer to passages in the works of Meyer and Stokes, but Murray clearly recognised that these were a red herring. His only references to the ancient Celtic games are in lengthy footnotes on pages</w:t>
      </w:r>
      <w:r>
        <w:t xml:space="preserve"> 420 and 746. Perhaps the myth would not have endured so long had Murray written a paragraph to explicitly refute the identification of </w:t>
      </w:r>
      <w:r>
        <w:rPr>
          <w:i/>
          <w:iCs/>
        </w:rPr>
        <w:t>fidchell</w:t>
      </w:r>
      <w:r>
        <w:t xml:space="preserve"> with modern chess. Even some scholars have overlooked the correction.</w:t>
      </w:r>
      <w:r>
        <w:rPr>
          <w:rStyle w:val="EndnoteReference"/>
        </w:rPr>
        <w:endnoteReference w:id="81"/>
      </w:r>
    </w:p>
    <w:p w:rsidR="00000000" w:rsidRDefault="009F1A26">
      <w:pPr>
        <w:rPr>
          <w:lang w:val="en-IE"/>
        </w:rPr>
      </w:pPr>
      <w:r>
        <w:t>While some details of Murray’s interpret</w:t>
      </w:r>
      <w:r>
        <w:t>ation have been challenged,</w:t>
      </w:r>
      <w:r>
        <w:rPr>
          <w:rStyle w:val="EndnoteReference"/>
        </w:rPr>
        <w:endnoteReference w:id="82"/>
      </w:r>
      <w:r>
        <w:t xml:space="preserve"> the fundamental thesis of his </w:t>
      </w:r>
      <w:r>
        <w:rPr>
          <w:i/>
          <w:iCs/>
        </w:rPr>
        <w:t>History</w:t>
      </w:r>
      <w:r>
        <w:t xml:space="preserve"> is unlikely to be overturned. </w:t>
      </w:r>
      <w:r>
        <w:rPr>
          <w:lang w:val="en-IE"/>
        </w:rPr>
        <w:t>This is recognised in the most recent full-length semi-scholarly work on chess history, by Richard Eales, which included a brief account of Celtic board games,</w:t>
      </w:r>
      <w:r>
        <w:rPr>
          <w:lang w:val="en-IE"/>
        </w:rPr>
        <w:t xml:space="preserve"> representing the currently accepted view. Eales wrote:</w:t>
      </w:r>
    </w:p>
    <w:p w:rsidR="00000000" w:rsidRDefault="009F1A26">
      <w:pPr>
        <w:pStyle w:val="Quote"/>
      </w:pPr>
      <w:r>
        <w:t>‘The game of</w:t>
      </w:r>
      <w:r>
        <w:rPr>
          <w:i/>
        </w:rPr>
        <w:t xml:space="preserve"> fidchell </w:t>
      </w:r>
      <w:r>
        <w:t xml:space="preserve">appears in Irish epics going back to the eighth or ninth century, while the Welsh equivalent, </w:t>
      </w:r>
      <w:r>
        <w:rPr>
          <w:i/>
        </w:rPr>
        <w:t xml:space="preserve">gwyddbwyll, </w:t>
      </w:r>
      <w:r>
        <w:t>is mentioned in the famous collection of early stories called by the gen</w:t>
      </w:r>
      <w:r>
        <w:t xml:space="preserve">eral name of the </w:t>
      </w:r>
      <w:r>
        <w:rPr>
          <w:i/>
        </w:rPr>
        <w:t xml:space="preserve">Mabinogion. </w:t>
      </w:r>
      <w:r>
        <w:t xml:space="preserve">Little is known of their modes of play, but both were certainly games of skill. In the Norse world of the ninth and tenth centuries there was also a characteristic board game, called </w:t>
      </w:r>
      <w:r>
        <w:rPr>
          <w:i/>
        </w:rPr>
        <w:t xml:space="preserve">hnefatafl. </w:t>
      </w:r>
      <w:r>
        <w:t>... Before they knew chess, it wa</w:t>
      </w:r>
      <w:r>
        <w:t>s this game which the Vikings took with them to Ireland, England and elsewhere; and which is mentioned in the earliest saga literature.’</w:t>
      </w:r>
      <w:r>
        <w:rPr>
          <w:rStyle w:val="EndnoteReference"/>
        </w:rPr>
        <w:endnoteReference w:id="83"/>
      </w:r>
    </w:p>
    <w:p w:rsidR="00000000" w:rsidRDefault="009F1A26">
      <w:pPr>
        <w:rPr>
          <w:lang w:val="en-IE"/>
        </w:rPr>
      </w:pPr>
      <w:r>
        <w:t>New academic work on Celtic games followed O’Neill Hencken’s 1932 discovery of a wooden game-board during the excavati</w:t>
      </w:r>
      <w:r>
        <w:t>on of the Ballinderry crannog in County Meath.</w:t>
      </w:r>
      <w:r>
        <w:rPr>
          <w:rStyle w:val="EndnoteReference"/>
        </w:rPr>
        <w:endnoteReference w:id="84"/>
      </w:r>
      <w:r>
        <w:t xml:space="preserve"> Hencken’s speculations concerning what game was played on it are of little value since he was unaware of Murray’s discovery, already published in 1913, of </w:t>
      </w:r>
      <w:r>
        <w:rPr>
          <w:lang w:val="en-IE"/>
        </w:rPr>
        <w:t xml:space="preserve">the key to the Norse and Saxon game of </w:t>
      </w:r>
      <w:r>
        <w:rPr>
          <w:i/>
          <w:lang w:val="en-IE"/>
        </w:rPr>
        <w:t>hnefatafl</w:t>
      </w:r>
      <w:r>
        <w:rPr>
          <w:lang w:val="en-IE"/>
        </w:rPr>
        <w:t>. Swe</w:t>
      </w:r>
      <w:r>
        <w:rPr>
          <w:lang w:val="en-IE"/>
        </w:rPr>
        <w:t xml:space="preserve">dish botanist Linnaeus had found a game called </w:t>
      </w:r>
      <w:r>
        <w:rPr>
          <w:i/>
          <w:lang w:val="en-IE"/>
        </w:rPr>
        <w:t>tablut</w:t>
      </w:r>
      <w:r>
        <w:rPr>
          <w:lang w:val="en-IE"/>
        </w:rPr>
        <w:t xml:space="preserve"> being played by Swedish Lapps in 1732, on a 9x9 board with special markings, similar to the Ballinderry board but larger. Linnaeus, then a student, wrote a careful description in his diary, which much l</w:t>
      </w:r>
      <w:r>
        <w:rPr>
          <w:lang w:val="en-IE"/>
        </w:rPr>
        <w:t>ater provided Murray with the missing link.</w:t>
      </w:r>
      <w:r>
        <w:rPr>
          <w:rStyle w:val="EndnoteReference"/>
          <w:lang w:val="en-IE"/>
        </w:rPr>
        <w:endnoteReference w:id="85"/>
      </w:r>
      <w:r>
        <w:rPr>
          <w:lang w:val="en-IE"/>
        </w:rPr>
        <w:t xml:space="preserve"> Murray was then able to prove that in most essentials, </w:t>
      </w:r>
      <w:r>
        <w:rPr>
          <w:i/>
          <w:lang w:val="en-IE"/>
        </w:rPr>
        <w:t xml:space="preserve">tablut </w:t>
      </w:r>
      <w:r>
        <w:rPr>
          <w:lang w:val="en-IE"/>
        </w:rPr>
        <w:t>corresponds to</w:t>
      </w:r>
      <w:r>
        <w:rPr>
          <w:i/>
          <w:lang w:val="en-IE"/>
        </w:rPr>
        <w:t xml:space="preserve"> </w:t>
      </w:r>
      <w:r>
        <w:rPr>
          <w:lang w:val="en-IE"/>
        </w:rPr>
        <w:t xml:space="preserve">a game described in Iceland and Wales. As late as December 1933, </w:t>
      </w:r>
      <w:r>
        <w:rPr>
          <w:i/>
          <w:iCs/>
          <w:lang w:val="en-IE"/>
        </w:rPr>
        <w:lastRenderedPageBreak/>
        <w:t>British Chess Magazine</w:t>
      </w:r>
      <w:r>
        <w:rPr>
          <w:lang w:val="en-IE"/>
        </w:rPr>
        <w:t xml:space="preserve"> published a three-page article by the presiden</w:t>
      </w:r>
      <w:r>
        <w:rPr>
          <w:lang w:val="en-IE"/>
        </w:rPr>
        <w:t>t of one of Dublin’s chess clubs, relating some of the old tales, albeit admitting that the old romances left us in the dark ‘as to the rules of the game or whether it was similar to modern chess’.</w:t>
      </w:r>
      <w:r>
        <w:rPr>
          <w:rStyle w:val="EndnoteReference"/>
          <w:lang w:val="en-IE"/>
        </w:rPr>
        <w:endnoteReference w:id="86"/>
      </w:r>
      <w:r>
        <w:rPr>
          <w:lang w:val="en-IE"/>
        </w:rPr>
        <w:t xml:space="preserve"> Murray was invited to comment and he observed that ‘there</w:t>
      </w:r>
      <w:r>
        <w:rPr>
          <w:lang w:val="en-IE"/>
        </w:rPr>
        <w:t xml:space="preserve"> is no real evidence for the practice in Ireland before the time of Strongbow’.</w:t>
      </w:r>
    </w:p>
    <w:p w:rsidR="00000000" w:rsidRDefault="009F1A26">
      <w:r>
        <w:t>Dr Frank Lewis, one of Murray’s correspondents in the 1940s, wrote the most important paper on Welsh board games.</w:t>
      </w:r>
      <w:r>
        <w:rPr>
          <w:rStyle w:val="EndnoteReference"/>
        </w:rPr>
        <w:endnoteReference w:id="87"/>
      </w:r>
      <w:r>
        <w:t xml:space="preserve"> He dealt chiefly with </w:t>
      </w:r>
      <w:r>
        <w:rPr>
          <w:i/>
          <w:iCs/>
        </w:rPr>
        <w:t>tawlbwrdd</w:t>
      </w:r>
      <w:r>
        <w:t>, mentioned in the ancient law</w:t>
      </w:r>
      <w:r>
        <w:t>s of Wales.</w:t>
      </w:r>
      <w:r>
        <w:rPr>
          <w:rStyle w:val="EndnoteReference"/>
        </w:rPr>
        <w:endnoteReference w:id="88"/>
      </w:r>
      <w:r>
        <w:t xml:space="preserve"> Proof that the game was still being played at a late date is a manuscript of 1587 by Robert ap Ifan,</w:t>
      </w:r>
      <w:r>
        <w:rPr>
          <w:rStyle w:val="EndnoteReference"/>
        </w:rPr>
        <w:endnoteReference w:id="89"/>
      </w:r>
      <w:r>
        <w:t xml:space="preserve"> which corresponds to two descriptions of </w:t>
      </w:r>
      <w:r>
        <w:rPr>
          <w:i/>
        </w:rPr>
        <w:t>hnefatafl</w:t>
      </w:r>
      <w:r>
        <w:t xml:space="preserve"> in the Icelandic sagas and to Linnaeus.</w:t>
      </w:r>
      <w:r>
        <w:rPr>
          <w:rStyle w:val="EndnoteReference"/>
        </w:rPr>
        <w:endnoteReference w:id="90"/>
      </w:r>
      <w:r>
        <w:t xml:space="preserve"> The Welsh MS includes a drawing of an 11x11 board</w:t>
      </w:r>
      <w:r>
        <w:t xml:space="preserve">; the king-piece had twelve defenders while twenty-four enemy pieces seek to trap him. Lewis informed Murray about his article and added </w:t>
      </w:r>
      <w:r>
        <w:rPr>
          <w:lang w:val="en-IE"/>
        </w:rPr>
        <w:t xml:space="preserve">‘I have taught the game of </w:t>
      </w:r>
      <w:r>
        <w:rPr>
          <w:i/>
          <w:lang w:val="en-IE"/>
        </w:rPr>
        <w:t>tawlbwrdd</w:t>
      </w:r>
      <w:r>
        <w:rPr>
          <w:lang w:val="en-IE"/>
        </w:rPr>
        <w:t xml:space="preserve"> on the 11x11 board to many people’</w:t>
      </w:r>
      <w:r>
        <w:rPr>
          <w:iCs/>
        </w:rPr>
        <w:t>. But the same letter, his last one in the file,</w:t>
      </w:r>
      <w:r>
        <w:t xml:space="preserve"> reveals his information on Irish games was deficient, as it includes these sentences:</w:t>
      </w:r>
    </w:p>
    <w:p w:rsidR="00000000" w:rsidRDefault="009F1A26">
      <w:pPr>
        <w:pStyle w:val="Quote"/>
        <w:rPr>
          <w:lang w:val="en-IE"/>
        </w:rPr>
      </w:pPr>
      <w:r>
        <w:rPr>
          <w:lang w:val="en-IE"/>
        </w:rPr>
        <w:t xml:space="preserve">‘A vast mass of extracts which I have taken from Irish authors… convince me that the game of </w:t>
      </w:r>
      <w:r>
        <w:rPr>
          <w:i/>
          <w:lang w:val="en-IE"/>
        </w:rPr>
        <w:t>fidchell</w:t>
      </w:r>
      <w:r>
        <w:rPr>
          <w:lang w:val="en-IE"/>
        </w:rPr>
        <w:t xml:space="preserve"> was that played upon the Ballinderry board, and that it was akin or</w:t>
      </w:r>
      <w:r>
        <w:rPr>
          <w:lang w:val="en-IE"/>
        </w:rPr>
        <w:t xml:space="preserve"> similar to </w:t>
      </w:r>
      <w:r>
        <w:rPr>
          <w:i/>
          <w:lang w:val="en-IE"/>
        </w:rPr>
        <w:t>tawlbwrdd</w:t>
      </w:r>
      <w:r>
        <w:rPr>
          <w:lang w:val="en-IE"/>
        </w:rPr>
        <w:t xml:space="preserve"> and </w:t>
      </w:r>
      <w:r>
        <w:rPr>
          <w:i/>
          <w:lang w:val="en-IE"/>
        </w:rPr>
        <w:t>hnefatafl</w:t>
      </w:r>
      <w:r>
        <w:rPr>
          <w:lang w:val="en-IE"/>
        </w:rPr>
        <w:t xml:space="preserve">. I therefore assume that the Ballinderry board represents an early kind of </w:t>
      </w:r>
      <w:r>
        <w:rPr>
          <w:i/>
          <w:lang w:val="en-IE"/>
        </w:rPr>
        <w:t>fidchell</w:t>
      </w:r>
      <w:r>
        <w:rPr>
          <w:lang w:val="en-IE"/>
        </w:rPr>
        <w:t xml:space="preserve"> board, and that, as time went on, boards of 9x9 and then 11x11 were more generally used, in order to make the game harder and of longer </w:t>
      </w:r>
      <w:r>
        <w:rPr>
          <w:lang w:val="en-IE"/>
        </w:rPr>
        <w:t>duration</w:t>
      </w:r>
      <w:r>
        <w:rPr>
          <w:i/>
          <w:lang w:val="en-IE"/>
        </w:rPr>
        <w:t>.</w:t>
      </w:r>
      <w:r>
        <w:rPr>
          <w:iCs/>
          <w:lang w:val="en-IE"/>
        </w:rPr>
        <w:t>’</w:t>
      </w:r>
      <w:r>
        <w:rPr>
          <w:rStyle w:val="EndnoteReference"/>
          <w:iCs/>
          <w:lang w:val="en-IE"/>
        </w:rPr>
        <w:endnoteReference w:id="91"/>
      </w:r>
    </w:p>
    <w:p w:rsidR="00000000" w:rsidRDefault="009F1A26">
      <w:r>
        <w:t>He was only partly right, because he thought ‘</w:t>
      </w:r>
      <w:r>
        <w:rPr>
          <w:i/>
          <w:lang w:val="en-IE"/>
        </w:rPr>
        <w:t>brandub</w:t>
      </w:r>
      <w:r>
        <w:rPr>
          <w:lang w:val="en-IE"/>
        </w:rPr>
        <w:t xml:space="preserve"> and </w:t>
      </w:r>
      <w:r>
        <w:rPr>
          <w:i/>
          <w:lang w:val="en-IE"/>
        </w:rPr>
        <w:t>buanfach</w:t>
      </w:r>
      <w:r>
        <w:rPr>
          <w:lang w:val="en-IE"/>
        </w:rPr>
        <w:t xml:space="preserve">, mentioned in Irish texts, to be synonymous with </w:t>
      </w:r>
      <w:r>
        <w:rPr>
          <w:i/>
          <w:lang w:val="en-IE"/>
        </w:rPr>
        <w:t>fidchell</w:t>
      </w:r>
      <w:r>
        <w:rPr>
          <w:u w:val="single"/>
          <w:lang w:val="en-IE"/>
        </w:rPr>
        <w:t>,</w:t>
      </w:r>
      <w:r>
        <w:rPr>
          <w:lang w:val="en-IE"/>
        </w:rPr>
        <w:t xml:space="preserve"> just as it seems that </w:t>
      </w:r>
      <w:r>
        <w:rPr>
          <w:i/>
          <w:lang w:val="en-IE"/>
        </w:rPr>
        <w:t>gwyddbwyll</w:t>
      </w:r>
      <w:r>
        <w:rPr>
          <w:lang w:val="en-IE"/>
        </w:rPr>
        <w:t xml:space="preserve"> in Welsh is another word for </w:t>
      </w:r>
      <w:r>
        <w:rPr>
          <w:i/>
          <w:lang w:val="en-IE"/>
        </w:rPr>
        <w:t>tawlbwrdd</w:t>
      </w:r>
      <w:r>
        <w:rPr>
          <w:iCs/>
          <w:lang w:val="en-IE"/>
        </w:rPr>
        <w:t>’</w:t>
      </w:r>
      <w:r>
        <w:t>. Dr Angela Gleason, who critiqued an early ve</w:t>
      </w:r>
      <w:r>
        <w:t xml:space="preserve">rsion of the present article, expressed her opinion that while </w:t>
      </w:r>
      <w:r>
        <w:rPr>
          <w:i/>
          <w:iCs/>
        </w:rPr>
        <w:t>fidchell</w:t>
      </w:r>
      <w:r>
        <w:t xml:space="preserve"> is probably not a Viking game, </w:t>
      </w:r>
      <w:r>
        <w:rPr>
          <w:i/>
          <w:iCs/>
        </w:rPr>
        <w:t>brandub</w:t>
      </w:r>
      <w:r>
        <w:t xml:space="preserve"> quite possibly was. She said that the earliest </w:t>
      </w:r>
      <w:r>
        <w:rPr>
          <w:i/>
          <w:iCs/>
        </w:rPr>
        <w:t>fidchell</w:t>
      </w:r>
      <w:r>
        <w:t xml:space="preserve"> references pre-date the Vikings’ arrival in Ireland, and the cognate </w:t>
      </w:r>
      <w:r>
        <w:rPr>
          <w:i/>
          <w:iCs/>
        </w:rPr>
        <w:t>gwyddbwyll</w:t>
      </w:r>
      <w:r>
        <w:t xml:space="preserve"> precludes</w:t>
      </w:r>
      <w:r>
        <w:t xml:space="preserve"> acceptance of it as a Viking game.</w:t>
      </w:r>
    </w:p>
    <w:p w:rsidR="00000000" w:rsidRDefault="009F1A26">
      <w:r>
        <w:t xml:space="preserve">The key paper is </w:t>
      </w:r>
      <w:r>
        <w:rPr>
          <w:i/>
          <w:iCs/>
        </w:rPr>
        <w:t>Early Irish Board Games</w:t>
      </w:r>
      <w:r>
        <w:t xml:space="preserve"> by Eóin MacWhite, published in 1948.</w:t>
      </w:r>
      <w:r>
        <w:rPr>
          <w:rStyle w:val="EndnoteReference"/>
        </w:rPr>
        <w:endnoteReference w:id="92"/>
      </w:r>
      <w:r>
        <w:t xml:space="preserve"> In particular, MacWhite pointed out that the tale of Mac da Cherda and Cummaine Fota includes a description of how pieces were captured in </w:t>
      </w:r>
      <w:r>
        <w:rPr>
          <w:i/>
          <w:iCs/>
        </w:rPr>
        <w:t>fi</w:t>
      </w:r>
      <w:r>
        <w:rPr>
          <w:i/>
          <w:iCs/>
        </w:rPr>
        <w:t>dchell</w:t>
      </w:r>
      <w:r>
        <w:t>.</w:t>
      </w:r>
      <w:r>
        <w:rPr>
          <w:rStyle w:val="EndnoteReference"/>
        </w:rPr>
        <w:endnoteReference w:id="93"/>
      </w:r>
      <w:r>
        <w:t xml:space="preserve"> The </w:t>
      </w:r>
      <w:r>
        <w:lastRenderedPageBreak/>
        <w:t>method described is neither the displacement method of chess and backgammon nor the overleaping of draughts.</w:t>
      </w:r>
      <w:r>
        <w:rPr>
          <w:b/>
          <w:bCs/>
        </w:rPr>
        <w:t xml:space="preserve"> </w:t>
      </w:r>
      <w:r>
        <w:t xml:space="preserve">The ‘strangulation’ capture method (or ‘interception’ as Murray calls it), known from </w:t>
      </w:r>
      <w:r>
        <w:rPr>
          <w:i/>
          <w:iCs/>
        </w:rPr>
        <w:t>tablut</w:t>
      </w:r>
      <w:r>
        <w:t>,</w:t>
      </w:r>
      <w:r>
        <w:rPr>
          <w:i/>
          <w:iCs/>
        </w:rPr>
        <w:t xml:space="preserve"> </w:t>
      </w:r>
      <w:r>
        <w:t xml:space="preserve">and a straight-line move (like the rook </w:t>
      </w:r>
      <w:r>
        <w:t xml:space="preserve">in chess) seem to be present in all these games. This misled Lewis and others to an incorrect identification, for in other crucial respects the descriptions differ. Concerning </w:t>
      </w:r>
      <w:r>
        <w:rPr>
          <w:i/>
          <w:iCs/>
        </w:rPr>
        <w:t>brandub</w:t>
      </w:r>
      <w:r>
        <w:t>, MacWhite recognised that Dr Eleanor Knott had collected most of the evi</w:t>
      </w:r>
      <w:r>
        <w:t>dence and published it in a footnote to an edition of poetry in the 1930s.</w:t>
      </w:r>
      <w:r>
        <w:rPr>
          <w:rStyle w:val="EndnoteReference"/>
        </w:rPr>
        <w:endnoteReference w:id="94"/>
      </w:r>
    </w:p>
    <w:p w:rsidR="00000000" w:rsidRDefault="009F1A26">
      <w:r>
        <w:t xml:space="preserve">Murray only learned of recent Irish researches when, after the publication of his </w:t>
      </w:r>
      <w:r>
        <w:rPr>
          <w:i/>
          <w:iCs/>
        </w:rPr>
        <w:t>History of Board-Games</w:t>
      </w:r>
      <w:r>
        <w:t xml:space="preserve"> (1952), MacWhite wrote to him. He pointed out that </w:t>
      </w:r>
      <w:r>
        <w:rPr>
          <w:lang w:val="en-IE"/>
        </w:rPr>
        <w:t>Murray had failed to mak</w:t>
      </w:r>
      <w:r>
        <w:rPr>
          <w:lang w:val="en-IE"/>
        </w:rPr>
        <w:t xml:space="preserve">e the identification of </w:t>
      </w:r>
      <w:r>
        <w:rPr>
          <w:i/>
          <w:iCs/>
          <w:lang w:val="en-IE"/>
        </w:rPr>
        <w:t>brandub</w:t>
      </w:r>
      <w:r>
        <w:rPr>
          <w:lang w:val="en-IE"/>
        </w:rPr>
        <w:t xml:space="preserve"> with the </w:t>
      </w:r>
      <w:r>
        <w:rPr>
          <w:i/>
          <w:iCs/>
          <w:lang w:val="en-IE"/>
        </w:rPr>
        <w:t>hnefatafl</w:t>
      </w:r>
      <w:r>
        <w:rPr>
          <w:lang w:val="en-IE"/>
        </w:rPr>
        <w:t xml:space="preserve"> family.</w:t>
      </w:r>
      <w:r>
        <w:rPr>
          <w:rStyle w:val="EndnoteReference"/>
          <w:lang w:val="en-IE"/>
        </w:rPr>
        <w:endnoteReference w:id="95"/>
      </w:r>
      <w:r>
        <w:rPr>
          <w:lang w:val="en-IE"/>
        </w:rPr>
        <w:t xml:space="preserve"> </w:t>
      </w:r>
      <w:r>
        <w:t xml:space="preserve">MacWhite appears not to have known Lewis’s work, but he briefly considered in his </w:t>
      </w:r>
      <w:r>
        <w:rPr>
          <w:i/>
          <w:iCs/>
        </w:rPr>
        <w:t>Éigse</w:t>
      </w:r>
      <w:r>
        <w:t xml:space="preserve"> paper whether </w:t>
      </w:r>
      <w:r>
        <w:rPr>
          <w:i/>
          <w:iCs/>
        </w:rPr>
        <w:t>fidchell</w:t>
      </w:r>
      <w:r>
        <w:t xml:space="preserve"> could be a variant on </w:t>
      </w:r>
      <w:r>
        <w:rPr>
          <w:i/>
          <w:iCs/>
        </w:rPr>
        <w:t>brandub</w:t>
      </w:r>
      <w:r>
        <w:t>. Lines in some texts about the players winning alternat</w:t>
      </w:r>
      <w:r>
        <w:t xml:space="preserve">ely appear typical of games of the fox-and-geese and </w:t>
      </w:r>
      <w:r>
        <w:rPr>
          <w:i/>
          <w:iCs/>
        </w:rPr>
        <w:t>tablut</w:t>
      </w:r>
      <w:r>
        <w:t xml:space="preserve"> variety, as in the game </w:t>
      </w:r>
      <w:r>
        <w:rPr>
          <w:lang w:val="en-IE"/>
        </w:rPr>
        <w:t>Láeg</w:t>
      </w:r>
      <w:r>
        <w:t xml:space="preserve"> played with Cuchulainn.</w:t>
      </w:r>
      <w:r>
        <w:rPr>
          <w:rStyle w:val="EndnoteReference"/>
        </w:rPr>
        <w:endnoteReference w:id="96"/>
      </w:r>
      <w:r>
        <w:t xml:space="preserve"> MacWhite rejected this because of the unequal forces in </w:t>
      </w:r>
      <w:r>
        <w:rPr>
          <w:i/>
          <w:iCs/>
        </w:rPr>
        <w:t>brandub</w:t>
      </w:r>
      <w:r>
        <w:t>. Also the fact that (as Murray pointed out) there is no mention of any differe</w:t>
      </w:r>
      <w:r>
        <w:t xml:space="preserve">ntiation between types of piece in </w:t>
      </w:r>
      <w:r>
        <w:rPr>
          <w:i/>
          <w:iCs/>
        </w:rPr>
        <w:t>fidchell</w:t>
      </w:r>
      <w:r>
        <w:t xml:space="preserve"> indicates two different types of game</w:t>
      </w:r>
      <w:r>
        <w:rPr>
          <w:i/>
          <w:iCs/>
        </w:rPr>
        <w:t>.</w:t>
      </w:r>
      <w:r>
        <w:t xml:space="preserve"> Both MacWhite and Murray supposed that </w:t>
      </w:r>
      <w:r>
        <w:rPr>
          <w:i/>
          <w:iCs/>
        </w:rPr>
        <w:t>fidchell</w:t>
      </w:r>
      <w:r>
        <w:t xml:space="preserve"> was probably a battle game similar to the Roman </w:t>
      </w:r>
      <w:r>
        <w:rPr>
          <w:i/>
          <w:iCs/>
        </w:rPr>
        <w:t>ludus</w:t>
      </w:r>
      <w:r>
        <w:t xml:space="preserve"> </w:t>
      </w:r>
      <w:r>
        <w:rPr>
          <w:i/>
          <w:iCs/>
        </w:rPr>
        <w:t>latrunculorum.</w:t>
      </w:r>
      <w:r>
        <w:t xml:space="preserve"> To discuss that further would require another long paper</w:t>
      </w:r>
      <w:r>
        <w:t>, but it is conceivable that the Roman soldiers learnt their game from the Celts rather than the other way around.</w:t>
      </w:r>
    </w:p>
    <w:p w:rsidR="00000000" w:rsidRDefault="009F1A26">
      <w:r>
        <w:t>When Belgian researcher Claude Sterckx reviewed the MacWhite and Lewis material,</w:t>
      </w:r>
      <w:r>
        <w:rPr>
          <w:rStyle w:val="EndnoteReference"/>
        </w:rPr>
        <w:endnoteReference w:id="97"/>
      </w:r>
      <w:r>
        <w:t xml:space="preserve"> with additional references from Brittany, he bemoaned, like</w:t>
      </w:r>
      <w:r>
        <w:t xml:space="preserve"> everyone else who has studied this subject, the fact that: ‘for a very long time translators and commentators on the old texts have… systematically and erroneously referred to classical chess’.</w:t>
      </w:r>
      <w:r>
        <w:rPr>
          <w:rStyle w:val="EndnoteReference"/>
        </w:rPr>
        <w:endnoteReference w:id="98"/>
      </w:r>
      <w:r>
        <w:t xml:space="preserve"> Unfortunately the Sterckx article contains a serious error. </w:t>
      </w:r>
      <w:r>
        <w:t xml:space="preserve">Having earlier said (correctly) that the derivations of the game-names </w:t>
      </w:r>
      <w:r>
        <w:rPr>
          <w:i/>
          <w:iCs/>
        </w:rPr>
        <w:t>fidchell, gwyddbwyll</w:t>
      </w:r>
      <w:r>
        <w:t xml:space="preserve"> and Breton </w:t>
      </w:r>
      <w:r>
        <w:rPr>
          <w:i/>
          <w:iCs/>
        </w:rPr>
        <w:t>gwezbouell</w:t>
      </w:r>
      <w:r>
        <w:t xml:space="preserve"> are the same, Sterckx asserted that </w:t>
      </w:r>
      <w:r>
        <w:rPr>
          <w:i/>
          <w:iCs/>
        </w:rPr>
        <w:t>brandubh</w:t>
      </w:r>
      <w:r>
        <w:t xml:space="preserve"> corresponds to the Welsh </w:t>
      </w:r>
      <w:r>
        <w:rPr>
          <w:i/>
          <w:iCs/>
        </w:rPr>
        <w:t>gwyddbwyll,</w:t>
      </w:r>
      <w:r>
        <w:t xml:space="preserve"> despite the fact that the passage from Robert ap Ifan, which</w:t>
      </w:r>
      <w:r>
        <w:t xml:space="preserve"> he quotes, is about the other Welsh game, </w:t>
      </w:r>
      <w:r>
        <w:rPr>
          <w:i/>
          <w:iCs/>
        </w:rPr>
        <w:t>tawlbwrdd</w:t>
      </w:r>
      <w:r>
        <w:t>.</w:t>
      </w:r>
      <w:r>
        <w:rPr>
          <w:rStyle w:val="EndnoteReference"/>
        </w:rPr>
        <w:endnoteReference w:id="99"/>
      </w:r>
      <w:r>
        <w:t xml:space="preserve"> This was not just a typing error, for further on Sterckx says ‘Several details could lead one to believe that </w:t>
      </w:r>
      <w:r>
        <w:rPr>
          <w:i/>
          <w:iCs/>
        </w:rPr>
        <w:t>fidchell</w:t>
      </w:r>
      <w:r>
        <w:t xml:space="preserve"> was a game of the same kind as </w:t>
      </w:r>
      <w:r>
        <w:rPr>
          <w:i/>
          <w:iCs/>
        </w:rPr>
        <w:t>brandubh</w:t>
      </w:r>
      <w:r>
        <w:t>’,</w:t>
      </w:r>
      <w:r>
        <w:rPr>
          <w:rStyle w:val="EndnoteReference"/>
          <w:iCs/>
        </w:rPr>
        <w:endnoteReference w:id="100"/>
      </w:r>
      <w:r>
        <w:rPr>
          <w:iCs/>
        </w:rPr>
        <w:t xml:space="preserve"> </w:t>
      </w:r>
      <w:r>
        <w:t xml:space="preserve">and one of the arguments he adduces is </w:t>
      </w:r>
      <w:r>
        <w:t xml:space="preserve">that one of the two sides is stronger than the other, which is incorrect on MacWhite’s analysis. Sterckx then goes on to say that ‘Only the constant distinction </w:t>
      </w:r>
      <w:r>
        <w:lastRenderedPageBreak/>
        <w:t xml:space="preserve">in the texts between </w:t>
      </w:r>
      <w:r>
        <w:rPr>
          <w:i/>
          <w:iCs/>
        </w:rPr>
        <w:t>fidchell</w:t>
      </w:r>
      <w:r>
        <w:t xml:space="preserve"> and </w:t>
      </w:r>
      <w:r>
        <w:rPr>
          <w:i/>
          <w:iCs/>
        </w:rPr>
        <w:t>brandubh, gwyddbwyll</w:t>
      </w:r>
      <w:r>
        <w:t xml:space="preserve"> and </w:t>
      </w:r>
      <w:r>
        <w:rPr>
          <w:i/>
          <w:iCs/>
        </w:rPr>
        <w:t>tawlbwrdd</w:t>
      </w:r>
      <w:r>
        <w:t xml:space="preserve"> would still seem to oppose</w:t>
      </w:r>
      <w:r>
        <w:t xml:space="preserve"> that suggestion.’ They certainly do oppose it, but Sterckx did not address MacWhite’s two counter-arguments. Apparently he both received the wrong idea from Lewis and failed to read MacWhite closely enough, and consequently his paper adds nothing to our k</w:t>
      </w:r>
      <w:r>
        <w:t>nowledge of the subject. In fact it points in quite the wrong direction where the Irish games are concerned.</w:t>
      </w:r>
    </w:p>
    <w:p w:rsidR="00000000" w:rsidRDefault="009F1A26">
      <w:r>
        <w:t xml:space="preserve">Catherine O’Sullivan, in the appendix to her book </w:t>
      </w:r>
      <w:r>
        <w:rPr>
          <w:i/>
          <w:iCs/>
        </w:rPr>
        <w:t>Hospitality in Medieval Ireland</w:t>
      </w:r>
      <w:r>
        <w:t>, refers briefly to board games. ‘Also popular among early Irish g</w:t>
      </w:r>
      <w:r>
        <w:t xml:space="preserve">uests,’ she writes, was </w:t>
      </w:r>
      <w:r>
        <w:rPr>
          <w:i/>
          <w:iCs/>
        </w:rPr>
        <w:t>fitcheall</w:t>
      </w:r>
      <w:r>
        <w:t>, adding cautiously that ‘the traditional translation “chess” is merely a convenience, as the rules of the game are not known today’.</w:t>
      </w:r>
      <w:r>
        <w:rPr>
          <w:rStyle w:val="EndnoteReference"/>
        </w:rPr>
        <w:endnoteReference w:id="101"/>
      </w:r>
      <w:r>
        <w:t xml:space="preserve"> Since O’Sullivan’s study covers 900-1500, this remark skirts the pitfall of assuming tha</w:t>
      </w:r>
      <w:r>
        <w:t xml:space="preserve">t the same name refers to the same game at different times; it was chess in (roughly) the latter half of that period but certainly not at the beginning. Angela Gleason wrote more precisely that </w:t>
      </w:r>
      <w:r>
        <w:rPr>
          <w:lang w:val="en-IE"/>
        </w:rPr>
        <w:t>whereas many entertainments and amusements enjoy a continuum w</w:t>
      </w:r>
      <w:r>
        <w:rPr>
          <w:lang w:val="en-IE"/>
        </w:rPr>
        <w:t xml:space="preserve">ell into the mediaeval period, ‘by contrast the supplantation of </w:t>
      </w:r>
      <w:r>
        <w:rPr>
          <w:i/>
          <w:lang w:val="en-IE"/>
        </w:rPr>
        <w:t>fidchell</w:t>
      </w:r>
      <w:r>
        <w:rPr>
          <w:lang w:val="en-IE"/>
        </w:rPr>
        <w:t xml:space="preserve"> by chess, in both object and name, in the post-Norman period epitomises the changes experienced in Irish society in the medieval period’.</w:t>
      </w:r>
      <w:r>
        <w:rPr>
          <w:rStyle w:val="EndnoteReference"/>
          <w:lang w:val="en-IE"/>
        </w:rPr>
        <w:endnoteReference w:id="102"/>
      </w:r>
      <w:r>
        <w:rPr>
          <w:lang w:val="en-IE"/>
        </w:rPr>
        <w:t xml:space="preserve"> </w:t>
      </w:r>
      <w:r>
        <w:t>Well before 1500, the medieval precursor of</w:t>
      </w:r>
      <w:r>
        <w:t xml:space="preserve"> modern chess was being played all over Europe; at latest it reached Ireland in the thirteenth century, but more likely in the twelfth or late in the eleventh. There was probably a period of a century or more previously when games of the </w:t>
      </w:r>
      <w:r>
        <w:rPr>
          <w:i/>
          <w:iCs/>
        </w:rPr>
        <w:t>hnefatafl/ brandub</w:t>
      </w:r>
      <w:r>
        <w:t xml:space="preserve"> type were popular in Ireland. Determining how and when these transitions took place is a challenge for medieval historians. Recovering the rules of </w:t>
      </w:r>
      <w:r>
        <w:rPr>
          <w:i/>
          <w:iCs/>
        </w:rPr>
        <w:t>fidchell</w:t>
      </w:r>
      <w:r>
        <w:t xml:space="preserve"> (as MacWhite and Lewis did for </w:t>
      </w:r>
      <w:r>
        <w:rPr>
          <w:i/>
          <w:iCs/>
        </w:rPr>
        <w:t>brandub</w:t>
      </w:r>
      <w:r>
        <w:t xml:space="preserve"> and </w:t>
      </w:r>
      <w:r>
        <w:rPr>
          <w:i/>
          <w:iCs/>
        </w:rPr>
        <w:t xml:space="preserve">tawlbwrdd </w:t>
      </w:r>
      <w:r>
        <w:t>respectively)</w:t>
      </w:r>
      <w:r>
        <w:rPr>
          <w:i/>
          <w:iCs/>
        </w:rPr>
        <w:t xml:space="preserve"> </w:t>
      </w:r>
      <w:r>
        <w:t>is a challenge for board game e</w:t>
      </w:r>
      <w:r>
        <w:t>xperts.</w:t>
      </w:r>
    </w:p>
    <w:p w:rsidR="00000000" w:rsidRDefault="009F1A26">
      <w:r>
        <w:t xml:space="preserve">Some traps still persist to mislead the unwary in odd corners such as dictionaries. For example, MacWhite quotes Keating’s allusion </w:t>
      </w:r>
      <w:r>
        <w:rPr>
          <w:szCs w:val="22"/>
        </w:rPr>
        <w:t xml:space="preserve">to a game </w:t>
      </w:r>
      <w:r>
        <w:t xml:space="preserve">called </w:t>
      </w:r>
      <w:r>
        <w:rPr>
          <w:i/>
          <w:iCs/>
        </w:rPr>
        <w:t>brannamh</w:t>
      </w:r>
      <w:r>
        <w:t>.</w:t>
      </w:r>
      <w:r>
        <w:rPr>
          <w:rStyle w:val="EndnoteReference"/>
          <w:szCs w:val="22"/>
        </w:rPr>
        <w:endnoteReference w:id="103"/>
      </w:r>
      <w:r>
        <w:t xml:space="preserve"> When MacWhite wrote this is ‘clearly modern chess’ he meant that the game Keating knew w</w:t>
      </w:r>
      <w:r>
        <w:t xml:space="preserve">as chess, and his model (the so-called ‘Innocent Morality’) originated from medieval chess. The </w:t>
      </w:r>
      <w:r>
        <w:rPr>
          <w:i/>
          <w:iCs/>
        </w:rPr>
        <w:t>Irish Academy Dictionary</w:t>
      </w:r>
      <w:r>
        <w:t xml:space="preserve">, by quoting that phrase in their entry for </w:t>
      </w:r>
      <w:r>
        <w:rPr>
          <w:i/>
          <w:iCs/>
        </w:rPr>
        <w:t>brandub</w:t>
      </w:r>
      <w:r>
        <w:t xml:space="preserve">, tend to suggest MacWhite was saying that </w:t>
      </w:r>
      <w:r>
        <w:rPr>
          <w:i/>
          <w:iCs/>
        </w:rPr>
        <w:t>brannamh/brandub</w:t>
      </w:r>
      <w:r>
        <w:t xml:space="preserve"> was modern chess. From th</w:t>
      </w:r>
      <w:r>
        <w:t>e above, it is clear he did not make that mistake.</w:t>
      </w:r>
    </w:p>
    <w:p w:rsidR="00000000" w:rsidRDefault="009F1A26">
      <w:pPr>
        <w:pStyle w:val="Heading3"/>
      </w:pPr>
      <w:r>
        <w:lastRenderedPageBreak/>
        <w:t>VI</w:t>
      </w:r>
    </w:p>
    <w:p w:rsidR="00000000" w:rsidRDefault="009F1A26">
      <w:r>
        <w:t>It is probably wrong to suppose that the Celtic Chess myth endured into the 1880s and beyond, when Cusack, Miller, and the Rowlands revived it. A better way to view the matter is that eighteenth century</w:t>
      </w:r>
      <w:r>
        <w:t xml:space="preserve"> writers began to fashion it, after which interest in chess was stimulated further by archaeological discoveries and textual research. O’Donovan and O’Curry revealed the rich character of pre-Norman Irish life. The fabrication of the myth was completed in </w:t>
      </w:r>
      <w:r>
        <w:t>the 1880s, when there was more leisure and interest in pastimes, and also a need for myths of old Ireland to be expressed, which O’Grady’s writings in particular satisfied. Journalists added embellishments like the thirty-two counties and round towers anal</w:t>
      </w:r>
      <w:r>
        <w:t>ogies.</w:t>
      </w:r>
    </w:p>
    <w:p w:rsidR="00000000" w:rsidRDefault="009F1A26">
      <w:r>
        <w:rPr>
          <w:lang w:val="en-IE"/>
        </w:rPr>
        <w:t>Most historians now recognise the role that games have played in nation-building, along with other cultural activities such as literature and theatre. All these worked towards a refashioned Irish identity in the nineteenth and early twentieth centur</w:t>
      </w:r>
      <w:r>
        <w:rPr>
          <w:lang w:val="en-IE"/>
        </w:rPr>
        <w:t>ies.</w:t>
      </w:r>
      <w:r>
        <w:rPr>
          <w:rStyle w:val="EndnoteReference"/>
          <w:lang w:val="en-IE"/>
        </w:rPr>
        <w:endnoteReference w:id="104"/>
      </w:r>
      <w:r>
        <w:rPr>
          <w:lang w:val="en-IE"/>
        </w:rPr>
        <w:t xml:space="preserve"> Chess </w:t>
      </w:r>
      <w:r>
        <w:t xml:space="preserve">was not </w:t>
      </w:r>
      <w:r>
        <w:rPr>
          <w:i/>
          <w:iCs/>
        </w:rPr>
        <w:t>fidchell</w:t>
      </w:r>
      <w:r>
        <w:t xml:space="preserve"> as many supposed — but whether the hurling of the 1880s bore much relation to the hurling of antiquity is also debatable. As Neil Garnham has pointed out in connection with Gaelic football: ‘In an Irish context, all such claims</w:t>
      </w:r>
      <w:r>
        <w:t xml:space="preserve"> to exclusive native origin and an innate history were pretty spurious’.</w:t>
      </w:r>
      <w:r>
        <w:rPr>
          <w:rStyle w:val="EndnoteReference"/>
        </w:rPr>
        <w:endnoteReference w:id="105"/>
      </w:r>
      <w:r>
        <w:t xml:space="preserve"> From the late 1880s, participation in Gaelic games became a marker for one strand of Irish identity, predominantly Catholic/ Nationalist. Asserting an identity is assisted by opposit</w:t>
      </w:r>
      <w:r>
        <w:t>ion — Gaelic football against soccer, hurling against hockey — but chess did not oppose anything peculiarly English. On the other hand, neither was it a British game and it crossed the religious sectarian divide. The game remained politically neutral and b</w:t>
      </w:r>
      <w:r>
        <w:t>ecame organised on an all-Ireland basis.</w:t>
      </w:r>
    </w:p>
    <w:p w:rsidR="00000000" w:rsidRDefault="009F1A26">
      <w:r>
        <w:t>Leerssen has argued that ‘all nationalism is cultural nationalism’ and that ‘cultural nationalism is a topic for cultural history’.</w:t>
      </w:r>
      <w:r>
        <w:rPr>
          <w:rStyle w:val="EndnoteReference"/>
        </w:rPr>
        <w:endnoteReference w:id="106"/>
      </w:r>
      <w:r>
        <w:t xml:space="preserve"> In that context, it can be argued that chess has played a role, albeit small, in I</w:t>
      </w:r>
      <w:r>
        <w:t>rish nationalism, especially in the crucial period from the 1880s to 1914. Leerssen said that in separatist movements ‘cultural preoccupations are usually ahead of political events’ and discussed Miroslav Hroch’s three-phase model,</w:t>
      </w:r>
      <w:r>
        <w:rPr>
          <w:rStyle w:val="EndnoteReference"/>
        </w:rPr>
        <w:endnoteReference w:id="107"/>
      </w:r>
      <w:r>
        <w:t xml:space="preserve"> which has been summaris</w:t>
      </w:r>
      <w:r>
        <w:t>ed by an American scholar in the following passage that Leerssen quotes in a footnote:</w:t>
      </w:r>
    </w:p>
    <w:p w:rsidR="00000000" w:rsidRDefault="009F1A26">
      <w:pPr>
        <w:pStyle w:val="Quote"/>
      </w:pPr>
      <w:r>
        <w:lastRenderedPageBreak/>
        <w:t>‘First, an original small circle of intellectuals rediscovers the national culture and past and formulates the idea of the nation (phase A). There follows the crucial pr</w:t>
      </w:r>
      <w:r>
        <w:t>ocess of dissemination of the idea of the nation by agitator-professionals who politicise cultural nationalism in the growing towns (phase B). Finally, the stage of popular involvement in nationalism creates a mass movement (phase C).’</w:t>
      </w:r>
      <w:r>
        <w:rPr>
          <w:rStyle w:val="EndnoteReference"/>
        </w:rPr>
        <w:endnoteReference w:id="108"/>
      </w:r>
    </w:p>
    <w:p w:rsidR="00000000" w:rsidRDefault="009F1A26">
      <w:r>
        <w:t>Leerssen mentioned,</w:t>
      </w:r>
      <w:r>
        <w:t xml:space="preserve"> among the signs of ‘fresh cultural productivity,’ the revival of traditional sports and pastimes,</w:t>
      </w:r>
      <w:r>
        <w:rPr>
          <w:rStyle w:val="EndnoteReference"/>
        </w:rPr>
        <w:endnoteReference w:id="109"/>
      </w:r>
      <w:r>
        <w:t xml:space="preserve"> which clearly occurred here in the 1880s. Hroch’s model does not quite fit Ireland but perhaps the wave of scholars centring on O’Curry, Petrie, and O’Donov</w:t>
      </w:r>
      <w:r>
        <w:t>an can be seen as Phase A for the Celtic chess myth and Irish cultural nationalism in general. Taking Hroch’s model a little further, one can argue that in the 1880s chess played a role in Ireland’s Phase B, with the mainstream of GAA and Gaelic League cor</w:t>
      </w:r>
      <w:r>
        <w:t>responding to Phase C.</w:t>
      </w:r>
    </w:p>
    <w:p w:rsidR="00000000" w:rsidRDefault="009F1A26">
      <w:pPr>
        <w:rPr>
          <w:lang w:val="en-IE"/>
        </w:rPr>
      </w:pPr>
      <w:r>
        <w:rPr>
          <w:lang w:val="en-IE"/>
        </w:rPr>
        <w:t>Unfortunately, since MacWhite’s important paper sixty years ago, there has been a lack of interest and scholarly engagement with Celtic board-games. Perhaps a new archaeological discovery in Ireland, like that in England of a complet</w:t>
      </w:r>
      <w:r>
        <w:rPr>
          <w:lang w:val="en-IE"/>
        </w:rPr>
        <w:t xml:space="preserve">e </w:t>
      </w:r>
      <w:r>
        <w:rPr>
          <w:i/>
          <w:iCs/>
          <w:lang w:val="en-IE"/>
        </w:rPr>
        <w:t>ludus latrunculorum</w:t>
      </w:r>
      <w:r>
        <w:rPr>
          <w:lang w:val="en-IE"/>
        </w:rPr>
        <w:t xml:space="preserve"> set laid out in a grave as if for play,</w:t>
      </w:r>
      <w:r>
        <w:rPr>
          <w:rStyle w:val="EndnoteReference"/>
          <w:lang w:val="en-IE"/>
        </w:rPr>
        <w:endnoteReference w:id="110"/>
      </w:r>
      <w:r>
        <w:rPr>
          <w:lang w:val="en-IE"/>
        </w:rPr>
        <w:t xml:space="preserve"> might revive interest and help to resolve unanswered questions. </w:t>
      </w:r>
      <w:r>
        <w:t xml:space="preserve">Even now, it is still not fully understood in some quarters that claims of chess links with ancient Ireland are spurious. In the </w:t>
      </w:r>
      <w:r>
        <w:t xml:space="preserve">1950s there was briefly an Irish chess magazine entitled </w:t>
      </w:r>
      <w:r>
        <w:rPr>
          <w:i/>
          <w:iCs/>
        </w:rPr>
        <w:t xml:space="preserve">Ficheall </w:t>
      </w:r>
      <w:r>
        <w:t xml:space="preserve">and the Irish Chess Union in 1983 chose to call its bulletin </w:t>
      </w:r>
      <w:r>
        <w:rPr>
          <w:i/>
          <w:iCs/>
        </w:rPr>
        <w:t>Fiacla Fichille</w:t>
      </w:r>
      <w:r>
        <w:t xml:space="preserve">. It has never been </w:t>
      </w:r>
      <w:r>
        <w:rPr>
          <w:lang w:val="en-IE"/>
        </w:rPr>
        <w:t>in the interest of those trying to promote chess to debunk accounts of the game’s antiquity an</w:t>
      </w:r>
      <w:r>
        <w:rPr>
          <w:lang w:val="en-IE"/>
        </w:rPr>
        <w:t>d the high respect in which it had apparently been held. There was no overt conspiracy, but a silent complicity, between journalists, revivalists like Cusack and O’Grady, and those like Yeats who sought to rework the old material into a new kind of inspira</w:t>
      </w:r>
      <w:r>
        <w:rPr>
          <w:lang w:val="en-IE"/>
        </w:rPr>
        <w:t>tional art.</w:t>
      </w:r>
    </w:p>
    <w:p w:rsidR="00000000" w:rsidRDefault="009F1A26">
      <w:r>
        <w:t>So there was a double, and mutually-supportive, process at work in the late nineteenth century. On the one hand, the supposed antiquity (or even origin) of chess in Ireland served the purposes of those who loved the modern game of chess and sou</w:t>
      </w:r>
      <w:r>
        <w:t xml:space="preserve">ght to promote it. On the other hand, the respect in which chess has generally been held worldwide was attractive to those with political aims. They could transfer that status to the Irish game of </w:t>
      </w:r>
      <w:r>
        <w:rPr>
          <w:i/>
          <w:iCs/>
        </w:rPr>
        <w:t>fidchell</w:t>
      </w:r>
      <w:r>
        <w:t xml:space="preserve"> to provide another example of civilized Irish </w:t>
      </w:r>
      <w:r>
        <w:lastRenderedPageBreak/>
        <w:t>acco</w:t>
      </w:r>
      <w:r>
        <w:t>mplishments in the pre-Norman period. It supported the ‘isle of saints and scholars’ model.</w:t>
      </w:r>
    </w:p>
    <w:p w:rsidR="00000000" w:rsidRDefault="009F1A26">
      <w:pPr>
        <w:jc w:val="right"/>
      </w:pPr>
      <w:r>
        <w:t>TIMOTHY HARDING</w:t>
      </w:r>
    </w:p>
    <w:p w:rsidR="009F1A26" w:rsidRDefault="009F1A26">
      <w:pPr>
        <w:pStyle w:val="BodyTextIndent3"/>
        <w:jc w:val="right"/>
        <w:rPr>
          <w:i w:val="0"/>
          <w:iCs w:val="0"/>
        </w:rPr>
      </w:pPr>
      <w:r>
        <w:t>Department of History, Trinity College Dublin</w:t>
      </w:r>
    </w:p>
    <w:sectPr w:rsidR="009F1A26">
      <w:headerReference w:type="default" r:id="rId7"/>
      <w:footerReference w:type="default" r:id="rId8"/>
      <w:footerReference w:type="first" r:id="rId9"/>
      <w:endnotePr>
        <w:numFmt w:val="decimal"/>
      </w:endnotePr>
      <w:pgSz w:w="11906" w:h="16838" w:code="9"/>
      <w:pgMar w:top="1701" w:right="1418" w:bottom="1701" w:left="1418" w:header="1134" w:footer="113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A26" w:rsidRDefault="009F1A26">
      <w:r>
        <w:separator/>
      </w:r>
    </w:p>
  </w:endnote>
  <w:endnote w:type="continuationSeparator" w:id="0">
    <w:p w:rsidR="009F1A26" w:rsidRDefault="009F1A26">
      <w:r>
        <w:continuationSeparator/>
      </w:r>
    </w:p>
  </w:endnote>
  <w:endnote w:id="1">
    <w:p w:rsidR="00000000" w:rsidRDefault="009F1A26">
      <w:pPr>
        <w:pStyle w:val="EndnoteText"/>
      </w:pPr>
      <w:r>
        <w:t xml:space="preserve">In the </w:t>
      </w:r>
      <w:r>
        <w:t>long gestation of this article, many people made useful comments on several versions, including T.C.D. postgraduates who heard my seminar paper on this topic in 2006. Apart from the anonymous peer-reviewers, I wish to thank Drs Angela Gleason, Conor Kostic</w:t>
      </w:r>
      <w:r>
        <w:t xml:space="preserve">k, W. E. Vaughan, Mary Ann Lyons, and David Hayton. This version, completed in October 2008, has been accepted for publication by the editors of </w:t>
      </w:r>
      <w:r>
        <w:rPr>
          <w:i/>
          <w:iCs/>
        </w:rPr>
        <w:t xml:space="preserve">Irish Historical Studies </w:t>
      </w:r>
      <w:r>
        <w:t>and is due to appear in the May 2010 issue. Minor revisions to references were made in</w:t>
      </w:r>
      <w:r>
        <w:t xml:space="preserve"> February 2010 following the publication in late 2009 of the </w:t>
      </w:r>
      <w:r>
        <w:rPr>
          <w:i/>
          <w:iCs/>
        </w:rPr>
        <w:t>Dictionary of Irish Biography.</w:t>
      </w:r>
    </w:p>
    <w:p w:rsidR="00000000" w:rsidRDefault="009F1A26">
      <w:pPr>
        <w:pStyle w:val="EndnoteText"/>
      </w:pPr>
      <w:r>
        <w:rPr>
          <w:rStyle w:val="EndnoteReference"/>
        </w:rPr>
        <w:endnoteRef/>
      </w:r>
      <w:r>
        <w:t xml:space="preserve"> For example, John Carey, in ‘The Irish National Origin-Legend: Synthetic Pseudohistory’ (Cambridge 1994), argued (p. 3) that the key text for the imagined early I</w:t>
      </w:r>
      <w:r>
        <w:t xml:space="preserve">reland of the Milesians, the </w:t>
      </w:r>
      <w:r>
        <w:rPr>
          <w:i/>
          <w:iCs/>
        </w:rPr>
        <w:t>Lebor Gabála Érenn</w:t>
      </w:r>
      <w:r>
        <w:t xml:space="preserve"> (commonly, if inaccurately, known as the ‘Book of Invasions’), arose in the eleventh century from a need to reconcile: ‘such native origin-legends as survived’ with the Bible and early Christian historiograph</w:t>
      </w:r>
      <w:r>
        <w:t xml:space="preserve">y. He described the earlier work on this subject by Thomas F. O’Rahilly as ‘brilliant but in many respects misguided’. O’Rahilly argued from linguistic evidence in ‘The Goidels and their Predecessors’, in </w:t>
      </w:r>
      <w:r>
        <w:rPr>
          <w:i/>
          <w:iCs/>
        </w:rPr>
        <w:t>Proceedings of the British Academy</w:t>
      </w:r>
      <w:r>
        <w:t>, xxi (1935), pp.</w:t>
      </w:r>
      <w:r>
        <w:t xml:space="preserve"> 323-72. Also consulted for this article were Daibhi Ó Cróinín, chapter VII (‘Ireland, 400-800’), in </w:t>
      </w:r>
      <w:r>
        <w:rPr>
          <w:i/>
          <w:iCs/>
        </w:rPr>
        <w:t>The New History of Ireland</w:t>
      </w:r>
      <w:r>
        <w:t xml:space="preserve">, i (Oxford 2005), and R. V. Comerford, chapter 2 (‘Origins’) in </w:t>
      </w:r>
      <w:r>
        <w:rPr>
          <w:i/>
          <w:iCs/>
        </w:rPr>
        <w:t>Ireland</w:t>
      </w:r>
      <w:r>
        <w:t xml:space="preserve"> (London 2003).</w:t>
      </w:r>
    </w:p>
  </w:endnote>
  <w:endnote w:id="2">
    <w:p w:rsidR="00000000" w:rsidRDefault="009F1A26">
      <w:pPr>
        <w:pStyle w:val="EndnoteText"/>
      </w:pPr>
      <w:r>
        <w:rPr>
          <w:rStyle w:val="EndnoteReference"/>
        </w:rPr>
        <w:endnoteRef/>
      </w:r>
      <w:r>
        <w:t xml:space="preserve"> Rugby football and baseball provide jus</w:t>
      </w:r>
      <w:r>
        <w:t>t two examples of these processes.</w:t>
      </w:r>
    </w:p>
  </w:endnote>
  <w:endnote w:id="3">
    <w:p w:rsidR="00000000" w:rsidRDefault="009F1A26">
      <w:pPr>
        <w:pStyle w:val="EndnoteText"/>
      </w:pPr>
      <w:r>
        <w:rPr>
          <w:rStyle w:val="EndnoteReference"/>
        </w:rPr>
        <w:endnoteRef/>
      </w:r>
      <w:r>
        <w:t xml:space="preserve"> </w:t>
      </w:r>
      <w:r>
        <w:rPr>
          <w:lang w:val="en-IE"/>
        </w:rPr>
        <w:t xml:space="preserve">Micheál Ó Muircheartaigh, ‘Whither Ireland of the 1870s?’, in </w:t>
      </w:r>
      <w:r>
        <w:rPr>
          <w:i/>
          <w:iCs/>
        </w:rPr>
        <w:t>The Celtic Times</w:t>
      </w:r>
      <w:r>
        <w:t>:</w:t>
      </w:r>
      <w:r>
        <w:rPr>
          <w:i/>
          <w:iCs/>
        </w:rPr>
        <w:t xml:space="preserve"> Michael Cusack’s Gaelic Games Newspaper</w:t>
      </w:r>
      <w:r>
        <w:t xml:space="preserve"> (Ennis 2003)</w:t>
      </w:r>
      <w:r>
        <w:rPr>
          <w:lang w:val="en-IE"/>
        </w:rPr>
        <w:t xml:space="preserve">. </w:t>
      </w:r>
      <w:r>
        <w:t>The paper ran from 1 Jan. 1887 to 14 Jan. 1888 but the earliest and latest issues app</w:t>
      </w:r>
      <w:r>
        <w:t xml:space="preserve">ear to be lost. The edition runs from mid-Feb. 1887 to page 2 of the 28 Dec. issue. </w:t>
      </w:r>
    </w:p>
  </w:endnote>
  <w:endnote w:id="4">
    <w:p w:rsidR="00000000" w:rsidRDefault="009F1A26">
      <w:pPr>
        <w:pStyle w:val="EndnoteText"/>
      </w:pPr>
      <w:r>
        <w:rPr>
          <w:rStyle w:val="EndnoteReference"/>
        </w:rPr>
        <w:endnoteRef/>
      </w:r>
      <w:r>
        <w:t xml:space="preserve"> Joep Leersen, </w:t>
      </w:r>
      <w:r>
        <w:rPr>
          <w:rFonts w:cs="Arial"/>
          <w:i/>
        </w:rPr>
        <w:t>Mere Irish and fíor-ghael : studies in the idea of Irish nationality, its development, and literary expression prior to the nineteenth century</w:t>
      </w:r>
      <w:r>
        <w:rPr>
          <w:rFonts w:cs="Arial"/>
        </w:rPr>
        <w:t xml:space="preserve"> (2</w:t>
      </w:r>
      <w:r>
        <w:rPr>
          <w:rFonts w:cs="Arial"/>
          <w:vertAlign w:val="superscript"/>
        </w:rPr>
        <w:t>nd</w:t>
      </w:r>
      <w:r>
        <w:rPr>
          <w:rFonts w:cs="Arial"/>
        </w:rPr>
        <w:t xml:space="preserve"> ed., Co</w:t>
      </w:r>
      <w:r>
        <w:rPr>
          <w:rFonts w:cs="Arial"/>
        </w:rPr>
        <w:t xml:space="preserve">rk 1996 [Amsterdam 1986]), </w:t>
      </w:r>
      <w:r>
        <w:rPr>
          <w:lang w:val="en-IE"/>
        </w:rPr>
        <w:t>p. 4.</w:t>
      </w:r>
    </w:p>
  </w:endnote>
  <w:endnote w:id="5">
    <w:p w:rsidR="00000000" w:rsidRDefault="009F1A26">
      <w:pPr>
        <w:pStyle w:val="EndnoteText"/>
      </w:pPr>
      <w:r>
        <w:rPr>
          <w:rStyle w:val="EndnoteReference"/>
        </w:rPr>
        <w:endnoteRef/>
      </w:r>
      <w:r>
        <w:t xml:space="preserve"> </w:t>
      </w:r>
      <w:r>
        <w:rPr>
          <w:lang w:val="en-US"/>
        </w:rPr>
        <w:t xml:space="preserve">Joep Leerssen, </w:t>
      </w:r>
      <w:r>
        <w:rPr>
          <w:rFonts w:cs="Arial"/>
          <w:i/>
        </w:rPr>
        <w:t>Remembrance and imagination : patterns in the historical and literary representation of Ireland in the nineteenth century</w:t>
      </w:r>
      <w:r>
        <w:rPr>
          <w:rFonts w:cs="Arial"/>
        </w:rPr>
        <w:t xml:space="preserve"> (Cork 1996), which discusses Petrie.</w:t>
      </w:r>
    </w:p>
  </w:endnote>
  <w:endnote w:id="6">
    <w:p w:rsidR="00000000" w:rsidRDefault="009F1A26">
      <w:pPr>
        <w:pStyle w:val="EndnoteText"/>
      </w:pPr>
      <w:r>
        <w:rPr>
          <w:rStyle w:val="EndnoteReference"/>
        </w:rPr>
        <w:endnoteRef/>
      </w:r>
      <w:r>
        <w:t xml:space="preserve"> Clare O’Halloran, </w:t>
      </w:r>
      <w:r>
        <w:rPr>
          <w:i/>
          <w:iCs/>
        </w:rPr>
        <w:t>Golden Ages and Barbarous N</w:t>
      </w:r>
      <w:r>
        <w:rPr>
          <w:i/>
          <w:iCs/>
        </w:rPr>
        <w:t>ations</w:t>
      </w:r>
      <w:r>
        <w:t xml:space="preserve"> (Cork, 2004), especially pp. 41-55.</w:t>
      </w:r>
    </w:p>
  </w:endnote>
  <w:endnote w:id="7">
    <w:p w:rsidR="00000000" w:rsidRDefault="009F1A26">
      <w:pPr>
        <w:pStyle w:val="EndnoteText"/>
      </w:pPr>
      <w:r>
        <w:rPr>
          <w:rStyle w:val="EndnoteReference"/>
        </w:rPr>
        <w:endnoteRef/>
      </w:r>
      <w:r>
        <w:t xml:space="preserve"> Joseph Lennon, </w:t>
      </w:r>
      <w:r>
        <w:rPr>
          <w:i/>
          <w:iCs/>
        </w:rPr>
        <w:t>Irish Orientalism: a literary and intellectual history</w:t>
      </w:r>
      <w:r>
        <w:t xml:space="preserve"> (Syracuse, USA, 2004), especially the Introduction and pp. 1-57. Later he deals with Yeats’s connections with the orient and refers to him me</w:t>
      </w:r>
      <w:r>
        <w:t xml:space="preserve">eting T.C.D professor Mir Aulad Ali. On 23 Oct. 1885, speaking at the opening meeting of the Dublin University Chess Club’s 1885-6 season, Mir Aulad Ali made a speech, saying that ‘if those who are preparing for the Army or Navy… are trained early in this </w:t>
      </w:r>
      <w:r>
        <w:t>game they will not be guilty of such miscalculation and blunders, as have lately been committed in the Soudan.’ (</w:t>
      </w:r>
      <w:r>
        <w:rPr>
          <w:i/>
          <w:iCs/>
        </w:rPr>
        <w:t>Dublin Evening Mail</w:t>
      </w:r>
      <w:r>
        <w:t>, 29 Oct. 1885).</w:t>
      </w:r>
    </w:p>
  </w:endnote>
  <w:endnote w:id="8">
    <w:p w:rsidR="00000000" w:rsidRDefault="009F1A26">
      <w:pPr>
        <w:pStyle w:val="EndnoteText"/>
        <w:rPr>
          <w:lang w:val="en-IE"/>
        </w:rPr>
      </w:pPr>
      <w:r>
        <w:rPr>
          <w:rStyle w:val="EndnoteReference"/>
        </w:rPr>
        <w:endnoteRef/>
      </w:r>
      <w:r>
        <w:t xml:space="preserve"> </w:t>
      </w:r>
      <w:r>
        <w:rPr>
          <w:lang w:val="en-IE"/>
        </w:rPr>
        <w:t xml:space="preserve">Lennon, </w:t>
      </w:r>
      <w:r>
        <w:rPr>
          <w:i/>
          <w:lang w:val="en-IE"/>
        </w:rPr>
        <w:t>Orientalism</w:t>
      </w:r>
      <w:r>
        <w:rPr>
          <w:lang w:val="en-IE"/>
        </w:rPr>
        <w:t>, p. 61.</w:t>
      </w:r>
    </w:p>
  </w:endnote>
  <w:endnote w:id="9">
    <w:p w:rsidR="00000000" w:rsidRDefault="009F1A26">
      <w:pPr>
        <w:pStyle w:val="EndnoteText"/>
      </w:pPr>
      <w:r>
        <w:rPr>
          <w:rStyle w:val="EndnoteReference"/>
        </w:rPr>
        <w:endnoteRef/>
      </w:r>
      <w:r>
        <w:t xml:space="preserve"> O’Halloran, </w:t>
      </w:r>
      <w:r>
        <w:rPr>
          <w:i/>
          <w:iCs/>
        </w:rPr>
        <w:t>Golden Ages</w:t>
      </w:r>
      <w:r>
        <w:t>, p. 185.</w:t>
      </w:r>
    </w:p>
  </w:endnote>
  <w:endnote w:id="10">
    <w:p w:rsidR="00000000" w:rsidRDefault="009F1A26">
      <w:pPr>
        <w:pStyle w:val="EndnoteText"/>
      </w:pPr>
      <w:r>
        <w:rPr>
          <w:rStyle w:val="EndnoteReference"/>
        </w:rPr>
        <w:endnoteRef/>
      </w:r>
      <w:r>
        <w:t xml:space="preserve"> On Keating’s context, see </w:t>
      </w:r>
      <w:r>
        <w:rPr>
          <w:lang w:val="en-IE"/>
        </w:rPr>
        <w:t>Bernadette Cun</w:t>
      </w:r>
      <w:r>
        <w:rPr>
          <w:lang w:val="en-IE"/>
        </w:rPr>
        <w:t xml:space="preserve">ningham, ‘Seventeenth-century interpretations of the past: the case of Geoffrey Keating’, in </w:t>
      </w:r>
      <w:r>
        <w:rPr>
          <w:i/>
          <w:iCs/>
          <w:lang w:val="en-IE"/>
        </w:rPr>
        <w:t>I.H.S.</w:t>
      </w:r>
      <w:r>
        <w:rPr>
          <w:lang w:val="en-IE"/>
        </w:rPr>
        <w:t>, xxv (no. 98, Nov. 1986), pp. 116-28.</w:t>
      </w:r>
    </w:p>
  </w:endnote>
  <w:endnote w:id="11">
    <w:p w:rsidR="00000000" w:rsidRDefault="009F1A26">
      <w:pPr>
        <w:pStyle w:val="EndnoteText"/>
      </w:pPr>
      <w:r>
        <w:rPr>
          <w:rStyle w:val="EndnoteReference"/>
        </w:rPr>
        <w:endnoteRef/>
      </w:r>
      <w:r>
        <w:t xml:space="preserve"> The legend of Canute arranging the murder of Danish nobleman Ulf following a quarrel over a board-game, </w:t>
      </w:r>
      <w:r>
        <w:rPr>
          <w:i/>
          <w:iCs/>
        </w:rPr>
        <w:t>c.</w:t>
      </w:r>
      <w:r>
        <w:t xml:space="preserve"> 1027, is </w:t>
      </w:r>
      <w:r>
        <w:t xml:space="preserve">told in </w:t>
      </w:r>
      <w:r>
        <w:rPr>
          <w:rFonts w:eastAsia="MS Mincho"/>
        </w:rPr>
        <w:t xml:space="preserve">Snorri Sturlusson’s </w:t>
      </w:r>
      <w:r>
        <w:rPr>
          <w:rFonts w:eastAsia="MS Mincho"/>
          <w:i/>
          <w:iCs/>
        </w:rPr>
        <w:t>Heimskringla</w:t>
      </w:r>
      <w:r>
        <w:rPr>
          <w:rFonts w:eastAsia="MS Mincho"/>
        </w:rPr>
        <w:t>, of which there are various versions in English. Icelandic scholar Haki Antonsson advised me, in an email in 2006, that ‘it can hardly be used as evidence for the introduction of chess to England.’</w:t>
      </w:r>
    </w:p>
  </w:endnote>
  <w:endnote w:id="12">
    <w:p w:rsidR="00000000" w:rsidRDefault="009F1A26">
      <w:pPr>
        <w:pStyle w:val="EndnoteText"/>
      </w:pPr>
      <w:r>
        <w:rPr>
          <w:rStyle w:val="EndnoteReference"/>
        </w:rPr>
        <w:endnoteRef/>
      </w:r>
      <w:r>
        <w:t xml:space="preserve"> Joseph Strutt, </w:t>
      </w:r>
      <w:r>
        <w:rPr>
          <w:rStyle w:val="BookTitle"/>
        </w:rPr>
        <w:t xml:space="preserve">Glig-Gamena Angel-Deod, or, The Sports and Pastimes of the People of England </w:t>
      </w:r>
      <w:r>
        <w:rPr>
          <w:rStyle w:val="BookTitle"/>
          <w:i w:val="0"/>
        </w:rPr>
        <w:t xml:space="preserve">(London 1801), p. iv: </w:t>
      </w:r>
      <w:r>
        <w:t>‘Chess was also a favourite game with the Saxons.’</w:t>
      </w:r>
    </w:p>
  </w:endnote>
  <w:endnote w:id="13">
    <w:p w:rsidR="00000000" w:rsidRDefault="009F1A26">
      <w:pPr>
        <w:pStyle w:val="EndnoteText"/>
      </w:pPr>
      <w:r>
        <w:rPr>
          <w:rStyle w:val="EndnoteReference"/>
        </w:rPr>
        <w:endnoteRef/>
      </w:r>
      <w:r>
        <w:t xml:space="preserve"> Antonius van der Linde, </w:t>
      </w:r>
      <w:r>
        <w:rPr>
          <w:bCs/>
          <w:i/>
          <w:iCs/>
          <w:lang w:val="en-IE"/>
        </w:rPr>
        <w:t>Geschichte und Litteratur des Schachspiels</w:t>
      </w:r>
      <w:r>
        <w:rPr>
          <w:bCs/>
          <w:lang w:val="en-IE"/>
        </w:rPr>
        <w:t xml:space="preserve"> (2 vols, Berlin 1874) i </w:t>
      </w:r>
      <w:r>
        <w:t xml:space="preserve">p. 39: </w:t>
      </w:r>
      <w:r>
        <w:rPr>
          <w:iCs/>
          <w:lang w:val="en-IE"/>
        </w:rPr>
        <w:t>‘</w:t>
      </w:r>
      <w:r>
        <w:rPr>
          <w:i/>
          <w:lang w:val="en-IE"/>
        </w:rPr>
        <w:t>Es wa</w:t>
      </w:r>
      <w:r>
        <w:rPr>
          <w:i/>
          <w:lang w:val="en-IE"/>
        </w:rPr>
        <w:t>r das Schicksal fast aller unbekannten Brettspiele der Aegypter, Inder, Chinesen, Perser, Araber, Juden, Griechen, Römer, Kelten, Skandinavier, ja sogar der Rothhäute, mit dem Schach identificirt zu warden.</w:t>
      </w:r>
      <w:r>
        <w:rPr>
          <w:iCs/>
          <w:lang w:val="en-IE"/>
        </w:rPr>
        <w:t>’</w:t>
      </w:r>
    </w:p>
  </w:endnote>
  <w:endnote w:id="14">
    <w:p w:rsidR="00000000" w:rsidRDefault="009F1A26">
      <w:pPr>
        <w:pStyle w:val="EndnoteText"/>
      </w:pPr>
      <w:r>
        <w:rPr>
          <w:rStyle w:val="EndnoteReference"/>
        </w:rPr>
        <w:endnoteRef/>
      </w:r>
      <w:r>
        <w:t xml:space="preserve"> Thomas Hyde, </w:t>
      </w:r>
      <w:r>
        <w:rPr>
          <w:i/>
          <w:iCs/>
        </w:rPr>
        <w:t>Mandragorias, seu, historia shahi</w:t>
      </w:r>
      <w:r>
        <w:rPr>
          <w:i/>
          <w:iCs/>
        </w:rPr>
        <w:t>ludii: De Ludis Orientalibus, Libri Duo</w:t>
      </w:r>
      <w:r>
        <w:t xml:space="preserve"> (Oxford 1694); the pages are not numbered in the modern fashion. It is better to search the reprint, </w:t>
      </w:r>
      <w:r>
        <w:rPr>
          <w:i/>
          <w:iCs/>
        </w:rPr>
        <w:t>Syntagma Dissertationum</w:t>
      </w:r>
      <w:r>
        <w:t xml:space="preserve">, </w:t>
      </w:r>
      <w:r>
        <w:rPr>
          <w:lang w:val="de-DE"/>
        </w:rPr>
        <w:t xml:space="preserve">(Oxford 1767), </w:t>
      </w:r>
      <w:r>
        <w:t xml:space="preserve">in the Eighteenth Century Collections Online (ECCO). </w:t>
      </w:r>
      <w:r>
        <w:rPr>
          <w:lang w:val="de-DE"/>
        </w:rPr>
        <w:t>The chess references o</w:t>
      </w:r>
      <w:r>
        <w:rPr>
          <w:lang w:val="de-DE"/>
        </w:rPr>
        <w:t>ccur early in volume two.</w:t>
      </w:r>
    </w:p>
  </w:endnote>
  <w:endnote w:id="15">
    <w:p w:rsidR="00000000" w:rsidRDefault="009F1A26">
      <w:pPr>
        <w:pStyle w:val="EndnoteText"/>
        <w:rPr>
          <w:i/>
          <w:iCs/>
        </w:rPr>
      </w:pPr>
      <w:r>
        <w:rPr>
          <w:rStyle w:val="EndnoteReference"/>
        </w:rPr>
        <w:endnoteRef/>
      </w:r>
      <w:r>
        <w:t xml:space="preserve"> Hyde, </w:t>
      </w:r>
      <w:r>
        <w:rPr>
          <w:i/>
          <w:iCs/>
        </w:rPr>
        <w:t>Syntagma</w:t>
      </w:r>
      <w:r>
        <w:t xml:space="preserve">, ii, p. 7. The first passage begins: </w:t>
      </w:r>
      <w:r>
        <w:rPr>
          <w:i/>
          <w:iCs/>
        </w:rPr>
        <w:t>Cambro-Britanni &amp; Scoti, Britanniae Magnae partes non ignobiles, hoc Ludo impense delectantur, eumque frequenter exercent. Eique adeo addicti fuere veteres Hiberni…</w:t>
      </w:r>
    </w:p>
  </w:endnote>
  <w:endnote w:id="16">
    <w:p w:rsidR="00000000" w:rsidRDefault="009F1A26">
      <w:pPr>
        <w:pStyle w:val="EndnoteText"/>
      </w:pPr>
      <w:r>
        <w:rPr>
          <w:rStyle w:val="EndnoteReference"/>
        </w:rPr>
        <w:endnoteRef/>
      </w:r>
      <w:r>
        <w:t xml:space="preserve"> Hyde, </w:t>
      </w:r>
      <w:r>
        <w:rPr>
          <w:i/>
          <w:iCs/>
        </w:rPr>
        <w:t>Syn</w:t>
      </w:r>
      <w:r>
        <w:rPr>
          <w:i/>
          <w:iCs/>
        </w:rPr>
        <w:t>tagma</w:t>
      </w:r>
      <w:r>
        <w:t xml:space="preserve">, ii, p. 68; translation from Victor Keats, </w:t>
      </w:r>
      <w:r>
        <w:rPr>
          <w:i/>
          <w:iCs/>
        </w:rPr>
        <w:t>Chess: Its Origin</w:t>
      </w:r>
      <w:r>
        <w:t xml:space="preserve"> (Oxford 1994), p. 72. This book is an annotated translation of some portions of Hyde. Dr Keats has the misprint </w:t>
      </w:r>
      <w:r>
        <w:rPr>
          <w:i/>
          <w:iCs/>
        </w:rPr>
        <w:t>Bnanndab</w:t>
      </w:r>
      <w:r>
        <w:t xml:space="preserve"> where Hyde had </w:t>
      </w:r>
      <w:r>
        <w:rPr>
          <w:i/>
          <w:iCs/>
        </w:rPr>
        <w:t>Branndab</w:t>
      </w:r>
      <w:r>
        <w:t>.</w:t>
      </w:r>
    </w:p>
  </w:endnote>
  <w:endnote w:id="17">
    <w:p w:rsidR="00000000" w:rsidRDefault="009F1A26">
      <w:pPr>
        <w:pStyle w:val="EndnoteText"/>
      </w:pPr>
      <w:r>
        <w:rPr>
          <w:rStyle w:val="EndnoteReference"/>
        </w:rPr>
        <w:endnoteRef/>
      </w:r>
      <w:r>
        <w:t xml:space="preserve"> Abb</w:t>
      </w:r>
      <w:r>
        <w:rPr>
          <w:bCs/>
          <w:lang w:val="en-IE"/>
        </w:rPr>
        <w:t>é MacGeoghan,</w:t>
      </w:r>
      <w:r>
        <w:rPr>
          <w:i/>
          <w:iCs/>
        </w:rPr>
        <w:t xml:space="preserve"> The History of Ireland, </w:t>
      </w:r>
      <w:r>
        <w:rPr>
          <w:i/>
          <w:iCs/>
        </w:rPr>
        <w:t>Ancient and Modern...</w:t>
      </w:r>
      <w:r>
        <w:rPr>
          <w:bCs/>
          <w:i/>
          <w:iCs/>
          <w:lang w:val="en-IE"/>
        </w:rPr>
        <w:t xml:space="preserve"> translated from the French, by Patrick O’Kelly, Esq. </w:t>
      </w:r>
      <w:r>
        <w:rPr>
          <w:bCs/>
          <w:lang w:val="en-IE"/>
        </w:rPr>
        <w:t xml:space="preserve">(3 vols, Dublin 1831-2). </w:t>
      </w:r>
      <w:r>
        <w:rPr>
          <w:bCs/>
          <w:iCs/>
          <w:lang w:val="en-IE"/>
        </w:rPr>
        <w:t xml:space="preserve">The original was published in French in 1758 </w:t>
      </w:r>
      <w:r>
        <w:rPr>
          <w:lang w:val="en-IE"/>
        </w:rPr>
        <w:t>but the book naturally made more impact at home when translated.</w:t>
      </w:r>
    </w:p>
  </w:endnote>
  <w:endnote w:id="18">
    <w:p w:rsidR="00000000" w:rsidRDefault="009F1A26">
      <w:pPr>
        <w:pStyle w:val="EndnoteText"/>
      </w:pPr>
      <w:r>
        <w:rPr>
          <w:rStyle w:val="EndnoteReference"/>
        </w:rPr>
        <w:endnoteRef/>
      </w:r>
      <w:r>
        <w:t xml:space="preserve"> </w:t>
      </w:r>
      <w:r>
        <w:rPr>
          <w:lang w:val="de-DE"/>
        </w:rPr>
        <w:t xml:space="preserve">R. Lambe, </w:t>
      </w:r>
      <w:r>
        <w:rPr>
          <w:rStyle w:val="BookTitle"/>
        </w:rPr>
        <w:t>The history of chess</w:t>
      </w:r>
      <w:r>
        <w:rPr>
          <w:rStyle w:val="BookTitle"/>
          <w:i w:val="0"/>
          <w:iCs/>
        </w:rPr>
        <w:t xml:space="preserve"> (London 1764)</w:t>
      </w:r>
      <w:r>
        <w:rPr>
          <w:rStyle w:val="BookTitle"/>
          <w:i w:val="0"/>
          <w:iCs/>
        </w:rPr>
        <w:t xml:space="preserve">; </w:t>
      </w:r>
      <w:r>
        <w:t xml:space="preserve">Richard </w:t>
      </w:r>
      <w:r>
        <w:rPr>
          <w:iCs/>
        </w:rPr>
        <w:t xml:space="preserve">Twiss, </w:t>
      </w:r>
      <w:r>
        <w:rPr>
          <w:i/>
        </w:rPr>
        <w:t>Chess</w:t>
      </w:r>
      <w:r>
        <w:t xml:space="preserve"> (2 vols.; London: 1787, 1789). According to </w:t>
      </w:r>
      <w:r>
        <w:rPr>
          <w:i/>
          <w:iCs/>
        </w:rPr>
        <w:t>Notes and Queries</w:t>
      </w:r>
      <w:r>
        <w:t xml:space="preserve">, vi (15 May 1852), p. 464, Twiss </w:t>
      </w:r>
      <w:r>
        <w:rPr>
          <w:rStyle w:val="BookTitle"/>
          <w:i w:val="0"/>
          <w:iCs/>
        </w:rPr>
        <w:t xml:space="preserve">relied to some extent on contributions from Francis Douce of the British Museum. </w:t>
      </w:r>
      <w:r>
        <w:t xml:space="preserve">Douce’s contribution probably began with volume two. The </w:t>
      </w:r>
      <w:r>
        <w:t>set of Twiss in the Douce collection at the Bodleian consists of three volumes. The first is an interleaved copy in which Douce inscribed numerous comments and corrections; the third is a manuscript scrapbook which Twiss used to compile the extensive chess</w:t>
      </w:r>
      <w:r>
        <w:t xml:space="preserve"> material in volume two of his </w:t>
      </w:r>
      <w:r>
        <w:rPr>
          <w:i/>
          <w:iCs/>
        </w:rPr>
        <w:t>Miscellanies</w:t>
      </w:r>
      <w:r>
        <w:t xml:space="preserve"> (1805).</w:t>
      </w:r>
    </w:p>
  </w:endnote>
  <w:endnote w:id="19">
    <w:p w:rsidR="00000000" w:rsidRDefault="009F1A26">
      <w:pPr>
        <w:pStyle w:val="EndnoteText"/>
      </w:pPr>
      <w:r>
        <w:rPr>
          <w:rStyle w:val="EndnoteReference"/>
        </w:rPr>
        <w:endnoteRef/>
      </w:r>
      <w:r>
        <w:t xml:space="preserve"> Richard Twiss, </w:t>
      </w:r>
      <w:r>
        <w:rPr>
          <w:i/>
          <w:iCs/>
        </w:rPr>
        <w:t>Tour in Ireland in 1775</w:t>
      </w:r>
      <w:r>
        <w:t xml:space="preserve"> (London 1776).</w:t>
      </w:r>
    </w:p>
  </w:endnote>
  <w:endnote w:id="20">
    <w:p w:rsidR="00000000" w:rsidRDefault="009F1A26">
      <w:pPr>
        <w:pStyle w:val="EndnoteText"/>
      </w:pPr>
      <w:r>
        <w:rPr>
          <w:rStyle w:val="EndnoteReference"/>
        </w:rPr>
        <w:endnoteRef/>
      </w:r>
      <w:r>
        <w:t xml:space="preserve"> </w:t>
      </w:r>
      <w:r>
        <w:rPr>
          <w:rStyle w:val="BookTitle"/>
          <w:i w:val="0"/>
          <w:szCs w:val="20"/>
        </w:rPr>
        <w:t>Twiss described O’Flanagan as Professor of the Irish Language in the University of Dublin.</w:t>
      </w:r>
      <w:r>
        <w:t xml:space="preserve"> For an account of O’Flanagan’s complex employment recor</w:t>
      </w:r>
      <w:r>
        <w:t xml:space="preserve">d in translating Irish manuscripts for the university and the Royal Irish Academy, see O’Halloran, </w:t>
      </w:r>
      <w:r>
        <w:rPr>
          <w:i/>
          <w:iCs/>
        </w:rPr>
        <w:t>Golden Ages</w:t>
      </w:r>
      <w:r>
        <w:t>, pp. 173-5. She says O’Flanagan was made a scholar of Trinity in 1787.</w:t>
      </w:r>
    </w:p>
  </w:endnote>
  <w:endnote w:id="21">
    <w:p w:rsidR="00000000" w:rsidRDefault="009F1A26">
      <w:pPr>
        <w:pStyle w:val="EndnoteText"/>
      </w:pPr>
      <w:r>
        <w:rPr>
          <w:rStyle w:val="EndnoteReference"/>
        </w:rPr>
        <w:endnoteRef/>
      </w:r>
      <w:r>
        <w:t xml:space="preserve"> Twiss, </w:t>
      </w:r>
      <w:r>
        <w:rPr>
          <w:i/>
          <w:iCs/>
        </w:rPr>
        <w:t>Chess</w:t>
      </w:r>
      <w:r>
        <w:t>, ii, pp. 259-65.</w:t>
      </w:r>
    </w:p>
  </w:endnote>
  <w:endnote w:id="22">
    <w:p w:rsidR="00000000" w:rsidRDefault="009F1A26">
      <w:pPr>
        <w:pStyle w:val="EndnoteText"/>
      </w:pPr>
      <w:r>
        <w:rPr>
          <w:rStyle w:val="EndnoteReference"/>
        </w:rPr>
        <w:endnoteRef/>
      </w:r>
      <w:r>
        <w:t xml:space="preserve"> O’Flanagan to Twiss, in Twiss, </w:t>
      </w:r>
      <w:r>
        <w:rPr>
          <w:i/>
          <w:iCs/>
        </w:rPr>
        <w:t>Chess</w:t>
      </w:r>
      <w:r>
        <w:t>, ii</w:t>
      </w:r>
      <w:r>
        <w:t>, p. 260.</w:t>
      </w:r>
    </w:p>
  </w:endnote>
  <w:endnote w:id="23">
    <w:p w:rsidR="00000000" w:rsidRDefault="009F1A26">
      <w:pPr>
        <w:pStyle w:val="EndnoteText"/>
      </w:pPr>
      <w:r>
        <w:rPr>
          <w:rStyle w:val="EndnoteReference"/>
        </w:rPr>
        <w:endnoteRef/>
      </w:r>
      <w:r>
        <w:t xml:space="preserve"> Daines Barrington, ‘An Historical Disquisition on the Game of Chess; addressed to Count de Bruhl, F.A.S.’, in </w:t>
      </w:r>
      <w:r>
        <w:rPr>
          <w:bCs/>
          <w:i/>
          <w:iCs/>
        </w:rPr>
        <w:t>Archæologia</w:t>
      </w:r>
      <w:r>
        <w:t>, ix (1789), pp. 16-38; the quotation is from p. 18.</w:t>
      </w:r>
    </w:p>
  </w:endnote>
  <w:endnote w:id="24">
    <w:p w:rsidR="00000000" w:rsidRDefault="009F1A26">
      <w:pPr>
        <w:pStyle w:val="EndnoteText"/>
      </w:pPr>
      <w:r>
        <w:rPr>
          <w:rStyle w:val="EndnoteReference"/>
        </w:rPr>
        <w:endnoteRef/>
      </w:r>
      <w:r>
        <w:t xml:space="preserve"> Hyde’s story said only one move a year was made in the game in order</w:t>
      </w:r>
      <w:r>
        <w:t xml:space="preserve"> to postpone the decision indefinitely, and was repeated by Lambe and many others. It can be found in the continuation of the passage quoted above from </w:t>
      </w:r>
      <w:r>
        <w:rPr>
          <w:i/>
          <w:iCs/>
        </w:rPr>
        <w:t>Syntagma</w:t>
      </w:r>
      <w:r>
        <w:t>, p. 7, but its origin is obscure.</w:t>
      </w:r>
    </w:p>
  </w:endnote>
  <w:endnote w:id="25">
    <w:p w:rsidR="00000000" w:rsidRDefault="009F1A26">
      <w:pPr>
        <w:pStyle w:val="EndnoteText"/>
      </w:pPr>
      <w:r>
        <w:rPr>
          <w:rStyle w:val="EndnoteReference"/>
        </w:rPr>
        <w:endnoteRef/>
      </w:r>
      <w:r>
        <w:t xml:space="preserve"> Barrington, ‘Disquisition’, p. 30.</w:t>
      </w:r>
    </w:p>
  </w:endnote>
  <w:endnote w:id="26">
    <w:p w:rsidR="00000000" w:rsidRDefault="009F1A26">
      <w:pPr>
        <w:pStyle w:val="EndnoteText"/>
      </w:pPr>
      <w:r>
        <w:rPr>
          <w:rStyle w:val="EndnoteReference"/>
        </w:rPr>
        <w:endnoteRef/>
      </w:r>
      <w:r>
        <w:t xml:space="preserve"> Eyles Irwin, ‘Essay on</w:t>
      </w:r>
      <w:r>
        <w:t xml:space="preserve"> the Origin of Chess’, in </w:t>
      </w:r>
      <w:r>
        <w:rPr>
          <w:i/>
          <w:iCs/>
        </w:rPr>
        <w:t>Transactions of the Royal Irish Academy</w:t>
      </w:r>
      <w:r>
        <w:t>, v. (Dublin 1795), Antiquities section, pp. 53-63. Another antiquarian article published around this time, but with nothing to say about Irish chess, was by Francis Douce: ‘Some Remarks on t</w:t>
      </w:r>
      <w:r>
        <w:t xml:space="preserve">he European Names of Chess-men’, in </w:t>
      </w:r>
      <w:r>
        <w:rPr>
          <w:i/>
          <w:iCs/>
        </w:rPr>
        <w:t>Archæologia</w:t>
      </w:r>
      <w:r>
        <w:t>, xi (1793), pp. 397-410.</w:t>
      </w:r>
    </w:p>
  </w:endnote>
  <w:endnote w:id="27">
    <w:p w:rsidR="00000000" w:rsidRDefault="009F1A26">
      <w:pPr>
        <w:pStyle w:val="EndnoteText"/>
        <w:rPr>
          <w:lang w:val="en-IE"/>
        </w:rPr>
      </w:pPr>
      <w:r>
        <w:rPr>
          <w:rStyle w:val="EndnoteReference"/>
        </w:rPr>
        <w:endnoteRef/>
      </w:r>
      <w:r>
        <w:t xml:space="preserve"> </w:t>
      </w:r>
      <w:r>
        <w:rPr>
          <w:lang w:val="en-IE"/>
        </w:rPr>
        <w:t xml:space="preserve">Sir William Jones, ‘On the Indian Game of Chess’, in </w:t>
      </w:r>
      <w:r>
        <w:rPr>
          <w:i/>
          <w:lang w:val="en-IE"/>
        </w:rPr>
        <w:t xml:space="preserve">Asiatick Researches </w:t>
      </w:r>
      <w:r>
        <w:rPr>
          <w:iCs/>
          <w:lang w:val="en-IE"/>
        </w:rPr>
        <w:t xml:space="preserve">ii </w:t>
      </w:r>
      <w:r>
        <w:rPr>
          <w:lang w:val="en-IE"/>
        </w:rPr>
        <w:t xml:space="preserve">(Calcutta 1790) pp. 159-65, </w:t>
      </w:r>
      <w:r>
        <w:t xml:space="preserve">reprinted in </w:t>
      </w:r>
      <w:r>
        <w:rPr>
          <w:i/>
          <w:iCs/>
        </w:rPr>
        <w:t>Invenire</w:t>
      </w:r>
      <w:r>
        <w:t>, Aungervyle Society reprints, second series; (Edinburgh</w:t>
      </w:r>
      <w:r>
        <w:t xml:space="preserve"> 1884).</w:t>
      </w:r>
      <w:r>
        <w:rPr>
          <w:lang w:val="en-IE"/>
        </w:rPr>
        <w:t xml:space="preserve"> His single inventor theory of the origins of chess is now discredited; he </w:t>
      </w:r>
      <w:r>
        <w:t>did not write on Irish chess.</w:t>
      </w:r>
    </w:p>
  </w:endnote>
  <w:endnote w:id="28">
    <w:p w:rsidR="00000000" w:rsidRDefault="009F1A26">
      <w:pPr>
        <w:pStyle w:val="EndnoteText"/>
        <w:rPr>
          <w:i/>
          <w:iCs/>
        </w:rPr>
      </w:pPr>
      <w:r>
        <w:rPr>
          <w:rStyle w:val="EndnoteReference"/>
        </w:rPr>
        <w:endnoteRef/>
      </w:r>
      <w:r>
        <w:t xml:space="preserve"> Dr O’Halloran made this point at a Trinity College Dublin seminar in October 2005. See also her </w:t>
      </w:r>
      <w:r>
        <w:rPr>
          <w:i/>
          <w:iCs/>
        </w:rPr>
        <w:t>Golden Ages</w:t>
      </w:r>
      <w:r>
        <w:t>, p. 51, where Vallancey’s relation</w:t>
      </w:r>
      <w:r>
        <w:t xml:space="preserve">ship to his translators is compared with that of colonial scholars dependent on ‘pandits’ for their renderings from Indian languages. </w:t>
      </w:r>
    </w:p>
  </w:endnote>
  <w:endnote w:id="29">
    <w:p w:rsidR="00000000" w:rsidRDefault="009F1A26">
      <w:pPr>
        <w:pStyle w:val="EndnoteText"/>
      </w:pPr>
      <w:r>
        <w:rPr>
          <w:rStyle w:val="EndnoteReference"/>
        </w:rPr>
        <w:endnoteRef/>
      </w:r>
      <w:r>
        <w:t xml:space="preserve"> Charles Vallancey (ed.), </w:t>
      </w:r>
      <w:r>
        <w:rPr>
          <w:bCs/>
          <w:i/>
          <w:iCs/>
        </w:rPr>
        <w:t xml:space="preserve">Collectanea de Rebus Hibernicis </w:t>
      </w:r>
      <w:r>
        <w:rPr>
          <w:bCs/>
        </w:rPr>
        <w:t>(6 vols, Dublin 1770-1804), for example volume 3-4 (1774-5), p</w:t>
      </w:r>
      <w:r>
        <w:rPr>
          <w:bCs/>
        </w:rPr>
        <w:t>p. 49-52, volume 5, p. 241, and the reference in n28.</w:t>
      </w:r>
    </w:p>
  </w:endnote>
  <w:endnote w:id="30">
    <w:p w:rsidR="00000000" w:rsidRDefault="009F1A26">
      <w:pPr>
        <w:pStyle w:val="EndnoteText"/>
      </w:pPr>
      <w:r>
        <w:rPr>
          <w:rStyle w:val="EndnoteReference"/>
        </w:rPr>
        <w:endnoteRef/>
      </w:r>
      <w:r>
        <w:t xml:space="preserve"> </w:t>
      </w:r>
      <w:r>
        <w:rPr>
          <w:i/>
          <w:iCs/>
        </w:rPr>
        <w:t>British Chess Magazine</w:t>
      </w:r>
      <w:r>
        <w:t>, cxxi (Feb. 2001), p. 106, devoted a page to reprinting some of Vallancey’s whimsies, without any expression of scepticism.</w:t>
      </w:r>
    </w:p>
  </w:endnote>
  <w:endnote w:id="31">
    <w:p w:rsidR="00000000" w:rsidRDefault="009F1A26">
      <w:pPr>
        <w:pStyle w:val="EndnoteText"/>
      </w:pPr>
      <w:r>
        <w:rPr>
          <w:rStyle w:val="EndnoteReference"/>
        </w:rPr>
        <w:endnoteRef/>
      </w:r>
      <w:r>
        <w:t xml:space="preserve"> Twiss, </w:t>
      </w:r>
      <w:r>
        <w:rPr>
          <w:i/>
          <w:iCs/>
        </w:rPr>
        <w:t>Chess</w:t>
      </w:r>
      <w:r>
        <w:t xml:space="preserve">, ii, p. 262. Walker’s remarks about </w:t>
      </w:r>
      <w:r>
        <w:rPr>
          <w:i/>
          <w:iCs/>
        </w:rPr>
        <w:t>Fa</w:t>
      </w:r>
      <w:r>
        <w:rPr>
          <w:i/>
          <w:iCs/>
        </w:rPr>
        <w:t xml:space="preserve">ll </w:t>
      </w:r>
      <w:r>
        <w:t xml:space="preserve">and </w:t>
      </w:r>
      <w:r>
        <w:rPr>
          <w:i/>
          <w:iCs/>
        </w:rPr>
        <w:t>Taibble-Fill</w:t>
      </w:r>
      <w:r>
        <w:t xml:space="preserve"> appear to correspond to the class of Viking table-games known as </w:t>
      </w:r>
      <w:r>
        <w:rPr>
          <w:i/>
          <w:iCs/>
        </w:rPr>
        <w:t>tafl</w:t>
      </w:r>
      <w:r>
        <w:t>, which was researched by Daniel Willard Fiske (1831-1904) of Cornell University. He never completed his projected work on chess history but the part on Scandinavian b</w:t>
      </w:r>
      <w:r>
        <w:t xml:space="preserve">oard-games appeared posthumously as D. W. Fiske, </w:t>
      </w:r>
      <w:r>
        <w:rPr>
          <w:i/>
          <w:iCs/>
        </w:rPr>
        <w:t>Chess in Iceland and Icelandic Literature</w:t>
      </w:r>
      <w:r>
        <w:t xml:space="preserve"> (Florence 1905).</w:t>
      </w:r>
      <w:r>
        <w:rPr>
          <w:i/>
          <w:iCs/>
        </w:rPr>
        <w:t xml:space="preserve"> </w:t>
      </w:r>
    </w:p>
  </w:endnote>
  <w:endnote w:id="32">
    <w:p w:rsidR="00000000" w:rsidRDefault="009F1A26">
      <w:pPr>
        <w:pStyle w:val="EndnoteText"/>
      </w:pPr>
      <w:r>
        <w:rPr>
          <w:rStyle w:val="EndnoteReference"/>
        </w:rPr>
        <w:endnoteRef/>
      </w:r>
      <w:r>
        <w:t xml:space="preserve"> J. C. Walker, ‘Anecdotes of Chess, in Ireland’ in Vallancey, </w:t>
      </w:r>
      <w:r>
        <w:rPr>
          <w:i/>
          <w:iCs/>
        </w:rPr>
        <w:t>Collectanea</w:t>
      </w:r>
      <w:r>
        <w:t>, v, pp. 366-8.</w:t>
      </w:r>
    </w:p>
  </w:endnote>
  <w:endnote w:id="33">
    <w:p w:rsidR="00000000" w:rsidRDefault="009F1A26">
      <w:pPr>
        <w:pStyle w:val="EndnoteText"/>
      </w:pPr>
      <w:r>
        <w:rPr>
          <w:rStyle w:val="EndnoteReference"/>
        </w:rPr>
        <w:endnoteRef/>
      </w:r>
      <w:r>
        <w:t xml:space="preserve"> Lennon’s </w:t>
      </w:r>
      <w:r>
        <w:rPr>
          <w:i/>
          <w:iCs/>
        </w:rPr>
        <w:t>Orientalism</w:t>
      </w:r>
      <w:r>
        <w:t xml:space="preserve">, xvi, reprints a striking woodcut </w:t>
      </w:r>
      <w:r>
        <w:t xml:space="preserve">done for Vallancey showing an Irish round tower at Ardmore beside a similar tower in India. Vallancey’s linking of </w:t>
      </w:r>
      <w:r>
        <w:rPr>
          <w:i/>
          <w:iCs/>
        </w:rPr>
        <w:t>fidchell</w:t>
      </w:r>
      <w:r>
        <w:t xml:space="preserve"> and </w:t>
      </w:r>
      <w:r>
        <w:rPr>
          <w:i/>
          <w:iCs/>
        </w:rPr>
        <w:t>Phil</w:t>
      </w:r>
      <w:r>
        <w:t xml:space="preserve"> can be viewed as analogous to that.</w:t>
      </w:r>
    </w:p>
  </w:endnote>
  <w:endnote w:id="34">
    <w:p w:rsidR="00000000" w:rsidRDefault="009F1A26">
      <w:pPr>
        <w:pStyle w:val="EndnoteText"/>
      </w:pPr>
      <w:r>
        <w:rPr>
          <w:rStyle w:val="EndnoteReference"/>
        </w:rPr>
        <w:endnoteRef/>
      </w:r>
      <w:r>
        <w:t xml:space="preserve"> Leerssen, </w:t>
      </w:r>
      <w:r>
        <w:rPr>
          <w:i/>
          <w:iCs/>
        </w:rPr>
        <w:t>Remembrance</w:t>
      </w:r>
      <w:r>
        <w:t>, p. 4.</w:t>
      </w:r>
    </w:p>
  </w:endnote>
  <w:endnote w:id="35">
    <w:p w:rsidR="00000000" w:rsidRDefault="009F1A26">
      <w:pPr>
        <w:pStyle w:val="EndnoteText"/>
      </w:pPr>
      <w:r>
        <w:rPr>
          <w:rStyle w:val="EndnoteReference"/>
        </w:rPr>
        <w:endnoteRef/>
      </w:r>
      <w:r>
        <w:t xml:space="preserve"> Summaries of O’Donovan’s life and career may be found </w:t>
      </w:r>
      <w:r>
        <w:t>in</w:t>
      </w:r>
      <w:r>
        <w:rPr>
          <w:bCs/>
        </w:rPr>
        <w:t xml:space="preserve"> the </w:t>
      </w:r>
      <w:r>
        <w:rPr>
          <w:bCs/>
          <w:i/>
          <w:iCs/>
        </w:rPr>
        <w:t>Dictionary of Irish Biography</w:t>
      </w:r>
      <w:r>
        <w:rPr>
          <w:bCs/>
        </w:rPr>
        <w:t xml:space="preserve"> (Cambridge U.P./Royal Irish Academy 2009), vii, pp. 418-21, and in Alfred Webb, </w:t>
      </w:r>
      <w:r>
        <w:rPr>
          <w:bCs/>
          <w:i/>
        </w:rPr>
        <w:t>A Compendium of Irish</w:t>
      </w:r>
      <w:r>
        <w:rPr>
          <w:b/>
          <w:bCs/>
          <w:i/>
        </w:rPr>
        <w:t xml:space="preserve"> </w:t>
      </w:r>
      <w:r>
        <w:rPr>
          <w:bCs/>
          <w:i/>
        </w:rPr>
        <w:t xml:space="preserve">Biography: comprising sketches of distinguished Irishmen, and of eminent persons connected with Ireland by office or </w:t>
      </w:r>
      <w:r>
        <w:rPr>
          <w:bCs/>
          <w:i/>
        </w:rPr>
        <w:t xml:space="preserve">by their writings </w:t>
      </w:r>
      <w:r>
        <w:rPr>
          <w:bCs/>
        </w:rPr>
        <w:t xml:space="preserve">(Dublin 1878), pp. 394-5. </w:t>
      </w:r>
      <w:r>
        <w:t xml:space="preserve">O’Curry is likewise profiled in the </w:t>
      </w:r>
      <w:r>
        <w:rPr>
          <w:i/>
          <w:iCs/>
        </w:rPr>
        <w:t>D.I.B.</w:t>
      </w:r>
      <w:r>
        <w:t>, vii, pp. 326-9 and in Webb, pp. 387-8. The two men were related by marriage.</w:t>
      </w:r>
    </w:p>
  </w:endnote>
  <w:endnote w:id="36">
    <w:p w:rsidR="00000000" w:rsidRDefault="009F1A26">
      <w:pPr>
        <w:pStyle w:val="EndnoteText"/>
      </w:pPr>
      <w:r>
        <w:rPr>
          <w:rStyle w:val="EndnoteReference"/>
        </w:rPr>
        <w:endnoteRef/>
      </w:r>
      <w:r>
        <w:t xml:space="preserve"> Frederic Madden, ‘Historical remarks on the introduction of the game of Chess into Europe</w:t>
      </w:r>
      <w:r>
        <w:t xml:space="preserve">, and on the ancient Chess-men discovered in the Isle of Lewis’ (privately circulated, London 1832, then published in </w:t>
      </w:r>
      <w:r>
        <w:rPr>
          <w:i/>
          <w:iCs/>
        </w:rPr>
        <w:t>Archæologia</w:t>
      </w:r>
      <w:r>
        <w:t>, xxiv, pp. 203-291). Madden worked at the British Museum and his article includes detailed descriptions and drawings of the Le</w:t>
      </w:r>
      <w:r>
        <w:t xml:space="preserve">wis chessmen, but some of its speculations about origin and dating are suspect. </w:t>
      </w:r>
    </w:p>
  </w:endnote>
  <w:endnote w:id="37">
    <w:p w:rsidR="00000000" w:rsidRDefault="009F1A26">
      <w:pPr>
        <w:pStyle w:val="EndnoteText"/>
      </w:pPr>
      <w:r>
        <w:rPr>
          <w:rStyle w:val="EndnoteReference"/>
        </w:rPr>
        <w:endnoteRef/>
      </w:r>
      <w:r>
        <w:t xml:space="preserve"> O’Donovan was dismissed from the survey work in 1833 but re-employed when Petrie became head of the department, and remained until 31 Jan. 1842: Peter Murray, ‘George Petrie</w:t>
      </w:r>
      <w:r>
        <w:t xml:space="preserve">’ (M. Litt thesis, T.C.D. 1980), pp. 91-2. See also the entry on Petrie in </w:t>
      </w:r>
      <w:r>
        <w:rPr>
          <w:i/>
          <w:iCs/>
        </w:rPr>
        <w:t>D.I.B.</w:t>
      </w:r>
      <w:r>
        <w:t>, viii, pp. 81-4, which has more references but does not cite Murray’s thesis.</w:t>
      </w:r>
    </w:p>
  </w:endnote>
  <w:endnote w:id="38">
    <w:p w:rsidR="00000000" w:rsidRDefault="009F1A26">
      <w:pPr>
        <w:pStyle w:val="EndnoteText"/>
      </w:pPr>
      <w:r>
        <w:rPr>
          <w:rStyle w:val="EndnoteReference"/>
        </w:rPr>
        <w:endnoteRef/>
      </w:r>
      <w:r>
        <w:t xml:space="preserve"> Joep Leerssen, ‘Petrie: Polymath and Innovator’, in </w:t>
      </w:r>
      <w:r>
        <w:rPr>
          <w:i/>
          <w:iCs/>
        </w:rPr>
        <w:t>George Petrie (1790-1866), the rediscovery</w:t>
      </w:r>
      <w:r>
        <w:rPr>
          <w:i/>
          <w:iCs/>
        </w:rPr>
        <w:t xml:space="preserve"> of Ireland’s Past</w:t>
      </w:r>
      <w:r>
        <w:t xml:space="preserve"> (Kinsale 2004), pp. 7-11; here p. 10 (no named editor).</w:t>
      </w:r>
    </w:p>
  </w:endnote>
  <w:endnote w:id="39">
    <w:p w:rsidR="00000000" w:rsidRDefault="009F1A26">
      <w:pPr>
        <w:pStyle w:val="EndnoteText"/>
      </w:pPr>
      <w:r>
        <w:rPr>
          <w:rStyle w:val="EndnoteReference"/>
        </w:rPr>
        <w:endnoteRef/>
      </w:r>
      <w:r>
        <w:t xml:space="preserve"> </w:t>
      </w:r>
      <w:r>
        <w:rPr>
          <w:lang w:val="en-IE"/>
        </w:rPr>
        <w:t xml:space="preserve">William Stokes, </w:t>
      </w:r>
      <w:r>
        <w:rPr>
          <w:i/>
          <w:iCs/>
          <w:lang w:val="en-IE"/>
        </w:rPr>
        <w:t>The life and labours in Art and Archaeology of George Petrie LL.D., MRIA</w:t>
      </w:r>
      <w:r>
        <w:rPr>
          <w:lang w:val="en-IE"/>
        </w:rPr>
        <w:t xml:space="preserve"> (Dublin 1868), p. 196.</w:t>
      </w:r>
    </w:p>
  </w:endnote>
  <w:endnote w:id="40">
    <w:p w:rsidR="00000000" w:rsidRDefault="009F1A26">
      <w:pPr>
        <w:pStyle w:val="EndnoteText"/>
      </w:pPr>
      <w:r>
        <w:rPr>
          <w:rStyle w:val="EndnoteReference"/>
        </w:rPr>
        <w:endnoteRef/>
      </w:r>
      <w:r>
        <w:t xml:space="preserve"> P. Murray, </w:t>
      </w:r>
      <w:r>
        <w:rPr>
          <w:i/>
          <w:iCs/>
        </w:rPr>
        <w:t>Petrie</w:t>
      </w:r>
      <w:r>
        <w:t xml:space="preserve">, pp. 107-8, gives into detail about their good </w:t>
      </w:r>
      <w:r>
        <w:t>relations and cites a letter of 2 Oct. 1837 from O’Donovan to Petrie to support that view.</w:t>
      </w:r>
    </w:p>
  </w:endnote>
  <w:endnote w:id="41">
    <w:p w:rsidR="00000000" w:rsidRDefault="009F1A26">
      <w:pPr>
        <w:pStyle w:val="EndnoteText"/>
      </w:pPr>
      <w:r>
        <w:rPr>
          <w:rStyle w:val="EndnoteReference"/>
        </w:rPr>
        <w:endnoteRef/>
      </w:r>
      <w:r>
        <w:t xml:space="preserve"> John O’Donovan, ‘The Battle of Clontarf’ in </w:t>
      </w:r>
      <w:r>
        <w:rPr>
          <w:i/>
          <w:iCs/>
        </w:rPr>
        <w:t>The</w:t>
      </w:r>
      <w:r>
        <w:t xml:space="preserve"> </w:t>
      </w:r>
      <w:r>
        <w:rPr>
          <w:i/>
          <w:iCs/>
        </w:rPr>
        <w:t xml:space="preserve">Dublin Penny Journal, </w:t>
      </w:r>
      <w:r>
        <w:t>i (no. 17,</w:t>
      </w:r>
      <w:r>
        <w:rPr>
          <w:i/>
          <w:iCs/>
        </w:rPr>
        <w:t xml:space="preserve"> </w:t>
      </w:r>
      <w:r>
        <w:t>20 Oct. 1832), pp. 133-6. Versions published later change the language and spellin</w:t>
      </w:r>
      <w:r>
        <w:t xml:space="preserve">g slightly but keep essentially to O’Donovan’s wording, e.g. in the </w:t>
      </w:r>
      <w:r>
        <w:rPr>
          <w:i/>
          <w:iCs/>
        </w:rPr>
        <w:t>Celtic Times</w:t>
      </w:r>
      <w:r>
        <w:t xml:space="preserve"> on 16 July 1887. The original source for this incident can be found in J. H. Todd (ed.), </w:t>
      </w:r>
      <w:r>
        <w:rPr>
          <w:i/>
          <w:lang w:val="en-IE"/>
        </w:rPr>
        <w:t>The War of the Gaedhil with the Gaill</w:t>
      </w:r>
      <w:r>
        <w:t xml:space="preserve">, from the Middle Irish </w:t>
      </w:r>
      <w:r>
        <w:rPr>
          <w:i/>
          <w:lang w:val="en-IE"/>
        </w:rPr>
        <w:t>Cogadh Gael re Gallaibh</w:t>
      </w:r>
      <w:r>
        <w:rPr>
          <w:lang w:val="en-IE"/>
        </w:rPr>
        <w:t xml:space="preserve"> (</w:t>
      </w:r>
      <w:r>
        <w:rPr>
          <w:lang w:val="en-IE"/>
        </w:rPr>
        <w:t xml:space="preserve">London 1867), pp. 144-5, n4 (where </w:t>
      </w:r>
      <w:r>
        <w:rPr>
          <w:i/>
          <w:lang w:val="en-IE"/>
        </w:rPr>
        <w:t>fičilli</w:t>
      </w:r>
      <w:r>
        <w:rPr>
          <w:lang w:val="en-IE"/>
        </w:rPr>
        <w:t xml:space="preserve"> is translated as ‘chess’): </w:t>
      </w:r>
      <w:r>
        <w:t xml:space="preserve">‘It happened also that he had some hasty words with Murchadh, son of Brian, and Conaing, who were playing chess. Maolmordha taught a move against Murchadh by which the game went against him. Murchadh became angry at this </w:t>
      </w:r>
      <w:r>
        <w:t>move, and he looked at Maolmordha and said to him, Thou art he who gavest advice to the foreigners on the day when they were defeated. Maolmordha said in great wrath, I will give them advice again and they shall not be defeated.’</w:t>
      </w:r>
    </w:p>
  </w:endnote>
  <w:endnote w:id="42">
    <w:p w:rsidR="00000000" w:rsidRDefault="009F1A26">
      <w:pPr>
        <w:pStyle w:val="EndnoteText"/>
      </w:pPr>
      <w:r>
        <w:rPr>
          <w:rStyle w:val="EndnoteReference"/>
        </w:rPr>
        <w:endnoteRef/>
      </w:r>
      <w:r>
        <w:t xml:space="preserve"> Richard Eales, </w:t>
      </w:r>
      <w:r>
        <w:rPr>
          <w:i/>
        </w:rPr>
        <w:t>Chess: Th</w:t>
      </w:r>
      <w:r>
        <w:rPr>
          <w:i/>
        </w:rPr>
        <w:t>e History of a Game</w:t>
      </w:r>
      <w:r>
        <w:t xml:space="preserve"> (London 1985), pp. 39-48; H. M. Gamer, ‘The Earliest Evidence of Chess in Western Literature: The Einsiedeln Verses’, in </w:t>
      </w:r>
      <w:r>
        <w:rPr>
          <w:i/>
          <w:iCs/>
        </w:rPr>
        <w:t>Speculum</w:t>
      </w:r>
      <w:r>
        <w:t>,</w:t>
      </w:r>
      <w:r>
        <w:rPr>
          <w:i/>
          <w:iCs/>
        </w:rPr>
        <w:t xml:space="preserve"> </w:t>
      </w:r>
      <w:r>
        <w:t>xxix (no. 4, Oct. 1954), pp. 734-50; Ian D. Riddler, ‘Anglo-Norman Chess’, in Alexander J. de Voogt (ed.)</w:t>
      </w:r>
      <w:r>
        <w:t xml:space="preserve">, </w:t>
      </w:r>
      <w:r>
        <w:rPr>
          <w:i/>
          <w:iCs/>
        </w:rPr>
        <w:t>New Approaches to Board Games Research: Asian origins and future perspectives</w:t>
      </w:r>
      <w:r>
        <w:t xml:space="preserve"> (Leiden 1995), pp. 99-109.</w:t>
      </w:r>
    </w:p>
  </w:endnote>
  <w:endnote w:id="43">
    <w:p w:rsidR="00000000" w:rsidRDefault="009F1A26">
      <w:pPr>
        <w:pStyle w:val="EndnoteText"/>
      </w:pPr>
      <w:r>
        <w:rPr>
          <w:rStyle w:val="EndnoteReference"/>
        </w:rPr>
        <w:endnoteRef/>
      </w:r>
      <w:r>
        <w:t xml:space="preserve"> John O’Donovan (ed.), </w:t>
      </w:r>
      <w:r>
        <w:rPr>
          <w:i/>
          <w:iCs/>
        </w:rPr>
        <w:t>Leabhar na gCeart, or The Book of Rights</w:t>
      </w:r>
      <w:r>
        <w:t xml:space="preserve"> (Dublin 1847), lxi-lxiv; also see pp. 35 and 70-1.</w:t>
      </w:r>
    </w:p>
  </w:endnote>
  <w:endnote w:id="44">
    <w:p w:rsidR="00000000" w:rsidRDefault="009F1A26">
      <w:pPr>
        <w:pStyle w:val="EndnoteText"/>
      </w:pPr>
      <w:r>
        <w:rPr>
          <w:rStyle w:val="EndnoteReference"/>
        </w:rPr>
        <w:endnoteRef/>
      </w:r>
      <w:r>
        <w:t xml:space="preserve"> Duncan Forbes, </w:t>
      </w:r>
      <w:r>
        <w:rPr>
          <w:i/>
          <w:iCs/>
        </w:rPr>
        <w:t>The History of C</w:t>
      </w:r>
      <w:r>
        <w:rPr>
          <w:i/>
          <w:iCs/>
        </w:rPr>
        <w:t xml:space="preserve">hess </w:t>
      </w:r>
      <w:r>
        <w:t xml:space="preserve">(London 1860), Appendix D, pp. xl-xlvi, wrote that </w:t>
      </w:r>
      <w:r>
        <w:rPr>
          <w:lang w:val="en-IE"/>
        </w:rPr>
        <w:t>‘to pretend, as their chroniclers do, that they were acquainted with the game in the first century of the Christian æra is simply absurd’.</w:t>
      </w:r>
      <w:r>
        <w:t xml:space="preserve"> Later chess historians were very critical of Forbes’s work on</w:t>
      </w:r>
      <w:r>
        <w:t xml:space="preserve"> oriental manuscripts. Irish writers seem to have ignored his comments.</w:t>
      </w:r>
    </w:p>
  </w:endnote>
  <w:endnote w:id="45">
    <w:p w:rsidR="00000000" w:rsidRDefault="009F1A26">
      <w:pPr>
        <w:pStyle w:val="EndnoteText"/>
      </w:pPr>
      <w:r>
        <w:rPr>
          <w:rStyle w:val="EndnoteReference"/>
        </w:rPr>
        <w:endnoteRef/>
      </w:r>
      <w:r>
        <w:t xml:space="preserve"> Harold J. R. Murray, </w:t>
      </w:r>
      <w:r>
        <w:rPr>
          <w:i/>
          <w:iCs/>
        </w:rPr>
        <w:t>The History of Chess</w:t>
      </w:r>
      <w:r>
        <w:t xml:space="preserve"> (Oxford 1913), pp. 759-60.</w:t>
      </w:r>
    </w:p>
  </w:endnote>
  <w:endnote w:id="46">
    <w:p w:rsidR="00000000" w:rsidRDefault="009F1A26">
      <w:pPr>
        <w:pStyle w:val="EndnoteText"/>
      </w:pPr>
      <w:r>
        <w:rPr>
          <w:rStyle w:val="EndnoteReference"/>
        </w:rPr>
        <w:endnoteRef/>
      </w:r>
      <w:r>
        <w:t xml:space="preserve"> This was a little unfair to O’Flanagan, who had </w:t>
      </w:r>
      <w:r>
        <w:rPr>
          <w:rStyle w:val="BookTitle"/>
          <w:i w:val="0"/>
          <w:iCs/>
        </w:rPr>
        <w:t xml:space="preserve">mentioned the possible chess references in </w:t>
      </w:r>
      <w:r>
        <w:rPr>
          <w:rStyle w:val="BookTitle"/>
        </w:rPr>
        <w:t xml:space="preserve">Cormac’s Glossary </w:t>
      </w:r>
      <w:r>
        <w:rPr>
          <w:rStyle w:val="BookTitle"/>
          <w:i w:val="0"/>
          <w:iCs/>
        </w:rPr>
        <w:t>to</w:t>
      </w:r>
      <w:r>
        <w:rPr>
          <w:rStyle w:val="BookTitle"/>
          <w:i w:val="0"/>
          <w:iCs/>
        </w:rPr>
        <w:t xml:space="preserve"> Twiss.</w:t>
      </w:r>
    </w:p>
  </w:endnote>
  <w:endnote w:id="47">
    <w:p w:rsidR="00000000" w:rsidRDefault="009F1A26">
      <w:pPr>
        <w:pStyle w:val="EndnoteText"/>
      </w:pPr>
      <w:r>
        <w:rPr>
          <w:rStyle w:val="EndnoteReference"/>
        </w:rPr>
        <w:endnoteRef/>
      </w:r>
      <w:r>
        <w:t xml:space="preserve"> Eugene O'Curry, </w:t>
      </w:r>
      <w:r>
        <w:rPr>
          <w:i/>
          <w:iCs/>
        </w:rPr>
        <w:t>On the manners and customs of the ancient Irish: a series of lectures</w:t>
      </w:r>
      <w:r>
        <w:t xml:space="preserve"> (ed. W.K. O'Sullivan, 3 vols, Dublin and New York, 1873).</w:t>
      </w:r>
    </w:p>
  </w:endnote>
  <w:endnote w:id="48">
    <w:p w:rsidR="00000000" w:rsidRDefault="009F1A26">
      <w:pPr>
        <w:pStyle w:val="EndnoteText"/>
        <w:rPr>
          <w:iCs/>
        </w:rPr>
      </w:pPr>
      <w:r>
        <w:rPr>
          <w:rStyle w:val="EndnoteReference"/>
        </w:rPr>
        <w:endnoteRef/>
      </w:r>
      <w:r>
        <w:t xml:space="preserve"> Cecile O’Rahilly, </w:t>
      </w:r>
      <w:r>
        <w:rPr>
          <w:i/>
          <w:iCs/>
        </w:rPr>
        <w:t>Táin Bo Cualgne from the Book of Leinster</w:t>
      </w:r>
      <w:r>
        <w:rPr>
          <w:iCs/>
        </w:rPr>
        <w:t xml:space="preserve"> (Dublin 1970), e.g. p. 152 (with the Iri</w:t>
      </w:r>
      <w:r>
        <w:rPr>
          <w:iCs/>
        </w:rPr>
        <w:t xml:space="preserve">sh in line 550 on p.16) and p. 158 (Irish in line 745 on p. 21). Variant spellings of both game-names are seen, e.g. </w:t>
      </w:r>
      <w:r>
        <w:rPr>
          <w:i/>
        </w:rPr>
        <w:t>brandub</w:t>
      </w:r>
      <w:r>
        <w:rPr>
          <w:iCs/>
        </w:rPr>
        <w:t xml:space="preserve"> (which means ‘raven-black’) is also seen as </w:t>
      </w:r>
      <w:r>
        <w:rPr>
          <w:i/>
        </w:rPr>
        <w:t>brandubh, brannamh, brannumh, brannaib</w:t>
      </w:r>
      <w:r>
        <w:rPr>
          <w:iCs/>
        </w:rPr>
        <w:t xml:space="preserve"> etc.</w:t>
      </w:r>
    </w:p>
  </w:endnote>
  <w:endnote w:id="49">
    <w:p w:rsidR="00000000" w:rsidRDefault="009F1A26">
      <w:pPr>
        <w:pStyle w:val="EndnoteText"/>
      </w:pPr>
      <w:r>
        <w:rPr>
          <w:rStyle w:val="EndnoteReference"/>
        </w:rPr>
        <w:endnoteRef/>
      </w:r>
      <w:r>
        <w:t xml:space="preserve"> In the </w:t>
      </w:r>
      <w:r>
        <w:rPr>
          <w:i/>
        </w:rPr>
        <w:t>Crith-Gablach,</w:t>
      </w:r>
      <w:r>
        <w:t xml:space="preserve"> appendix to O’Curry</w:t>
      </w:r>
      <w:r>
        <w:t xml:space="preserve">, </w:t>
      </w:r>
      <w:r>
        <w:rPr>
          <w:i/>
          <w:iCs/>
        </w:rPr>
        <w:t>Manners</w:t>
      </w:r>
      <w:r>
        <w:t>, iii, pp. 506-7.</w:t>
      </w:r>
    </w:p>
  </w:endnote>
  <w:endnote w:id="50">
    <w:p w:rsidR="00000000" w:rsidRDefault="009F1A26">
      <w:pPr>
        <w:pStyle w:val="EndnoteText"/>
      </w:pPr>
      <w:r>
        <w:rPr>
          <w:rStyle w:val="EndnoteReference"/>
        </w:rPr>
        <w:endnoteRef/>
      </w:r>
      <w:r>
        <w:t xml:space="preserve"> O’Donovan to Petrie, 2 Oct. 1857, in Stokes, </w:t>
      </w:r>
      <w:r>
        <w:rPr>
          <w:i/>
          <w:iCs/>
        </w:rPr>
        <w:t>Petrie</w:t>
      </w:r>
      <w:r>
        <w:t>, p. 380.</w:t>
      </w:r>
    </w:p>
  </w:endnote>
  <w:endnote w:id="51">
    <w:p w:rsidR="00000000" w:rsidRDefault="009F1A26">
      <w:pPr>
        <w:pStyle w:val="EndnoteText"/>
      </w:pPr>
      <w:r>
        <w:rPr>
          <w:rStyle w:val="EndnoteReference"/>
        </w:rPr>
        <w:endnoteRef/>
      </w:r>
      <w:r>
        <w:t xml:space="preserve"> It is known that his son, also John O’Donovan, played chess to a good standard. In 1866 he began a friendly match with the young star of Irish chess, James Alexande</w:t>
      </w:r>
      <w:r>
        <w:t xml:space="preserve">r Rynd, who told the story himself in one of the very first chess columns he wrote for the Dublin </w:t>
      </w:r>
      <w:r>
        <w:rPr>
          <w:i/>
          <w:iCs/>
        </w:rPr>
        <w:t xml:space="preserve">Evening Herald: </w:t>
      </w:r>
      <w:r>
        <w:t>19 Mar. 1892.</w:t>
      </w:r>
    </w:p>
  </w:endnote>
  <w:endnote w:id="52">
    <w:p w:rsidR="00000000" w:rsidRDefault="009F1A26">
      <w:pPr>
        <w:pStyle w:val="EndnoteText"/>
      </w:pPr>
      <w:r>
        <w:rPr>
          <w:rStyle w:val="EndnoteReference"/>
        </w:rPr>
        <w:endnoteRef/>
      </w:r>
      <w:r>
        <w:t xml:space="preserve"> O’Halloran, </w:t>
      </w:r>
      <w:r>
        <w:rPr>
          <w:i/>
          <w:iCs/>
        </w:rPr>
        <w:t>Golden Ages</w:t>
      </w:r>
      <w:r>
        <w:t>, pp. 97-126, discusses James Macpherson’s collections of poems (1760-3) ‘which purported to be transla</w:t>
      </w:r>
      <w:r>
        <w:t>tions from Gaelic of the works of a third-century Scottish bard’ and the controversy they aroused.</w:t>
      </w:r>
    </w:p>
  </w:endnote>
  <w:endnote w:id="53">
    <w:p w:rsidR="00000000" w:rsidRDefault="009F1A26">
      <w:pPr>
        <w:pStyle w:val="EndnoteText"/>
      </w:pPr>
      <w:r>
        <w:rPr>
          <w:rStyle w:val="EndnoteReference"/>
        </w:rPr>
        <w:endnoteRef/>
      </w:r>
      <w:r>
        <w:t xml:space="preserve"> </w:t>
      </w:r>
      <w:r>
        <w:rPr>
          <w:i/>
          <w:iCs/>
        </w:rPr>
        <w:t>The Chess Players’ Chronicle</w:t>
      </w:r>
      <w:r>
        <w:t>, New Series vol. 1 (1853), p. 92, referring to p. 81 in an 1844 edition of Mac-Gheoghan.</w:t>
      </w:r>
    </w:p>
  </w:endnote>
  <w:endnote w:id="54">
    <w:p w:rsidR="00000000" w:rsidRDefault="009F1A26">
      <w:pPr>
        <w:pStyle w:val="EndnoteText"/>
      </w:pPr>
      <w:r>
        <w:rPr>
          <w:rStyle w:val="EndnoteReference"/>
        </w:rPr>
        <w:endnoteRef/>
      </w:r>
      <w:r>
        <w:t xml:space="preserve"> This outline of Stokes’s career was</w:t>
      </w:r>
      <w:r>
        <w:t xml:space="preserve"> based on Nollaig Ó Muraile’s article about him in the </w:t>
      </w:r>
      <w:r>
        <w:rPr>
          <w:i/>
          <w:iCs/>
        </w:rPr>
        <w:t>Oxford Dictionary of National Biography</w:t>
      </w:r>
      <w:r>
        <w:t xml:space="preserve"> (Oxford 2004), lii, pp. 872-4. See also </w:t>
      </w:r>
      <w:r>
        <w:rPr>
          <w:i/>
          <w:iCs/>
        </w:rPr>
        <w:t>D.I.B.</w:t>
      </w:r>
      <w:r>
        <w:t>, ix, pp. 105-7.</w:t>
      </w:r>
    </w:p>
  </w:endnote>
  <w:endnote w:id="55">
    <w:p w:rsidR="00000000" w:rsidRDefault="009F1A26">
      <w:pPr>
        <w:pStyle w:val="EndnoteText"/>
        <w:rPr>
          <w:i/>
          <w:iCs/>
        </w:rPr>
      </w:pPr>
      <w:r>
        <w:rPr>
          <w:rStyle w:val="EndnoteReference"/>
        </w:rPr>
        <w:endnoteRef/>
      </w:r>
      <w:r>
        <w:t xml:space="preserve"> Whitley Stokes (ed), </w:t>
      </w:r>
      <w:r>
        <w:rPr>
          <w:i/>
          <w:iCs/>
        </w:rPr>
        <w:t>Three Irish Glossaries</w:t>
      </w:r>
      <w:r>
        <w:t xml:space="preserve"> (London 1862), pp. li-lii; see also pp. 21-2 where t</w:t>
      </w:r>
      <w:r>
        <w:t xml:space="preserve">he entry for </w:t>
      </w:r>
      <w:r>
        <w:rPr>
          <w:i/>
          <w:iCs/>
        </w:rPr>
        <w:t>fidchell</w:t>
      </w:r>
      <w:r>
        <w:t xml:space="preserve"> starts in Irish and concludes in Latin, making religious allusions.</w:t>
      </w:r>
    </w:p>
  </w:endnote>
  <w:endnote w:id="56">
    <w:p w:rsidR="00000000" w:rsidRDefault="009F1A26">
      <w:pPr>
        <w:pStyle w:val="EndnoteText"/>
      </w:pPr>
      <w:r>
        <w:rPr>
          <w:rStyle w:val="EndnoteReference"/>
        </w:rPr>
        <w:endnoteRef/>
      </w:r>
      <w:r>
        <w:t xml:space="preserve"> </w:t>
      </w:r>
      <w:r>
        <w:rPr>
          <w:lang w:val="en-IE"/>
        </w:rPr>
        <w:t xml:space="preserve">J. Wyse Power, ‘The Revival of Irish Games’, in </w:t>
      </w:r>
      <w:r>
        <w:rPr>
          <w:i/>
          <w:iCs/>
          <w:lang w:val="en-IE"/>
        </w:rPr>
        <w:t>The Irish Fireside</w:t>
      </w:r>
      <w:r>
        <w:rPr>
          <w:lang w:val="en-IE"/>
        </w:rPr>
        <w:t>, vi (no. 133, 2 Jan. 1886), pp. 29-30; here, p. 29.</w:t>
      </w:r>
    </w:p>
  </w:endnote>
  <w:endnote w:id="57">
    <w:p w:rsidR="00000000" w:rsidRDefault="009F1A26">
      <w:pPr>
        <w:pStyle w:val="EndnoteText"/>
        <w:rPr>
          <w:i/>
          <w:iCs/>
        </w:rPr>
      </w:pPr>
      <w:r>
        <w:rPr>
          <w:rStyle w:val="EndnoteReference"/>
        </w:rPr>
        <w:endnoteRef/>
      </w:r>
      <w:r>
        <w:t xml:space="preserve"> T. W. Moody, F. X. Martin, &amp; F. J. Byrne, </w:t>
      </w:r>
      <w:r>
        <w:rPr>
          <w:i/>
          <w:iCs/>
        </w:rPr>
        <w:t>A</w:t>
      </w:r>
      <w:r>
        <w:rPr>
          <w:i/>
          <w:iCs/>
        </w:rPr>
        <w:t xml:space="preserve"> New History of Ireland, viii: Chronology</w:t>
      </w:r>
      <w:r>
        <w:t xml:space="preserve"> (Oxford 1982), p. 358.</w:t>
      </w:r>
    </w:p>
  </w:endnote>
  <w:endnote w:id="58">
    <w:p w:rsidR="00000000" w:rsidRDefault="009F1A26">
      <w:pPr>
        <w:pStyle w:val="EndnoteText"/>
        <w:rPr>
          <w:lang w:val="en-US"/>
        </w:rPr>
      </w:pPr>
      <w:r>
        <w:rPr>
          <w:rStyle w:val="EndnoteReference"/>
        </w:rPr>
        <w:endnoteRef/>
      </w:r>
      <w:r>
        <w:t xml:space="preserve"> </w:t>
      </w:r>
      <w:r>
        <w:rPr>
          <w:i/>
          <w:iCs/>
        </w:rPr>
        <w:t>The Celtic Times,</w:t>
      </w:r>
      <w:r>
        <w:t xml:space="preserve"> 16 July 1887, p. 8 (preserving the capitalisation in the original).</w:t>
      </w:r>
    </w:p>
  </w:endnote>
  <w:endnote w:id="59">
    <w:p w:rsidR="00000000" w:rsidRDefault="009F1A26">
      <w:pPr>
        <w:pStyle w:val="EndnoteText"/>
      </w:pPr>
      <w:r>
        <w:rPr>
          <w:rStyle w:val="EndnoteReference"/>
        </w:rPr>
        <w:endnoteRef/>
      </w:r>
      <w:r>
        <w:t xml:space="preserve"> Whitley Stokes (ed.), ‘The Second Battle of Moytura’, in </w:t>
      </w:r>
      <w:r>
        <w:rPr>
          <w:i/>
          <w:iCs/>
        </w:rPr>
        <w:t>Revue Celtique</w:t>
      </w:r>
      <w:r>
        <w:t xml:space="preserve">, xii (1891), pp. 52-130 (and </w:t>
      </w:r>
      <w:r>
        <w:t>corrections on pp. 306-8); see ¶69 (p. 78 in Irish, p. 79 in English) for the passage in question, where the king orders that ‘the chessboards of Tara should be fetched to him’. The MS source is BL Harl. 5280. Stokes also notes (p. 117) ‘</w:t>
      </w:r>
      <w:r>
        <w:rPr>
          <w:i/>
          <w:iCs/>
        </w:rPr>
        <w:t xml:space="preserve">fidchell. </w:t>
      </w:r>
      <w:r>
        <w:t>chessboa</w:t>
      </w:r>
      <w:r>
        <w:t xml:space="preserve">rd? W. </w:t>
      </w:r>
      <w:r>
        <w:rPr>
          <w:i/>
          <w:iCs/>
        </w:rPr>
        <w:t>gwyddbwyll</w:t>
      </w:r>
      <w:r>
        <w:t xml:space="preserve">’ and (p. 127) that in the text Lug is said to have invented </w:t>
      </w:r>
      <w:r>
        <w:rPr>
          <w:i/>
          <w:iCs/>
        </w:rPr>
        <w:t>fidchell</w:t>
      </w:r>
      <w:r>
        <w:t xml:space="preserve"> and ball-play and horsemanship.</w:t>
      </w:r>
    </w:p>
  </w:endnote>
  <w:endnote w:id="60">
    <w:p w:rsidR="00000000" w:rsidRDefault="009F1A26">
      <w:pPr>
        <w:pStyle w:val="EndnoteText"/>
      </w:pPr>
      <w:r>
        <w:rPr>
          <w:rStyle w:val="EndnoteReference"/>
        </w:rPr>
        <w:endnoteRef/>
      </w:r>
      <w:r>
        <w:t xml:space="preserve"> When the Free State government revived the Tailteann games, chess tournaments formed part of the proceedings in 1924 and 1928, but the </w:t>
      </w:r>
      <w:r>
        <w:t>printed programmes for the games did not include claims for an Irish origin of chess.</w:t>
      </w:r>
    </w:p>
  </w:endnote>
  <w:endnote w:id="61">
    <w:p w:rsidR="00000000" w:rsidRDefault="009F1A26">
      <w:pPr>
        <w:pStyle w:val="EndnoteText"/>
      </w:pPr>
      <w:r>
        <w:rPr>
          <w:rStyle w:val="EndnoteReference"/>
        </w:rPr>
        <w:endnoteRef/>
      </w:r>
      <w:r>
        <w:t xml:space="preserve"> </w:t>
      </w:r>
      <w:r>
        <w:rPr>
          <w:i/>
          <w:iCs/>
          <w:lang w:val="en-IE"/>
        </w:rPr>
        <w:t>Dublin Evening Mail,</w:t>
      </w:r>
      <w:r>
        <w:rPr>
          <w:lang w:val="en-IE"/>
        </w:rPr>
        <w:t xml:space="preserve"> 22 Apr. 1886, chess column on p. 8. This seems to have been the first occasion the myth was propagated in a Dublin chess column. Rowland’s version </w:t>
      </w:r>
      <w:r>
        <w:rPr>
          <w:lang w:val="en-IE"/>
        </w:rPr>
        <w:t>which read as follows: ‘</w:t>
      </w:r>
      <w:r>
        <w:t>It may not be generally known that the game of chess was established in Ireland in 1430 B.C. by Tuatha de Dannianx, and that it is supposed that the thirty-two pieces represent the thirty-two counties. In different parts of the coun</w:t>
      </w:r>
      <w:r>
        <w:t>try, particularly in Meath, tournaments were held once a year, lasting from the 15</w:t>
      </w:r>
      <w:r>
        <w:rPr>
          <w:vertAlign w:val="superscript"/>
        </w:rPr>
        <w:t>th</w:t>
      </w:r>
      <w:r>
        <w:t xml:space="preserve"> August till the middle of September; valuable prizes were given to the victors, and their fame was sung by bards and echoed all over the land. These peaceful games continu</w:t>
      </w:r>
      <w:r>
        <w:t>ed to the eighth century, when the Anglo-Normans put an end to the tournaments, as well as almost everything else that was ennobling. Still vestiges of the ancient game remained sufficiently to cause it to occasionally glow.’</w:t>
      </w:r>
    </w:p>
  </w:endnote>
  <w:endnote w:id="62">
    <w:p w:rsidR="00000000" w:rsidRDefault="009F1A26">
      <w:pPr>
        <w:pStyle w:val="EndnoteText"/>
      </w:pPr>
      <w:r>
        <w:rPr>
          <w:rStyle w:val="EndnoteReference"/>
        </w:rPr>
        <w:endnoteRef/>
      </w:r>
      <w:r>
        <w:t xml:space="preserve"> </w:t>
      </w:r>
      <w:r>
        <w:rPr>
          <w:i/>
          <w:iCs/>
        </w:rPr>
        <w:t>The Celtic Times,</w:t>
      </w:r>
      <w:r>
        <w:t xml:space="preserve"> 6 Aug. 188</w:t>
      </w:r>
      <w:r>
        <w:t>7, p. 8.</w:t>
      </w:r>
    </w:p>
  </w:endnote>
  <w:endnote w:id="63">
    <w:p w:rsidR="00000000" w:rsidRDefault="009F1A26">
      <w:pPr>
        <w:pStyle w:val="EndnoteText"/>
      </w:pPr>
      <w:r>
        <w:rPr>
          <w:rStyle w:val="EndnoteReference"/>
        </w:rPr>
        <w:endnoteRef/>
      </w:r>
      <w:r>
        <w:t xml:space="preserve"> </w:t>
      </w:r>
      <w:r>
        <w:rPr>
          <w:i/>
        </w:rPr>
        <w:t>The</w:t>
      </w:r>
      <w:r>
        <w:rPr>
          <w:i/>
          <w:iCs/>
        </w:rPr>
        <w:t xml:space="preserve"> Celtic Times</w:t>
      </w:r>
      <w:r>
        <w:t>, 1 Oct. 1887. Inter-county matches were starting to be played in England, and became a regular feature of the twentieth-century chess calendar, but not in Ireland.</w:t>
      </w:r>
    </w:p>
  </w:endnote>
  <w:endnote w:id="64">
    <w:p w:rsidR="00000000" w:rsidRDefault="009F1A26">
      <w:pPr>
        <w:pStyle w:val="EndnoteText"/>
      </w:pPr>
      <w:r>
        <w:rPr>
          <w:rStyle w:val="EndnoteReference"/>
        </w:rPr>
        <w:endnoteRef/>
      </w:r>
      <w:r>
        <w:t xml:space="preserve"> See H. J. Lloyd, ‘The Antiquity of Chess in Ireland’, in </w:t>
      </w:r>
      <w:r>
        <w:rPr>
          <w:i/>
          <w:iCs/>
        </w:rPr>
        <w:t>Royal</w:t>
      </w:r>
      <w:r>
        <w:rPr>
          <w:i/>
          <w:iCs/>
        </w:rPr>
        <w:t xml:space="preserve"> Hist. &amp; Arch. Association of Ireland Jn.</w:t>
      </w:r>
      <w:r>
        <w:t xml:space="preserve">, 4 ser. v.7 (1885-86), pp. 659-62. This article </w:t>
      </w:r>
      <w:r>
        <w:rPr>
          <w:lang w:val="en-IE"/>
        </w:rPr>
        <w:t xml:space="preserve">recounts various references to board games in Irish literature and myth. </w:t>
      </w:r>
      <w:r>
        <w:t xml:space="preserve">O’Donovan included in </w:t>
      </w:r>
      <w:r>
        <w:rPr>
          <w:i/>
          <w:iCs/>
        </w:rPr>
        <w:t>The Book of Rights</w:t>
      </w:r>
      <w:r>
        <w:t>, lxi-lxii,</w:t>
      </w:r>
      <w:r>
        <w:rPr>
          <w:i/>
          <w:iCs/>
        </w:rPr>
        <w:t xml:space="preserve"> </w:t>
      </w:r>
      <w:r>
        <w:t>a brief version from ‘The Wooing of Etain</w:t>
      </w:r>
      <w:r>
        <w:t xml:space="preserve">’ about how the queen of Tara was won from her husband by a strange warrior Midir in a </w:t>
      </w:r>
      <w:r>
        <w:rPr>
          <w:i/>
          <w:iCs/>
        </w:rPr>
        <w:t xml:space="preserve">fidchell </w:t>
      </w:r>
      <w:r>
        <w:t xml:space="preserve">game. For the full version of the tale, see </w:t>
      </w:r>
      <w:r>
        <w:rPr>
          <w:lang w:val="en-IE"/>
        </w:rPr>
        <w:t xml:space="preserve">Osborn Bergin and R. I. Best, ‘Tochmarc Etaine beos’ (‘The Wooing of Etain’), in </w:t>
      </w:r>
      <w:r>
        <w:rPr>
          <w:i/>
          <w:iCs/>
        </w:rPr>
        <w:t>Ĕriu</w:t>
      </w:r>
      <w:r>
        <w:t xml:space="preserve">, xii (1938), pp. 174-7. </w:t>
      </w:r>
    </w:p>
  </w:endnote>
  <w:endnote w:id="65">
    <w:p w:rsidR="00000000" w:rsidRDefault="009F1A26">
      <w:pPr>
        <w:pStyle w:val="EndnoteText"/>
      </w:pPr>
      <w:r>
        <w:rPr>
          <w:rStyle w:val="EndnoteReference"/>
        </w:rPr>
        <w:endnoteRef/>
      </w:r>
      <w:r>
        <w:t xml:space="preserve"> C. Tenison, ‘Chess in Ireland’, in </w:t>
      </w:r>
      <w:r>
        <w:rPr>
          <w:i/>
          <w:iCs/>
        </w:rPr>
        <w:t>Royal Soc. of Antiq. of Ireland Jn</w:t>
      </w:r>
      <w:r>
        <w:t>., Ser 5. ix (1899), p. 127.</w:t>
      </w:r>
    </w:p>
  </w:endnote>
  <w:endnote w:id="66">
    <w:p w:rsidR="00000000" w:rsidRDefault="009F1A26">
      <w:pPr>
        <w:pStyle w:val="EndnoteText"/>
      </w:pPr>
      <w:r>
        <w:rPr>
          <w:rStyle w:val="EndnoteReference"/>
        </w:rPr>
        <w:endnoteRef/>
      </w:r>
      <w:r>
        <w:t xml:space="preserve"> </w:t>
      </w:r>
      <w:r>
        <w:rPr>
          <w:lang w:val="en-IE"/>
        </w:rPr>
        <w:t>Frideswide Rowland</w:t>
      </w:r>
      <w:r>
        <w:t xml:space="preserve">, chess column in </w:t>
      </w:r>
      <w:r>
        <w:rPr>
          <w:i/>
          <w:iCs/>
        </w:rPr>
        <w:t>Kingstown Society</w:t>
      </w:r>
      <w:r>
        <w:t>, Sept. 1899. For more on her role in promoting chess, see Timothy Hard</w:t>
      </w:r>
      <w:r>
        <w:t xml:space="preserve">ing, ‘Ireland’s Queen of Chess: Frideswide Rowland and her world’, in </w:t>
      </w:r>
      <w:r>
        <w:rPr>
          <w:i/>
          <w:iCs/>
        </w:rPr>
        <w:t>History Studies 6</w:t>
      </w:r>
      <w:r>
        <w:t xml:space="preserve"> (Limerick 2005), pp. 48-63. </w:t>
      </w:r>
    </w:p>
  </w:endnote>
  <w:endnote w:id="67">
    <w:p w:rsidR="00000000" w:rsidRDefault="009F1A26">
      <w:pPr>
        <w:pStyle w:val="EndnoteText"/>
      </w:pPr>
      <w:r>
        <w:rPr>
          <w:rStyle w:val="EndnoteReference"/>
        </w:rPr>
        <w:endnoteRef/>
      </w:r>
      <w:r>
        <w:t xml:space="preserve"> Jane Emily Herbert, </w:t>
      </w:r>
      <w:r>
        <w:rPr>
          <w:i/>
          <w:iCs/>
        </w:rPr>
        <w:t>A short history of Ireland from the earliest periods to the year 1798</w:t>
      </w:r>
      <w:r>
        <w:t xml:space="preserve"> (Dublin 1886). The Rowlands first referred to ‘</w:t>
      </w:r>
      <w:r>
        <w:t xml:space="preserve">Irish Chess of Olden Times’ items from this book in their </w:t>
      </w:r>
      <w:r>
        <w:rPr>
          <w:i/>
          <w:iCs/>
        </w:rPr>
        <w:t>Dublin Evening Mail</w:t>
      </w:r>
      <w:r>
        <w:t xml:space="preserve"> column on 24 Feb. 1887.</w:t>
      </w:r>
    </w:p>
  </w:endnote>
  <w:endnote w:id="68">
    <w:p w:rsidR="00000000" w:rsidRDefault="009F1A26">
      <w:pPr>
        <w:pStyle w:val="EndnoteText"/>
      </w:pPr>
      <w:r>
        <w:rPr>
          <w:rStyle w:val="EndnoteReference"/>
        </w:rPr>
        <w:endnoteRef/>
      </w:r>
      <w:r>
        <w:t xml:space="preserve"> </w:t>
      </w:r>
      <w:r>
        <w:rPr>
          <w:i/>
          <w:iCs/>
        </w:rPr>
        <w:t>Kingstown Society</w:t>
      </w:r>
      <w:r>
        <w:t>, Oct. 1899.</w:t>
      </w:r>
    </w:p>
  </w:endnote>
  <w:endnote w:id="69">
    <w:p w:rsidR="00000000" w:rsidRDefault="009F1A26">
      <w:pPr>
        <w:pStyle w:val="EndnoteText"/>
      </w:pPr>
      <w:r>
        <w:rPr>
          <w:rStyle w:val="EndnoteReference"/>
        </w:rPr>
        <w:endnoteRef/>
      </w:r>
      <w:r>
        <w:t xml:space="preserve"> The very first number (Jan. 1905) of Mrs Rowland’s magazine </w:t>
      </w:r>
      <w:r>
        <w:rPr>
          <w:i/>
          <w:iCs/>
        </w:rPr>
        <w:t>The Four-Leaved Shamrock</w:t>
      </w:r>
      <w:r>
        <w:t>, pp. 3-4, retold the Maelmordha/Mor</w:t>
      </w:r>
      <w:r>
        <w:t>ogh anecdote in terms of modern rules such as the double pawn advance, modern bishop and queen moves, and castling. Evidently she just composed a game to fit the old story. Then in issue 7 she repeated the myth that ‘Chess was established in Ireland in 143</w:t>
      </w:r>
      <w:r>
        <w:t>0 BC by Tuatha de Dannianx…’ etc.</w:t>
      </w:r>
    </w:p>
  </w:endnote>
  <w:endnote w:id="70">
    <w:p w:rsidR="00000000" w:rsidRDefault="009F1A26">
      <w:pPr>
        <w:pStyle w:val="EndnoteText"/>
      </w:pPr>
      <w:r>
        <w:rPr>
          <w:rStyle w:val="EndnoteReference"/>
        </w:rPr>
        <w:endnoteRef/>
      </w:r>
      <w:r>
        <w:t xml:space="preserve"> O’Halloran, </w:t>
      </w:r>
      <w:r>
        <w:rPr>
          <w:i/>
          <w:iCs/>
        </w:rPr>
        <w:t>Golden Ages</w:t>
      </w:r>
      <w:r>
        <w:t xml:space="preserve">, p. 185; Leerssen, </w:t>
      </w:r>
      <w:r>
        <w:rPr>
          <w:i/>
          <w:iCs/>
        </w:rPr>
        <w:t>Remembrance</w:t>
      </w:r>
      <w:r>
        <w:t xml:space="preserve">, p. 149, aptly refers to the </w:t>
      </w:r>
      <w:r>
        <w:rPr>
          <w:i/>
          <w:iCs/>
        </w:rPr>
        <w:t>machismo</w:t>
      </w:r>
      <w:r>
        <w:t xml:space="preserve"> in O’Grady’s versions of Irish history and on p. 153 he discusses the tension between O’Grady’s writing for popular and juvenil</w:t>
      </w:r>
      <w:r>
        <w:t>e audiences, and his attempts at more scholarly work, which ‘runs squarely into the intractable confusion between Irish myth and Irish historical fact’.</w:t>
      </w:r>
    </w:p>
  </w:endnote>
  <w:endnote w:id="71">
    <w:p w:rsidR="00000000" w:rsidRDefault="009F1A26">
      <w:pPr>
        <w:pStyle w:val="EndnoteText"/>
        <w:rPr>
          <w:i/>
          <w:iCs/>
        </w:rPr>
      </w:pPr>
      <w:r>
        <w:rPr>
          <w:rStyle w:val="EndnoteReference"/>
        </w:rPr>
        <w:endnoteRef/>
      </w:r>
      <w:r>
        <w:t xml:space="preserve"> Standish O'Grady, </w:t>
      </w:r>
      <w:r>
        <w:rPr>
          <w:rStyle w:val="BookTitle"/>
        </w:rPr>
        <w:t xml:space="preserve">Silva Gadelica (I-XXXI.): a collection of tales in Irish </w:t>
      </w:r>
      <w:r>
        <w:t xml:space="preserve">(London &amp; Edinburgh 1892; </w:t>
      </w:r>
      <w:r>
        <w:t xml:space="preserve">2 vols), ii, p. 250. Compare Whitley Stokes and Ernst Windisch, </w:t>
      </w:r>
      <w:r>
        <w:rPr>
          <w:i/>
          <w:iCs/>
        </w:rPr>
        <w:t>Irische Texte,</w:t>
      </w:r>
      <w:r>
        <w:t xml:space="preserve"> 4th series, 1</w:t>
      </w:r>
      <w:r>
        <w:rPr>
          <w:vertAlign w:val="superscript"/>
        </w:rPr>
        <w:t>st</w:t>
      </w:r>
      <w:r>
        <w:t xml:space="preserve"> volume (Leipzig 1900), lines 7052-7.</w:t>
      </w:r>
    </w:p>
  </w:endnote>
  <w:endnote w:id="72">
    <w:p w:rsidR="00000000" w:rsidRDefault="009F1A26">
      <w:pPr>
        <w:pStyle w:val="EndnoteText"/>
      </w:pPr>
      <w:r>
        <w:rPr>
          <w:rStyle w:val="EndnoteReference"/>
        </w:rPr>
        <w:endnoteRef/>
      </w:r>
      <w:r>
        <w:t xml:space="preserve"> This can also be seen by comparing Stokes &amp; Windisch, ibid, line 2169, which mentions two different games: </w:t>
      </w:r>
      <w:r>
        <w:rPr>
          <w:i/>
          <w:iCs/>
        </w:rPr>
        <w:t xml:space="preserve">Tri cét sciath </w:t>
      </w:r>
      <w:r>
        <w:rPr>
          <w:i/>
          <w:iCs/>
        </w:rPr>
        <w:t xml:space="preserve">ina tigh tall. Tri cét brandub is fi[d]chell. </w:t>
      </w:r>
      <w:r>
        <w:rPr>
          <w:lang w:val="en-IE"/>
        </w:rPr>
        <w:t>But instead of rendering this as 300 brandub sets and 300 fidchell sets, O'Grady (</w:t>
      </w:r>
      <w:r>
        <w:rPr>
          <w:i/>
          <w:iCs/>
          <w:lang w:val="en-IE"/>
        </w:rPr>
        <w:t>Silva</w:t>
      </w:r>
      <w:r>
        <w:rPr>
          <w:lang w:val="en-IE"/>
        </w:rPr>
        <w:t>, p.154) wrongly writes: ‘Three hundred shields there were within her house, three hundred sets of chess-men and three hund</w:t>
      </w:r>
      <w:r>
        <w:rPr>
          <w:lang w:val="en-IE"/>
        </w:rPr>
        <w:t>red boards’.</w:t>
      </w:r>
    </w:p>
  </w:endnote>
  <w:endnote w:id="73">
    <w:p w:rsidR="00000000" w:rsidRDefault="009F1A26">
      <w:pPr>
        <w:pStyle w:val="EndnoteText"/>
      </w:pPr>
      <w:r>
        <w:rPr>
          <w:rStyle w:val="EndnoteReference"/>
        </w:rPr>
        <w:endnoteRef/>
      </w:r>
      <w:r>
        <w:t xml:space="preserve"> Lady [Augusta], Gregory, </w:t>
      </w:r>
      <w:r>
        <w:rPr>
          <w:rStyle w:val="BookTitle"/>
        </w:rPr>
        <w:t xml:space="preserve">Cuchulain of Muirthemne: the story of the men of the Red Branch of Ulster </w:t>
      </w:r>
      <w:r>
        <w:t>(London 1902), p. 35.</w:t>
      </w:r>
    </w:p>
  </w:endnote>
  <w:endnote w:id="74">
    <w:p w:rsidR="00000000" w:rsidRDefault="009F1A26">
      <w:pPr>
        <w:pStyle w:val="EndnoteText"/>
      </w:pPr>
      <w:r>
        <w:rPr>
          <w:rStyle w:val="EndnoteReference"/>
        </w:rPr>
        <w:endnoteRef/>
      </w:r>
      <w:r>
        <w:t xml:space="preserve"> W. B. Yeats, </w:t>
      </w:r>
      <w:r>
        <w:rPr>
          <w:i/>
          <w:iCs/>
        </w:rPr>
        <w:t>Collected Plays</w:t>
      </w:r>
      <w:r>
        <w:t xml:space="preserve"> (Dublin 1934), especially p. 191. Yeats’s dedication (p. 170) says Mrs Patrick Campbell p</w:t>
      </w:r>
      <w:r>
        <w:t xml:space="preserve">layed the role of Deirdre in Dublin and London and Robert Gregory designed the set. </w:t>
      </w:r>
      <w:r>
        <w:rPr>
          <w:i/>
          <w:iCs/>
        </w:rPr>
        <w:t>Deirdre</w:t>
      </w:r>
      <w:r>
        <w:t xml:space="preserve"> was re-staged for the Yeats Festival at the Peacock Theatre, Dublin, in 1991.</w:t>
      </w:r>
    </w:p>
  </w:endnote>
  <w:endnote w:id="75">
    <w:p w:rsidR="00000000" w:rsidRDefault="009F1A26">
      <w:pPr>
        <w:pStyle w:val="EndnoteText"/>
      </w:pPr>
      <w:r>
        <w:rPr>
          <w:rStyle w:val="EndnoteReference"/>
        </w:rPr>
        <w:endnoteRef/>
      </w:r>
      <w:r>
        <w:t xml:space="preserve"> </w:t>
      </w:r>
      <w:r>
        <w:rPr>
          <w:i/>
          <w:iCs/>
        </w:rPr>
        <w:t>The Collected Letters of W. B. Yeats</w:t>
      </w:r>
      <w:r>
        <w:t xml:space="preserve"> (online resource) includes three unpublished le</w:t>
      </w:r>
      <w:r>
        <w:t>tters of Yeats on this topic, notably to Lady Gregory on 19 Dec. 1908.</w:t>
      </w:r>
    </w:p>
  </w:endnote>
  <w:endnote w:id="76">
    <w:p w:rsidR="00000000" w:rsidRDefault="009F1A26">
      <w:pPr>
        <w:pStyle w:val="EndnoteText"/>
      </w:pPr>
      <w:r>
        <w:rPr>
          <w:rStyle w:val="EndnoteReference"/>
        </w:rPr>
        <w:endnoteRef/>
      </w:r>
      <w:r>
        <w:t xml:space="preserve"> Gordon M. Wickstrom, ‘Legend focusing legend in Yeats’s </w:t>
      </w:r>
      <w:r>
        <w:rPr>
          <w:i/>
          <w:iCs/>
        </w:rPr>
        <w:t>Deirdre</w:t>
      </w:r>
      <w:r>
        <w:t xml:space="preserve">’, in </w:t>
      </w:r>
      <w:r>
        <w:rPr>
          <w:i/>
          <w:iCs/>
        </w:rPr>
        <w:t>Educational Theatre Journal,</w:t>
      </w:r>
      <w:r>
        <w:t xml:space="preserve"> xxx (no. 4, Dec. 1978), pp. 466-74.</w:t>
      </w:r>
    </w:p>
  </w:endnote>
  <w:endnote w:id="77">
    <w:p w:rsidR="00000000" w:rsidRDefault="009F1A26">
      <w:pPr>
        <w:pStyle w:val="EndnoteText"/>
      </w:pPr>
      <w:r>
        <w:rPr>
          <w:rStyle w:val="EndnoteReference"/>
        </w:rPr>
        <w:endnoteRef/>
      </w:r>
      <w:r>
        <w:t xml:space="preserve"> Other examples of writers on the topic are Albe</w:t>
      </w:r>
      <w:r>
        <w:t xml:space="preserve">rt Barry, ‘Chess in Ancient Ireland’, in </w:t>
      </w:r>
      <w:r>
        <w:rPr>
          <w:i/>
          <w:iCs/>
        </w:rPr>
        <w:t>New Ireland Review</w:t>
      </w:r>
      <w:r>
        <w:t xml:space="preserve">, xxi (May 1904), pp. 140-49, and </w:t>
      </w:r>
      <w:r>
        <w:rPr>
          <w:lang w:val="en-IE"/>
        </w:rPr>
        <w:t xml:space="preserve">P. W. Joyce, </w:t>
      </w:r>
      <w:r>
        <w:rPr>
          <w:i/>
          <w:iCs/>
          <w:lang w:val="en-IE"/>
        </w:rPr>
        <w:t>A social history of Ancient Ireland</w:t>
      </w:r>
      <w:r>
        <w:rPr>
          <w:lang w:val="en-IE"/>
        </w:rPr>
        <w:t xml:space="preserve"> (2 vols, London 1903), vol. 2, pp. 477-81 — and in his </w:t>
      </w:r>
      <w:r>
        <w:rPr>
          <w:i/>
          <w:iCs/>
          <w:lang w:val="en-IE"/>
        </w:rPr>
        <w:t>A Child’s History of Ireland</w:t>
      </w:r>
      <w:r>
        <w:rPr>
          <w:lang w:val="en-IE"/>
        </w:rPr>
        <w:t xml:space="preserve"> (Dublin 1907</w:t>
      </w:r>
      <w:r>
        <w:rPr>
          <w:i/>
          <w:iCs/>
          <w:lang w:val="en-IE"/>
        </w:rPr>
        <w:t>)</w:t>
      </w:r>
      <w:r>
        <w:rPr>
          <w:lang w:val="en-IE"/>
        </w:rPr>
        <w:t>, p. 32.</w:t>
      </w:r>
    </w:p>
  </w:endnote>
  <w:endnote w:id="78">
    <w:p w:rsidR="00000000" w:rsidRDefault="009F1A26">
      <w:pPr>
        <w:pStyle w:val="EndnoteText"/>
      </w:pPr>
      <w:r>
        <w:rPr>
          <w:rStyle w:val="EndnoteReference"/>
        </w:rPr>
        <w:endnoteRef/>
      </w:r>
      <w:r>
        <w:t xml:space="preserve"> </w:t>
      </w:r>
      <w:r>
        <w:rPr>
          <w:lang w:val="en-IE"/>
        </w:rPr>
        <w:t xml:space="preserve">A. A. </w:t>
      </w:r>
      <w:r>
        <w:rPr>
          <w:lang w:val="en-IE"/>
        </w:rPr>
        <w:t xml:space="preserve">MacDonnell, ‘Origin and Early History of Chess’, in the </w:t>
      </w:r>
      <w:r>
        <w:rPr>
          <w:i/>
          <w:iCs/>
          <w:lang w:val="en-IE"/>
        </w:rPr>
        <w:t>Journal of the Royal Asiatic Society</w:t>
      </w:r>
      <w:r>
        <w:rPr>
          <w:lang w:val="en-IE"/>
        </w:rPr>
        <w:t>, Jan. 1898, pp. 117-41.</w:t>
      </w:r>
    </w:p>
  </w:endnote>
  <w:endnote w:id="79">
    <w:p w:rsidR="00000000" w:rsidRDefault="009F1A26">
      <w:pPr>
        <w:pStyle w:val="EndnoteText"/>
      </w:pPr>
      <w:r>
        <w:rPr>
          <w:rStyle w:val="EndnoteReference"/>
        </w:rPr>
        <w:endnoteRef/>
      </w:r>
      <w:r>
        <w:t xml:space="preserve"> Arie van de Stoep, </w:t>
      </w:r>
      <w:r>
        <w:rPr>
          <w:rStyle w:val="BookTitle"/>
        </w:rPr>
        <w:t>A history of draughts: with a diachronic study of words for draughts, chess, backgammon and morris,</w:t>
      </w:r>
      <w:r>
        <w:rPr>
          <w:color w:val="000000"/>
          <w:szCs w:val="19"/>
        </w:rPr>
        <w:t xml:space="preserve"> translated by Moni</w:t>
      </w:r>
      <w:r>
        <w:rPr>
          <w:color w:val="000000"/>
          <w:szCs w:val="19"/>
        </w:rPr>
        <w:t>que de Meijer (Rockanje, Netherlands 1984)</w:t>
      </w:r>
      <w:r>
        <w:t>. The Murray papers in the Bodleian also include correspondence and essays on the history of draughts.</w:t>
      </w:r>
    </w:p>
  </w:endnote>
  <w:endnote w:id="80">
    <w:p w:rsidR="00000000" w:rsidRDefault="009F1A26">
      <w:pPr>
        <w:pStyle w:val="EndnoteText"/>
      </w:pPr>
      <w:r>
        <w:rPr>
          <w:rStyle w:val="EndnoteReference"/>
        </w:rPr>
        <w:endnoteRef/>
      </w:r>
      <w:r>
        <w:t xml:space="preserve"> Harold J. R. Murray, ‘Correspondence relating to chess &amp; draughts between Murray &amp; John White, 1900-1918’ (av</w:t>
      </w:r>
      <w:r>
        <w:t>ailable as two microfilms), Cleveland Public Library, John G. White Collection. The letters from White are also in MS H. J. Murray 167. Among the relevant letters are White to Murray on 6 Oct. 1904, 1 Nov. 1904, 7 Apr. 1905 and 21 Feb. 1906.</w:t>
      </w:r>
    </w:p>
  </w:endnote>
  <w:endnote w:id="81">
    <w:p w:rsidR="00000000" w:rsidRDefault="009F1A26">
      <w:pPr>
        <w:pStyle w:val="EndnoteText"/>
      </w:pPr>
      <w:r>
        <w:rPr>
          <w:rStyle w:val="EndnoteReference"/>
        </w:rPr>
        <w:endnoteRef/>
      </w:r>
      <w:r>
        <w:t xml:space="preserve"> For example,</w:t>
      </w:r>
      <w:r>
        <w:t xml:space="preserve"> </w:t>
      </w:r>
      <w:r>
        <w:rPr>
          <w:szCs w:val="24"/>
        </w:rPr>
        <w:t>Myles Dillon</w:t>
      </w:r>
      <w:r>
        <w:rPr>
          <w:lang w:val="en-IE"/>
        </w:rPr>
        <w:t xml:space="preserve">, in his edition of </w:t>
      </w:r>
      <w:r>
        <w:rPr>
          <w:i/>
          <w:iCs/>
        </w:rPr>
        <w:t xml:space="preserve">Lebor na Cert, </w:t>
      </w:r>
      <w:r>
        <w:rPr>
          <w:i/>
          <w:iCs/>
          <w:szCs w:val="24"/>
        </w:rPr>
        <w:t>The Book of Rights</w:t>
      </w:r>
      <w:r>
        <w:rPr>
          <w:szCs w:val="24"/>
        </w:rPr>
        <w:t xml:space="preserve"> (Dublin 1962), pp. 156-7, says</w:t>
      </w:r>
      <w:r>
        <w:rPr>
          <w:lang w:val="en-IE"/>
        </w:rPr>
        <w:t xml:space="preserve"> nothing about the word </w:t>
      </w:r>
      <w:r>
        <w:rPr>
          <w:i/>
          <w:iCs/>
          <w:lang w:val="en-IE"/>
        </w:rPr>
        <w:t>fidchell</w:t>
      </w:r>
      <w:r>
        <w:rPr>
          <w:lang w:val="en-IE"/>
        </w:rPr>
        <w:t xml:space="preserve"> and just repeats the conventional translation to ‘chess’.</w:t>
      </w:r>
    </w:p>
  </w:endnote>
  <w:endnote w:id="82">
    <w:p w:rsidR="00000000" w:rsidRDefault="009F1A26">
      <w:pPr>
        <w:pStyle w:val="EndnoteText"/>
      </w:pPr>
      <w:r>
        <w:rPr>
          <w:rStyle w:val="EndnoteReference"/>
        </w:rPr>
        <w:endnoteRef/>
      </w:r>
      <w:r>
        <w:t xml:space="preserve"> H. M. Gamer, ‘The Earliest Evidence of Chess in Western Literature</w:t>
      </w:r>
      <w:r>
        <w:t xml:space="preserve">: The Einsiedeln Verses’ in </w:t>
      </w:r>
      <w:r>
        <w:rPr>
          <w:i/>
          <w:iCs/>
        </w:rPr>
        <w:t xml:space="preserve">Speculum </w:t>
      </w:r>
      <w:r>
        <w:t>xxix, 4 (Oct. 1954) pp. 734-50.</w:t>
      </w:r>
    </w:p>
  </w:endnote>
  <w:endnote w:id="83">
    <w:p w:rsidR="00000000" w:rsidRDefault="009F1A26">
      <w:pPr>
        <w:pStyle w:val="EndnoteText"/>
      </w:pPr>
      <w:r>
        <w:rPr>
          <w:rStyle w:val="EndnoteReference"/>
        </w:rPr>
        <w:endnoteRef/>
      </w:r>
      <w:r>
        <w:t xml:space="preserve"> Eales, </w:t>
      </w:r>
      <w:r>
        <w:rPr>
          <w:i/>
        </w:rPr>
        <w:t>Chess</w:t>
      </w:r>
      <w:r>
        <w:rPr>
          <w:iCs/>
        </w:rPr>
        <w:t>, p</w:t>
      </w:r>
      <w:r>
        <w:t xml:space="preserve">. 49. Also </w:t>
      </w:r>
      <w:r>
        <w:rPr>
          <w:lang w:val="en-IE"/>
        </w:rPr>
        <w:t xml:space="preserve">Richard Eales, </w:t>
      </w:r>
      <w:r>
        <w:t xml:space="preserve">‘Changing cultures: the Reception of Chess into Western Europe in the Middle Ages’, in Irving Finkel (ed.), </w:t>
      </w:r>
      <w:r>
        <w:rPr>
          <w:i/>
          <w:iCs/>
        </w:rPr>
        <w:t>Ancient Board Games in Perspective</w:t>
      </w:r>
      <w:r>
        <w:t xml:space="preserve"> (</w:t>
      </w:r>
      <w:r>
        <w:t>London 2007), pp. 162-8. Unfortunately there is nothing on Celtic board-games in that substantial volume, which was based on a British Museum conference. For Murray’s notes on game-references in Welsh and Irish, see Oxf. Bodl. MS H. J. Murray 78.</w:t>
      </w:r>
    </w:p>
  </w:endnote>
  <w:endnote w:id="84">
    <w:p w:rsidR="00000000" w:rsidRDefault="009F1A26">
      <w:pPr>
        <w:pStyle w:val="EndnoteText"/>
      </w:pPr>
      <w:r>
        <w:rPr>
          <w:rStyle w:val="EndnoteReference"/>
        </w:rPr>
        <w:endnoteRef/>
      </w:r>
      <w:r>
        <w:t xml:space="preserve"> This ca</w:t>
      </w:r>
      <w:r>
        <w:t xml:space="preserve">n be seen in the National Museum of Ireland, Kildare Street, Dublin. H. O. Hencken originally wrote on the game-board in </w:t>
      </w:r>
      <w:r>
        <w:rPr>
          <w:i/>
          <w:iCs/>
        </w:rPr>
        <w:t>Acta Archaelogica</w:t>
      </w:r>
      <w:r>
        <w:t>,</w:t>
      </w:r>
      <w:r>
        <w:rPr>
          <w:i/>
          <w:iCs/>
        </w:rPr>
        <w:t xml:space="preserve"> </w:t>
      </w:r>
      <w:r>
        <w:t xml:space="preserve">iv (1933) pp. 85-104. Slightly rewritten and updated, it forms part of a longer article on the crannog in </w:t>
      </w:r>
      <w:r>
        <w:rPr>
          <w:i/>
          <w:iCs/>
        </w:rPr>
        <w:t>Proceeding</w:t>
      </w:r>
      <w:r>
        <w:rPr>
          <w:i/>
          <w:iCs/>
        </w:rPr>
        <w:t>s of the Royal Irish Academy</w:t>
      </w:r>
      <w:r>
        <w:t xml:space="preserve">, 43C (1936), pp. 103-239. Ruth Johnson challenged some of his conclusions in ‘Ballinderry Crannóg No. 1: A Reinterpretation’ in </w:t>
      </w:r>
      <w:r>
        <w:rPr>
          <w:i/>
          <w:iCs/>
        </w:rPr>
        <w:t>Proceedings of the Royal Irish Academy, 99C, 23-71 (1999)</w:t>
      </w:r>
      <w:r>
        <w:t xml:space="preserve"> pp. 46-71, especially pp. 47-56.</w:t>
      </w:r>
    </w:p>
  </w:endnote>
  <w:endnote w:id="85">
    <w:p w:rsidR="00000000" w:rsidRDefault="009F1A26">
      <w:pPr>
        <w:pStyle w:val="EndnoteText"/>
      </w:pPr>
      <w:r>
        <w:rPr>
          <w:rStyle w:val="EndnoteReference"/>
        </w:rPr>
        <w:endnoteRef/>
      </w:r>
      <w:r>
        <w:t xml:space="preserve"> Serend</w:t>
      </w:r>
      <w:r>
        <w:t xml:space="preserve">ipity enabled Murray to solve the problem that had baffled Fiske, as he explained in a letter to John G. White on 10 Apr. 1910: </w:t>
      </w:r>
      <w:r>
        <w:rPr>
          <w:lang w:val="en-IE"/>
        </w:rPr>
        <w:t>‘by an extraordinary chance, I have lighted upon the solution’. A Cambridge book-barrow man spotted something he knew would inte</w:t>
      </w:r>
      <w:r>
        <w:rPr>
          <w:lang w:val="en-IE"/>
        </w:rPr>
        <w:t xml:space="preserve">rest Murray: James Edward Smith’s edition of Linnaeus’s diary on his Lappland tour with the account of </w:t>
      </w:r>
      <w:r>
        <w:rPr>
          <w:i/>
          <w:iCs/>
          <w:lang w:val="en-IE"/>
        </w:rPr>
        <w:t>tablut</w:t>
      </w:r>
      <w:r>
        <w:rPr>
          <w:lang w:val="en-IE"/>
        </w:rPr>
        <w:t>.</w:t>
      </w:r>
    </w:p>
  </w:endnote>
  <w:endnote w:id="86">
    <w:p w:rsidR="00000000" w:rsidRDefault="009F1A26">
      <w:pPr>
        <w:pStyle w:val="EndnoteText"/>
      </w:pPr>
      <w:r>
        <w:rPr>
          <w:rStyle w:val="EndnoteReference"/>
        </w:rPr>
        <w:endnoteRef/>
      </w:r>
      <w:r>
        <w:t xml:space="preserve"> </w:t>
      </w:r>
      <w:r>
        <w:rPr>
          <w:lang w:val="en-IE"/>
        </w:rPr>
        <w:t xml:space="preserve">‘Chess in ancient Ireland’ by P. T. McGinley, president of the Colmcille Chess Club, Dublin, with an afterword by Harold Murray, in </w:t>
      </w:r>
      <w:r>
        <w:rPr>
          <w:i/>
          <w:iCs/>
          <w:lang w:val="en-IE"/>
        </w:rPr>
        <w:t>B.C.M.</w:t>
      </w:r>
      <w:r>
        <w:rPr>
          <w:lang w:val="en-IE"/>
        </w:rPr>
        <w:t>, lii</w:t>
      </w:r>
      <w:r>
        <w:rPr>
          <w:lang w:val="en-IE"/>
        </w:rPr>
        <w:t>i (Dec. 1933), pp. 501-4.</w:t>
      </w:r>
    </w:p>
  </w:endnote>
  <w:endnote w:id="87">
    <w:p w:rsidR="00000000" w:rsidRDefault="009F1A26">
      <w:pPr>
        <w:pStyle w:val="EndnoteText"/>
      </w:pPr>
      <w:r>
        <w:rPr>
          <w:rStyle w:val="EndnoteReference"/>
        </w:rPr>
        <w:endnoteRef/>
      </w:r>
      <w:r>
        <w:t xml:space="preserve"> Frank Lewis, ‘Gwerin Ffristial a Thawlbwrdd’, in </w:t>
      </w:r>
      <w:r>
        <w:rPr>
          <w:i/>
          <w:iCs/>
        </w:rPr>
        <w:t>Transactions of the Honourable Society of Cymmrodorion</w:t>
      </w:r>
      <w:r>
        <w:t>, Session 1941 (London 1943), pp. 185-205. This paper is mostly in English.</w:t>
      </w:r>
    </w:p>
  </w:endnote>
  <w:endnote w:id="88">
    <w:p w:rsidR="00000000" w:rsidRDefault="009F1A26">
      <w:pPr>
        <w:pStyle w:val="EndnoteText"/>
      </w:pPr>
      <w:r>
        <w:rPr>
          <w:rStyle w:val="EndnoteReference"/>
        </w:rPr>
        <w:endnoteRef/>
      </w:r>
      <w:r>
        <w:t xml:space="preserve"> Aneurin Owen (ed), </w:t>
      </w:r>
      <w:r>
        <w:rPr>
          <w:i/>
          <w:iCs/>
        </w:rPr>
        <w:t xml:space="preserve">Ancient Laws and Institutes </w:t>
      </w:r>
      <w:r>
        <w:rPr>
          <w:i/>
          <w:iCs/>
        </w:rPr>
        <w:t>of Wales</w:t>
      </w:r>
      <w:r>
        <w:t xml:space="preserve"> (London 1841, 2 vols).</w:t>
      </w:r>
    </w:p>
  </w:endnote>
  <w:endnote w:id="89">
    <w:p w:rsidR="00000000" w:rsidRDefault="009F1A26">
      <w:pPr>
        <w:pStyle w:val="EndnoteText"/>
      </w:pPr>
      <w:r>
        <w:rPr>
          <w:rStyle w:val="EndnoteReference"/>
        </w:rPr>
        <w:endnoteRef/>
      </w:r>
      <w:r>
        <w:t xml:space="preserve"> Peniarth MS 158, p. 4 in Welsh Nat. Library; translation in Harold Murray, </w:t>
      </w:r>
      <w:r>
        <w:rPr>
          <w:rStyle w:val="BookTitle"/>
        </w:rPr>
        <w:t>A History of Board-Games Other than chess</w:t>
      </w:r>
      <w:r>
        <w:t xml:space="preserve"> (Oxford 1952)</w:t>
      </w:r>
      <w:r>
        <w:rPr>
          <w:i/>
          <w:iCs/>
        </w:rPr>
        <w:t>,</w:t>
      </w:r>
      <w:r>
        <w:t xml:space="preserve"> p. 63.</w:t>
      </w:r>
    </w:p>
  </w:endnote>
  <w:endnote w:id="90">
    <w:p w:rsidR="00000000" w:rsidRDefault="009F1A26">
      <w:pPr>
        <w:pStyle w:val="EndnoteText"/>
      </w:pPr>
      <w:r>
        <w:rPr>
          <w:rStyle w:val="EndnoteReference"/>
        </w:rPr>
        <w:endnoteRef/>
      </w:r>
      <w:r>
        <w:t xml:space="preserve"> In </w:t>
      </w:r>
      <w:r>
        <w:rPr>
          <w:i/>
          <w:iCs/>
        </w:rPr>
        <w:t>Hrervar’s Saga</w:t>
      </w:r>
      <w:r>
        <w:t xml:space="preserve"> and </w:t>
      </w:r>
      <w:r>
        <w:rPr>
          <w:i/>
          <w:iCs/>
        </w:rPr>
        <w:t>Friðþjof’s Saga</w:t>
      </w:r>
      <w:r>
        <w:t>; Murray cited an English version in E. Magn</w:t>
      </w:r>
      <w:r>
        <w:t xml:space="preserve">usson and W. Morris, </w:t>
      </w:r>
      <w:r>
        <w:rPr>
          <w:i/>
          <w:iCs/>
        </w:rPr>
        <w:t>Three Northern Love Stories</w:t>
      </w:r>
      <w:r>
        <w:t xml:space="preserve"> (London 1875), p. 73.</w:t>
      </w:r>
    </w:p>
  </w:endnote>
  <w:endnote w:id="91">
    <w:p w:rsidR="00000000" w:rsidRDefault="009F1A26">
      <w:pPr>
        <w:pStyle w:val="EndnoteText"/>
      </w:pPr>
      <w:r>
        <w:rPr>
          <w:rStyle w:val="EndnoteReference"/>
        </w:rPr>
        <w:endnoteRef/>
      </w:r>
      <w:r>
        <w:t xml:space="preserve"> Lewis to Murray, 28 May 1946, in Oxf. Bodl. MS H. J. Murray 159.</w:t>
      </w:r>
    </w:p>
  </w:endnote>
  <w:endnote w:id="92">
    <w:p w:rsidR="00000000" w:rsidRDefault="009F1A26">
      <w:pPr>
        <w:pStyle w:val="EndnoteText"/>
      </w:pPr>
      <w:r>
        <w:rPr>
          <w:rStyle w:val="EndnoteReference"/>
        </w:rPr>
        <w:endnoteRef/>
      </w:r>
      <w:r>
        <w:t xml:space="preserve"> Eóin MacWhite, ‘Early Irish Board Games’, in </w:t>
      </w:r>
      <w:r>
        <w:rPr>
          <w:i/>
          <w:iCs/>
        </w:rPr>
        <w:t>Éigse: A Journal of Irish Studies</w:t>
      </w:r>
      <w:r>
        <w:t>, v (for 1945-7), pp. 25-35.</w:t>
      </w:r>
    </w:p>
  </w:endnote>
  <w:endnote w:id="93">
    <w:p w:rsidR="00000000" w:rsidRDefault="009F1A26">
      <w:pPr>
        <w:pStyle w:val="EndnoteText"/>
      </w:pPr>
      <w:r>
        <w:rPr>
          <w:rStyle w:val="EndnoteReference"/>
        </w:rPr>
        <w:endnoteRef/>
      </w:r>
      <w:r>
        <w:t xml:space="preserve"> J. G. O</w:t>
      </w:r>
      <w:r>
        <w:t xml:space="preserve">’Keeffe (ed.), ‘Mac da Cherda and Cummaine Fota’, in </w:t>
      </w:r>
      <w:r>
        <w:rPr>
          <w:i/>
          <w:iCs/>
        </w:rPr>
        <w:t>Ĕriu</w:t>
      </w:r>
      <w:r>
        <w:t xml:space="preserve"> v. (1911), pp. 32-3.</w:t>
      </w:r>
    </w:p>
  </w:endnote>
  <w:endnote w:id="94">
    <w:p w:rsidR="00000000" w:rsidRDefault="009F1A26">
      <w:pPr>
        <w:pStyle w:val="EndnoteText"/>
      </w:pPr>
      <w:r>
        <w:rPr>
          <w:rStyle w:val="EndnoteReference"/>
        </w:rPr>
        <w:endnoteRef/>
      </w:r>
      <w:r>
        <w:t xml:space="preserve"> E. Knott (ed.), </w:t>
      </w:r>
      <w:r>
        <w:rPr>
          <w:i/>
          <w:iCs/>
        </w:rPr>
        <w:t>The Bardic Poems of Tadgh Dall Ó hUiginn</w:t>
      </w:r>
      <w:r>
        <w:t xml:space="preserve"> (London 1926) ii, pp. 198-9.</w:t>
      </w:r>
    </w:p>
  </w:endnote>
  <w:endnote w:id="95">
    <w:p w:rsidR="00000000" w:rsidRDefault="009F1A26">
      <w:pPr>
        <w:pStyle w:val="EndnoteText"/>
      </w:pPr>
      <w:r>
        <w:rPr>
          <w:rStyle w:val="EndnoteReference"/>
        </w:rPr>
        <w:endnoteRef/>
      </w:r>
      <w:r>
        <w:t xml:space="preserve"> </w:t>
      </w:r>
      <w:r>
        <w:rPr>
          <w:lang w:val="en-IE"/>
        </w:rPr>
        <w:t xml:space="preserve">Murray wrongly believed that </w:t>
      </w:r>
      <w:r>
        <w:t xml:space="preserve">there was another game called </w:t>
      </w:r>
      <w:r>
        <w:rPr>
          <w:i/>
          <w:iCs/>
        </w:rPr>
        <w:t>cennchaem Conchobair</w:t>
      </w:r>
      <w:r>
        <w:rPr>
          <w:iCs/>
        </w:rPr>
        <w:t>, becaus</w:t>
      </w:r>
      <w:r>
        <w:rPr>
          <w:iCs/>
        </w:rPr>
        <w:t>e</w:t>
      </w:r>
      <w:r>
        <w:t xml:space="preserve"> he mistook the proper name of Connor’s </w:t>
      </w:r>
      <w:r>
        <w:rPr>
          <w:i/>
          <w:iCs/>
        </w:rPr>
        <w:t>fidchell</w:t>
      </w:r>
      <w:r>
        <w:t xml:space="preserve"> set for a game-name. That mistake appeared in his 1933 letter to </w:t>
      </w:r>
      <w:r>
        <w:rPr>
          <w:i/>
          <w:iCs/>
        </w:rPr>
        <w:t>B.C.M.</w:t>
      </w:r>
      <w:r>
        <w:t xml:space="preserve"> (see n80) and was repeated in </w:t>
      </w:r>
      <w:r>
        <w:rPr>
          <w:i/>
          <w:iCs/>
        </w:rPr>
        <w:t>Board-games</w:t>
      </w:r>
      <w:r>
        <w:t>, p. 35. MacWhite pointed out the mistake both in his article and in his review of Murray’s b</w:t>
      </w:r>
      <w:r>
        <w:t xml:space="preserve">ook in </w:t>
      </w:r>
      <w:r>
        <w:rPr>
          <w:i/>
          <w:iCs/>
        </w:rPr>
        <w:t xml:space="preserve">Anthropos </w:t>
      </w:r>
      <w:r>
        <w:t>48 (1953), pp. 1005-6.</w:t>
      </w:r>
    </w:p>
  </w:endnote>
  <w:endnote w:id="96">
    <w:p w:rsidR="00000000" w:rsidRDefault="009F1A26">
      <w:pPr>
        <w:pStyle w:val="EndnoteText"/>
      </w:pPr>
      <w:r>
        <w:rPr>
          <w:rStyle w:val="EndnoteReference"/>
        </w:rPr>
        <w:endnoteRef/>
      </w:r>
      <w:r>
        <w:t xml:space="preserve"> Cecile O’Rahilly, </w:t>
      </w:r>
      <w:r>
        <w:rPr>
          <w:i/>
          <w:iCs/>
        </w:rPr>
        <w:t>Táin Bo Cualgne from the Book of Leinster</w:t>
      </w:r>
      <w:r>
        <w:rPr>
          <w:iCs/>
        </w:rPr>
        <w:t xml:space="preserve"> (Dublin 1970)</w:t>
      </w:r>
      <w:r>
        <w:t>, p. 182:</w:t>
      </w:r>
      <w:r>
        <w:rPr>
          <w:lang w:val="en-IE"/>
        </w:rPr>
        <w:t xml:space="preserve"> ‘No one came into the plain unnoticed by Láeg and yet he used to win every second game of </w:t>
      </w:r>
      <w:r>
        <w:rPr>
          <w:i/>
          <w:iCs/>
          <w:lang w:val="en-IE"/>
        </w:rPr>
        <w:t>búanbach</w:t>
      </w:r>
      <w:r>
        <w:rPr>
          <w:lang w:val="en-IE"/>
        </w:rPr>
        <w:t xml:space="preserve"> from Cú Chulainn’.</w:t>
      </w:r>
    </w:p>
  </w:endnote>
  <w:endnote w:id="97">
    <w:p w:rsidR="00000000" w:rsidRDefault="009F1A26">
      <w:pPr>
        <w:pStyle w:val="EndnoteText"/>
      </w:pPr>
      <w:r>
        <w:rPr>
          <w:rStyle w:val="EndnoteReference"/>
        </w:rPr>
        <w:endnoteRef/>
      </w:r>
      <w:r>
        <w:t xml:space="preserve"> </w:t>
      </w:r>
      <w:r>
        <w:rPr>
          <w:lang w:val="en-IE"/>
        </w:rPr>
        <w:t>Claude Ster</w:t>
      </w:r>
      <w:r>
        <w:rPr>
          <w:lang w:val="en-IE"/>
        </w:rPr>
        <w:t xml:space="preserve">ckx, ‘Les Jeux de damiers celtiques’ in </w:t>
      </w:r>
      <w:r>
        <w:rPr>
          <w:i/>
          <w:lang w:val="en-IE"/>
        </w:rPr>
        <w:t>Annales de Bretagne, 77 (4),</w:t>
      </w:r>
      <w:r>
        <w:rPr>
          <w:lang w:val="en-IE"/>
        </w:rPr>
        <w:t xml:space="preserve"> (Rennes, 1970), pp. 597-609. The library of the Royal Irish Academy has an offprint.</w:t>
      </w:r>
    </w:p>
  </w:endnote>
  <w:endnote w:id="98">
    <w:p w:rsidR="00000000" w:rsidRDefault="009F1A26">
      <w:pPr>
        <w:pStyle w:val="EndnoteText"/>
      </w:pPr>
      <w:r>
        <w:rPr>
          <w:rStyle w:val="EndnoteReference"/>
        </w:rPr>
        <w:endnoteRef/>
      </w:r>
      <w:r>
        <w:t xml:space="preserve"> Sterck,</w:t>
      </w:r>
      <w:r>
        <w:rPr>
          <w:i/>
          <w:iCs/>
        </w:rPr>
        <w:t xml:space="preserve"> Jeux</w:t>
      </w:r>
      <w:r>
        <w:t>, p. 599: ‘</w:t>
      </w:r>
      <w:r>
        <w:rPr>
          <w:i/>
          <w:iCs/>
        </w:rPr>
        <w:t xml:space="preserve">Le fait que ces noms été appliqués au jeu d’échecs dès son introduction dans </w:t>
      </w:r>
      <w:r>
        <w:rPr>
          <w:i/>
          <w:iCs/>
        </w:rPr>
        <w:t>les pays celtiques, et qu’il le désigne encore aujourd’hui, a malheuresement trop longtemps entraîné traducteurs et commentateurs des vieux textes à n’accorder aucune attention aux passages où ils ont été cités, et à y voir aussi systématiquement qu’erroné</w:t>
      </w:r>
      <w:r>
        <w:rPr>
          <w:i/>
          <w:iCs/>
        </w:rPr>
        <w:t>ment le jeu d’échecs classique</w:t>
      </w:r>
      <w:r>
        <w:t>.’</w:t>
      </w:r>
    </w:p>
  </w:endnote>
  <w:endnote w:id="99">
    <w:p w:rsidR="00000000" w:rsidRDefault="009F1A26">
      <w:pPr>
        <w:pStyle w:val="EndnoteText"/>
      </w:pPr>
      <w:r>
        <w:rPr>
          <w:rStyle w:val="EndnoteReference"/>
        </w:rPr>
        <w:endnoteRef/>
      </w:r>
      <w:r>
        <w:t xml:space="preserve"> Sterckx, ‘Jeux’, p. 602. Comparison with the Lewis article shows the mistake clearly.</w:t>
      </w:r>
    </w:p>
  </w:endnote>
  <w:endnote w:id="100">
    <w:p w:rsidR="00000000" w:rsidRDefault="009F1A26">
      <w:pPr>
        <w:pStyle w:val="EndnoteText"/>
      </w:pPr>
      <w:r>
        <w:rPr>
          <w:rStyle w:val="EndnoteReference"/>
        </w:rPr>
        <w:endnoteRef/>
      </w:r>
      <w:r>
        <w:t xml:space="preserve"> Sterckx, ‘Jeux’, p. 605.</w:t>
      </w:r>
    </w:p>
  </w:endnote>
  <w:endnote w:id="101">
    <w:p w:rsidR="00000000" w:rsidRDefault="009F1A26">
      <w:pPr>
        <w:pStyle w:val="EndnoteText"/>
      </w:pPr>
      <w:r>
        <w:rPr>
          <w:rStyle w:val="EndnoteReference"/>
        </w:rPr>
        <w:endnoteRef/>
      </w:r>
      <w:r>
        <w:t xml:space="preserve"> Catherine Marie O’Sullivan, </w:t>
      </w:r>
      <w:r>
        <w:rPr>
          <w:i/>
          <w:iCs/>
        </w:rPr>
        <w:t>Hospitality in Medieval Ireland 900-1500</w:t>
      </w:r>
      <w:r>
        <w:t xml:space="preserve"> (Dublin 2004), p. 239.</w:t>
      </w:r>
    </w:p>
  </w:endnote>
  <w:endnote w:id="102">
    <w:p w:rsidR="00000000" w:rsidRDefault="009F1A26">
      <w:pPr>
        <w:pStyle w:val="EndnoteText"/>
      </w:pPr>
      <w:r>
        <w:rPr>
          <w:rStyle w:val="EndnoteReference"/>
        </w:rPr>
        <w:endnoteRef/>
      </w:r>
      <w:r>
        <w:t xml:space="preserve"> Angela Gleas</w:t>
      </w:r>
      <w:r>
        <w:t>on, ‘</w:t>
      </w:r>
      <w:r>
        <w:rPr>
          <w:iCs/>
          <w:lang w:val="en-IE"/>
        </w:rPr>
        <w:t>Entertainment in Early Ireland’</w:t>
      </w:r>
      <w:r>
        <w:rPr>
          <w:i/>
          <w:lang w:val="en-IE"/>
        </w:rPr>
        <w:t xml:space="preserve"> </w:t>
      </w:r>
      <w:r>
        <w:rPr>
          <w:lang w:val="en-IE"/>
        </w:rPr>
        <w:t>(unpublished Ph. D. thesis, University of Dublin, 2002), p</w:t>
      </w:r>
      <w:r>
        <w:t>. 310.</w:t>
      </w:r>
    </w:p>
  </w:endnote>
  <w:endnote w:id="103">
    <w:p w:rsidR="00000000" w:rsidRDefault="009F1A26">
      <w:pPr>
        <w:pStyle w:val="EndnoteText"/>
      </w:pPr>
      <w:r>
        <w:rPr>
          <w:rStyle w:val="EndnoteReference"/>
        </w:rPr>
        <w:endnoteRef/>
      </w:r>
      <w:r>
        <w:t xml:space="preserve"> MacWhite, ‘Games’, p. 29; Trí</w:t>
      </w:r>
      <w:r>
        <w:rPr>
          <w:i/>
          <w:iCs/>
        </w:rPr>
        <w:t xml:space="preserve"> Bior-Ghoithe an Bháis</w:t>
      </w:r>
      <w:r>
        <w:t xml:space="preserve"> (‘The Three Shafts of Death’) by Geoffrey Keating, 2</w:t>
      </w:r>
      <w:r>
        <w:rPr>
          <w:vertAlign w:val="superscript"/>
        </w:rPr>
        <w:t>nd</w:t>
      </w:r>
      <w:r>
        <w:t xml:space="preserve"> ed with introduction, indices and glossary by</w:t>
      </w:r>
      <w:r>
        <w:t xml:space="preserve"> Osborn Bergin (Dublin &amp; London 1931), p. 30, line 852 et seq. The origin of the ‘Innocent Morality’, on which this passage is modelled, is discussed by Eales, </w:t>
      </w:r>
      <w:r>
        <w:rPr>
          <w:i/>
          <w:iCs/>
        </w:rPr>
        <w:t>Chess</w:t>
      </w:r>
      <w:r>
        <w:t>, pp. 64-5.</w:t>
      </w:r>
    </w:p>
  </w:endnote>
  <w:endnote w:id="104">
    <w:p w:rsidR="00000000" w:rsidRDefault="009F1A26">
      <w:pPr>
        <w:pStyle w:val="EndnoteText"/>
      </w:pPr>
      <w:r>
        <w:rPr>
          <w:rStyle w:val="EndnoteReference"/>
        </w:rPr>
        <w:endnoteRef/>
      </w:r>
      <w:r>
        <w:t xml:space="preserve"> See, for example, Comerford, </w:t>
      </w:r>
      <w:r>
        <w:rPr>
          <w:i/>
          <w:iCs/>
        </w:rPr>
        <w:t>Ireland</w:t>
      </w:r>
      <w:r>
        <w:t>, Chapter 7, especially p. 213.</w:t>
      </w:r>
    </w:p>
  </w:endnote>
  <w:endnote w:id="105">
    <w:p w:rsidR="00000000" w:rsidRDefault="009F1A26">
      <w:pPr>
        <w:pStyle w:val="EndnoteText"/>
      </w:pPr>
      <w:r>
        <w:rPr>
          <w:rStyle w:val="EndnoteReference"/>
        </w:rPr>
        <w:endnoteRef/>
      </w:r>
      <w:r>
        <w:t xml:space="preserve"> Neil Ga</w:t>
      </w:r>
      <w:r>
        <w:t xml:space="preserve">rnham, ‘Accounting for the early success of the Gaelic Athletic Association’, in </w:t>
      </w:r>
      <w:r>
        <w:rPr>
          <w:i/>
          <w:iCs/>
        </w:rPr>
        <w:t>Irish Historical Studies</w:t>
      </w:r>
      <w:r>
        <w:t>, xxxiv:133 (May 2004) pp. 65-78 (especially pp. 75-6).</w:t>
      </w:r>
    </w:p>
  </w:endnote>
  <w:endnote w:id="106">
    <w:p w:rsidR="00000000" w:rsidRDefault="009F1A26">
      <w:pPr>
        <w:pStyle w:val="EndnoteText"/>
      </w:pPr>
      <w:r>
        <w:rPr>
          <w:rStyle w:val="EndnoteReference"/>
        </w:rPr>
        <w:endnoteRef/>
      </w:r>
      <w:r>
        <w:t xml:space="preserve"> </w:t>
      </w:r>
      <w:r>
        <w:rPr>
          <w:lang w:val="en-IE"/>
        </w:rPr>
        <w:t>Joep Leerssen, ‘The Cultivation of Culture: Towards a Definition of Romantic Nationalism in E</w:t>
      </w:r>
      <w:r>
        <w:rPr>
          <w:lang w:val="en-IE"/>
        </w:rPr>
        <w:t>urope’ (Working Papers European Studies Amsterdam: 2, 2005), p. 4. This article was found online at http://cf.hum.uva.nl/~eurstu/pdf/wpesa2.pdf (downloaded 10 Oct. 2008).</w:t>
      </w:r>
    </w:p>
  </w:endnote>
  <w:endnote w:id="107">
    <w:p w:rsidR="00000000" w:rsidRDefault="009F1A26">
      <w:pPr>
        <w:pStyle w:val="EndnoteText"/>
      </w:pPr>
      <w:r>
        <w:rPr>
          <w:rStyle w:val="EndnoteReference"/>
        </w:rPr>
        <w:endnoteRef/>
      </w:r>
      <w:r>
        <w:t xml:space="preserve"> Leerssen, ‘Culture’, p. 10.</w:t>
      </w:r>
    </w:p>
  </w:endnote>
  <w:endnote w:id="108">
    <w:p w:rsidR="00000000" w:rsidRDefault="009F1A26">
      <w:pPr>
        <w:pStyle w:val="EndnoteText"/>
      </w:pPr>
      <w:r>
        <w:rPr>
          <w:rStyle w:val="EndnoteReference"/>
        </w:rPr>
        <w:endnoteRef/>
      </w:r>
      <w:r>
        <w:t xml:space="preserve"> Anthony D. Smith, </w:t>
      </w:r>
      <w:r>
        <w:rPr>
          <w:i/>
          <w:iCs/>
        </w:rPr>
        <w:t>Nationalism and modernism. A critic</w:t>
      </w:r>
      <w:r>
        <w:rPr>
          <w:i/>
          <w:iCs/>
        </w:rPr>
        <w:t>al survey of recent theories of nations and nationalism</w:t>
      </w:r>
      <w:r>
        <w:t xml:space="preserve"> (London 1998), p. 56; cited by Leerssen, ‘Culture’, p. 10.</w:t>
      </w:r>
    </w:p>
  </w:endnote>
  <w:endnote w:id="109">
    <w:p w:rsidR="00000000" w:rsidRDefault="009F1A26">
      <w:pPr>
        <w:pStyle w:val="EndnoteText"/>
      </w:pPr>
      <w:r>
        <w:rPr>
          <w:rStyle w:val="EndnoteReference"/>
        </w:rPr>
        <w:endnoteRef/>
      </w:r>
      <w:r>
        <w:t xml:space="preserve"> Leerssen, ‘Culture’, table on p. 29.</w:t>
      </w:r>
    </w:p>
  </w:endnote>
  <w:endnote w:id="110">
    <w:p w:rsidR="00000000" w:rsidRDefault="009F1A26">
      <w:pPr>
        <w:pStyle w:val="EndnoteText"/>
      </w:pPr>
      <w:r>
        <w:rPr>
          <w:rStyle w:val="EndnoteReference"/>
        </w:rPr>
        <w:endnoteRef/>
      </w:r>
      <w:r>
        <w:t xml:space="preserve"> Philip Crummy, ‘Colchester: The Stanway burials’ in </w:t>
      </w:r>
      <w:r>
        <w:rPr>
          <w:i/>
          <w:iCs/>
        </w:rPr>
        <w:t>Current Archaeology</w:t>
      </w:r>
      <w:r>
        <w:t xml:space="preserve"> 153 (London, July 1997), pp.</w:t>
      </w:r>
      <w:r>
        <w:t xml:space="preserve"> 337-42.</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F1A26">
    <w:pPr>
      <w:pStyle w:val="Footer"/>
      <w:rPr>
        <w:rFonts w:cs="Arial"/>
        <w:lang w:val="en-IE"/>
      </w:rP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3B0CA1">
      <w:rPr>
        <w:rStyle w:val="PageNumber"/>
        <w:rFonts w:cs="Arial"/>
        <w:noProof/>
      </w:rPr>
      <w:t>30</w:t>
    </w:r>
    <w:r>
      <w:rPr>
        <w:rStyle w:val="PageNumber"/>
        <w:rFonts w:cs="Arial"/>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F1A26">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3B0CA1">
      <w:rPr>
        <w:rStyle w:val="PageNumber"/>
        <w:rFonts w:cs="Arial"/>
        <w:noProof/>
      </w:rPr>
      <w:t>1</w:t>
    </w:r>
    <w:r>
      <w:rPr>
        <w:rStyle w:val="PageNumber"/>
        <w:rFonts w:cs="Arial"/>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A26" w:rsidRDefault="009F1A26">
      <w:r>
        <w:separator/>
      </w:r>
    </w:p>
  </w:footnote>
  <w:footnote w:type="continuationSeparator" w:id="0">
    <w:p w:rsidR="009F1A26" w:rsidRDefault="009F1A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F1A26">
    <w:pPr>
      <w:pStyle w:val="Header"/>
    </w:pPr>
    <w:r>
      <w:t>‘Fenian Pastime’: Timothy Harding second writing sample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A214F"/>
    <w:multiLevelType w:val="hybridMultilevel"/>
    <w:tmpl w:val="C8F4C8FE"/>
    <w:lvl w:ilvl="0" w:tplc="E04E97A2">
      <w:start w:val="1"/>
      <w:numFmt w:val="lowerRoman"/>
      <w:lvlText w:val="%1)"/>
      <w:lvlJc w:val="left"/>
      <w:pPr>
        <w:tabs>
          <w:tab w:val="num" w:pos="1362"/>
        </w:tabs>
        <w:ind w:left="1362" w:hanging="795"/>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5"/>
  <w:attachedTemplate r:id="rId1"/>
  <w:doNotTrackMoves/>
  <w:defaultTabStop w:val="720"/>
  <w:noPunctuationKerning/>
  <w:characterSpacingControl w:val="doNotCompress"/>
  <w:footnotePr>
    <w:footnote w:id="-1"/>
    <w:footnote w:id="0"/>
  </w:footnotePr>
  <w:endnotePr>
    <w:numFmt w:val="decimal"/>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B0CA1"/>
    <w:rsid w:val="003B0CA1"/>
    <w:rsid w:val="009F1A26"/>
  </w:rsids>
  <m:mathPr>
    <m:mathFont m:val="Cambria Math"/>
    <m:brkBin m:val="before"/>
    <m:brkBinSub m:val="--"/>
    <m:smallFrac m:val="off"/>
    <m:dispDef/>
    <m:lMargin m:val="0"/>
    <m:rMargin m:val="0"/>
    <m:defJc m:val="centerGroup"/>
    <m:wrapIndent m:val="1440"/>
    <m:intLim m:val="subSup"/>
    <m:naryLim m:val="undOvr"/>
  </m:mathPr>
  <w:uiCompat97To2003/>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360" w:lineRule="auto"/>
      <w:ind w:firstLine="567"/>
    </w:pPr>
    <w:rPr>
      <w:rFonts w:ascii="Georgia" w:hAnsi="Georgia"/>
      <w:sz w:val="24"/>
      <w:szCs w:val="24"/>
      <w:lang w:val="en-GB" w:eastAsia="en-US"/>
    </w:rPr>
  </w:style>
  <w:style w:type="paragraph" w:styleId="Heading1">
    <w:name w:val="heading 1"/>
    <w:basedOn w:val="Normal"/>
    <w:next w:val="Normal"/>
    <w:qFormat/>
    <w:pPr>
      <w:keepNext/>
      <w:spacing w:after="240"/>
      <w:ind w:firstLine="0"/>
      <w:jc w:val="center"/>
      <w:outlineLvl w:val="0"/>
    </w:pPr>
    <w:rPr>
      <w:rFonts w:ascii="Arial" w:hAnsi="Arial" w:cs="Arial"/>
      <w:b/>
      <w:bCs/>
      <w:kern w:val="32"/>
      <w:sz w:val="36"/>
      <w:szCs w:val="32"/>
    </w:rPr>
  </w:style>
  <w:style w:type="paragraph" w:styleId="Heading2">
    <w:name w:val="heading 2"/>
    <w:basedOn w:val="Normal"/>
    <w:next w:val="Normal"/>
    <w:qFormat/>
    <w:pPr>
      <w:keepNext/>
      <w:spacing w:before="480" w:after="60" w:line="480" w:lineRule="auto"/>
      <w:ind w:firstLine="0"/>
      <w:outlineLvl w:val="1"/>
    </w:pPr>
    <w:rPr>
      <w:rFonts w:ascii="Arial" w:hAnsi="Arial" w:cs="Arial"/>
      <w:bCs/>
      <w:iCs/>
      <w:sz w:val="32"/>
      <w:szCs w:val="28"/>
    </w:rPr>
  </w:style>
  <w:style w:type="paragraph" w:styleId="Heading3">
    <w:name w:val="heading 3"/>
    <w:basedOn w:val="Normal"/>
    <w:next w:val="Normal"/>
    <w:qFormat/>
    <w:pPr>
      <w:keepNext/>
      <w:spacing w:before="480" w:after="60" w:line="480" w:lineRule="auto"/>
      <w:ind w:firstLine="0"/>
      <w:jc w:val="center"/>
      <w:outlineLvl w:val="2"/>
    </w:pPr>
    <w:rPr>
      <w:rFonts w:cs="Arial"/>
      <w:bCs/>
      <w:szCs w:val="26"/>
    </w:rPr>
  </w:style>
  <w:style w:type="paragraph" w:styleId="Heading4">
    <w:name w:val="heading 4"/>
    <w:basedOn w:val="Normal"/>
    <w:next w:val="Normal"/>
    <w:qFormat/>
    <w:pPr>
      <w:keepNext/>
      <w:spacing w:before="480" w:after="60" w:line="480" w:lineRule="auto"/>
      <w:ind w:firstLine="0"/>
      <w:outlineLvl w:val="3"/>
    </w:pPr>
    <w:rPr>
      <w:rFonts w:ascii="Arial" w:hAnsi="Arial"/>
      <w:bCs/>
      <w:szCs w:val="28"/>
    </w:rPr>
  </w:style>
  <w:style w:type="paragraph" w:styleId="Heading5">
    <w:name w:val="heading 5"/>
    <w:basedOn w:val="Normal"/>
    <w:next w:val="Normal"/>
    <w:qFormat/>
    <w:pPr>
      <w:keepNext/>
      <w:outlineLvl w:val="4"/>
    </w:pPr>
    <w:rPr>
      <w:i/>
      <w:i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Pr>
      <w:lang w:val="en-IE"/>
    </w:rPr>
  </w:style>
  <w:style w:type="character" w:styleId="FootnoteReference">
    <w:name w:val="footnote reference"/>
    <w:basedOn w:val="DefaultParagraphFont"/>
    <w:semiHidden/>
    <w:rPr>
      <w:rFonts w:ascii="Georgia" w:hAnsi="Georgia"/>
      <w:dstrike w:val="0"/>
      <w:sz w:val="24"/>
      <w:vertAlign w:val="superscript"/>
    </w:rPr>
  </w:style>
  <w:style w:type="paragraph" w:styleId="FootnoteText">
    <w:name w:val="footnote text"/>
    <w:basedOn w:val="Normal"/>
    <w:semiHidden/>
    <w:pPr>
      <w:spacing w:line="240" w:lineRule="auto"/>
      <w:ind w:left="284" w:hanging="284"/>
    </w:pPr>
    <w:rPr>
      <w:sz w:val="20"/>
      <w:szCs w:val="20"/>
    </w:rPr>
  </w:style>
  <w:style w:type="paragraph" w:styleId="Quote">
    <w:name w:val="Quote"/>
    <w:basedOn w:val="Normal"/>
    <w:next w:val="Normal"/>
    <w:qFormat/>
    <w:pPr>
      <w:spacing w:before="360" w:after="240"/>
      <w:ind w:right="1134" w:firstLine="0"/>
    </w:pPr>
  </w:style>
  <w:style w:type="paragraph" w:customStyle="1" w:styleId="Biblio">
    <w:name w:val="Biblio"/>
    <w:basedOn w:val="Normal"/>
    <w:pPr>
      <w:ind w:left="567" w:hanging="567"/>
    </w:pPr>
    <w:rPr>
      <w:sz w:val="20"/>
      <w:lang w:val="en-IE"/>
    </w:rPr>
  </w:style>
  <w:style w:type="paragraph" w:styleId="Footer">
    <w:name w:val="footer"/>
    <w:basedOn w:val="Header"/>
    <w:semiHidden/>
  </w:style>
  <w:style w:type="paragraph" w:styleId="Header">
    <w:name w:val="header"/>
    <w:basedOn w:val="Normal"/>
    <w:semiHidden/>
    <w:pPr>
      <w:tabs>
        <w:tab w:val="center" w:pos="4153"/>
        <w:tab w:val="right" w:pos="8306"/>
      </w:tabs>
      <w:spacing w:line="240" w:lineRule="auto"/>
      <w:ind w:firstLine="0"/>
      <w:jc w:val="right"/>
    </w:pPr>
    <w:rPr>
      <w:rFonts w:ascii="Arial" w:hAnsi="Arial"/>
      <w:sz w:val="20"/>
    </w:rPr>
  </w:style>
  <w:style w:type="character" w:styleId="PageNumber">
    <w:name w:val="page number"/>
    <w:basedOn w:val="DefaultParagraphFont"/>
    <w:semiHidden/>
    <w:rPr>
      <w:rFonts w:ascii="Arial" w:hAnsi="Arial"/>
    </w:rPr>
  </w:style>
  <w:style w:type="paragraph" w:styleId="BodyTextIndent2">
    <w:name w:val="Body Text Indent 2"/>
    <w:basedOn w:val="Normal"/>
    <w:semiHidden/>
    <w:pPr>
      <w:spacing w:after="120" w:line="480" w:lineRule="auto"/>
      <w:ind w:left="283"/>
    </w:pPr>
  </w:style>
  <w:style w:type="character" w:customStyle="1" w:styleId="BookTitle">
    <w:name w:val="BookTitle"/>
    <w:basedOn w:val="DefaultParagraphFont"/>
    <w:rPr>
      <w:rFonts w:ascii="Georgia" w:hAnsi="Georgia"/>
      <w:i/>
      <w:sz w:val="20"/>
      <w:szCs w:val="24"/>
    </w:rPr>
  </w:style>
  <w:style w:type="paragraph" w:customStyle="1" w:styleId="Comments">
    <w:name w:val="Comments"/>
    <w:basedOn w:val="Normal"/>
    <w:next w:val="Normal"/>
    <w:pPr>
      <w:spacing w:line="240" w:lineRule="auto"/>
    </w:pPr>
    <w:rPr>
      <w:color w:val="800080"/>
      <w:sz w:val="22"/>
    </w:rPr>
  </w:style>
  <w:style w:type="character" w:styleId="EndnoteReference">
    <w:name w:val="endnote reference"/>
    <w:basedOn w:val="DefaultParagraphFont"/>
    <w:semiHidden/>
    <w:rPr>
      <w:rFonts w:ascii="Georgia" w:hAnsi="Georgia"/>
      <w:vertAlign w:val="superscript"/>
    </w:rPr>
  </w:style>
  <w:style w:type="paragraph" w:styleId="EndnoteText">
    <w:name w:val="endnote text"/>
    <w:basedOn w:val="Normal"/>
    <w:semiHidden/>
    <w:pPr>
      <w:ind w:left="284" w:hanging="284"/>
    </w:pPr>
    <w:rPr>
      <w:sz w:val="20"/>
      <w:szCs w:val="20"/>
    </w:rPr>
  </w:style>
  <w:style w:type="character" w:styleId="Hyperlink">
    <w:name w:val="Hyperlink"/>
    <w:basedOn w:val="DefaultParagraphFont"/>
    <w:semiHidden/>
    <w:rPr>
      <w:color w:val="0000FF"/>
      <w:u w:val="single"/>
    </w:rPr>
  </w:style>
  <w:style w:type="paragraph" w:styleId="BodyTextIndent3">
    <w:name w:val="Body Text Indent 3"/>
    <w:basedOn w:val="Normal"/>
    <w:semiHidden/>
    <w:rPr>
      <w:i/>
      <w:iCs/>
    </w:rPr>
  </w:style>
  <w:style w:type="paragraph" w:styleId="BodyText">
    <w:name w:val="Body Text"/>
    <w:basedOn w:val="Normal"/>
    <w:semiHidden/>
    <w:pPr>
      <w:ind w:firstLine="0"/>
    </w:pPr>
    <w:rPr>
      <w:lang w:val="en-IE"/>
    </w:rPr>
  </w:style>
  <w:style w:type="character" w:styleId="FollowedHyperlink">
    <w:name w:val="FollowedHyperlink"/>
    <w:basedOn w:val="DefaultParagraphFont"/>
    <w:semiHidden/>
    <w:rPr>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ThesisTC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ThesisTCD</Template>
  <TotalTime>1</TotalTime>
  <Pages>30</Pages>
  <Words>7515</Words>
  <Characters>42841</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DocTitle</vt:lpstr>
    </vt:vector>
  </TitlesOfParts>
  <Company>Chess Mail Limited</Company>
  <LinksUpToDate>false</LinksUpToDate>
  <CharactersWithSpaces>50256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DocTitle</dc:title>
  <dc:subject>TCD thesis template</dc:subject>
  <dc:creator>Tim Harding</dc:creator>
  <cp:keywords/>
  <dc:description/>
  <cp:lastModifiedBy>Garret McMahon</cp:lastModifiedBy>
  <cp:revision>2</cp:revision>
  <cp:lastPrinted>2008-10-27T12:23:00Z</cp:lastPrinted>
  <dcterms:created xsi:type="dcterms:W3CDTF">2010-03-22T10:31:00Z</dcterms:created>
  <dcterms:modified xsi:type="dcterms:W3CDTF">2010-03-22T10:31:00Z</dcterms:modified>
</cp:coreProperties>
</file>